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6617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6617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jc w:val="center"/>
        <w:ind w:right="-839"/>
        <w:spacing w:after="0"/>
        <w:rPr>
          <w:sz w:val="20"/>
          <w:szCs w:val="20"/>
          <w:color w:val="auto"/>
        </w:rPr>
      </w:pPr>
      <w:r>
        <w:rPr>
          <w:rFonts w:ascii="Arial" w:cs="Arial" w:eastAsia="Arial" w:hAnsi="Arial"/>
          <w:sz w:val="23"/>
          <w:szCs w:val="23"/>
          <w:b w:val="1"/>
          <w:bCs w:val="1"/>
          <w:color w:val="4D4D4F"/>
        </w:rPr>
        <w:t>UNITED STATES SECURITIES AND EXCHANGE COMMISSION</w:t>
      </w:r>
    </w:p>
    <w:p>
      <w:pPr>
        <w:spacing w:after="0" w:line="22" w:lineRule="exact"/>
        <w:rPr>
          <w:sz w:val="24"/>
          <w:szCs w:val="24"/>
          <w:color w:val="auto"/>
        </w:rPr>
      </w:pPr>
    </w:p>
    <w:p>
      <w:pPr>
        <w:ind w:left="4500"/>
        <w:spacing w:after="0"/>
        <w:rPr>
          <w:sz w:val="20"/>
          <w:szCs w:val="20"/>
          <w:color w:val="auto"/>
        </w:rPr>
      </w:pPr>
      <w:r>
        <w:rPr>
          <w:rFonts w:ascii="Arial" w:cs="Arial" w:eastAsia="Arial" w:hAnsi="Arial"/>
          <w:sz w:val="20"/>
          <w:szCs w:val="20"/>
          <w:b w:val="1"/>
          <w:bCs w:val="1"/>
          <w:color w:val="4D4D4F"/>
        </w:rPr>
        <w:t>Washington, D.C. 20549</w:t>
      </w:r>
    </w:p>
    <w:p>
      <w:pPr>
        <w:spacing w:after="0" w:line="91" w:lineRule="exact"/>
        <w:rPr>
          <w:sz w:val="24"/>
          <w:szCs w:val="24"/>
          <w:color w:val="auto"/>
        </w:rPr>
      </w:pPr>
    </w:p>
    <w:p>
      <w:pPr>
        <w:jc w:val="center"/>
        <w:ind w:right="-839"/>
        <w:spacing w:after="0"/>
        <w:rPr>
          <w:sz w:val="20"/>
          <w:szCs w:val="20"/>
          <w:color w:val="auto"/>
        </w:rPr>
      </w:pPr>
      <w:r>
        <w:rPr>
          <w:rFonts w:ascii="Arial" w:cs="Arial" w:eastAsia="Arial" w:hAnsi="Arial"/>
          <w:sz w:val="29"/>
          <w:szCs w:val="29"/>
          <w:b w:val="1"/>
          <w:bCs w:val="1"/>
          <w:color w:val="4D4D4F"/>
        </w:rPr>
        <w:t>SCHEDULE 14A</w:t>
      </w:r>
    </w:p>
    <w:p>
      <w:pPr>
        <w:spacing w:after="0" w:line="48" w:lineRule="exact"/>
        <w:rPr>
          <w:sz w:val="24"/>
          <w:szCs w:val="24"/>
          <w:color w:val="auto"/>
        </w:rPr>
      </w:pPr>
    </w:p>
    <w:p>
      <w:pPr>
        <w:jc w:val="center"/>
        <w:ind w:right="-839"/>
        <w:spacing w:after="0"/>
        <w:rPr>
          <w:sz w:val="20"/>
          <w:szCs w:val="20"/>
          <w:color w:val="auto"/>
        </w:rPr>
      </w:pPr>
      <w:r>
        <w:rPr>
          <w:rFonts w:ascii="Arial" w:cs="Arial" w:eastAsia="Arial" w:hAnsi="Arial"/>
          <w:sz w:val="20"/>
          <w:szCs w:val="20"/>
          <w:b w:val="1"/>
          <w:bCs w:val="1"/>
          <w:color w:val="4D4D4F"/>
        </w:rPr>
        <w:t>Proxy Statement Pursuant to</w:t>
      </w:r>
    </w:p>
    <w:p>
      <w:pPr>
        <w:spacing w:after="0" w:line="88" w:lineRule="exact"/>
        <w:rPr>
          <w:sz w:val="24"/>
          <w:szCs w:val="24"/>
          <w:color w:val="auto"/>
        </w:rPr>
      </w:pPr>
    </w:p>
    <w:p>
      <w:pPr>
        <w:jc w:val="center"/>
        <w:ind w:right="-839"/>
        <w:spacing w:after="0"/>
        <w:rPr>
          <w:sz w:val="20"/>
          <w:szCs w:val="20"/>
          <w:color w:val="auto"/>
        </w:rPr>
      </w:pPr>
      <w:r>
        <w:rPr>
          <w:rFonts w:ascii="Arial" w:cs="Arial" w:eastAsia="Arial" w:hAnsi="Arial"/>
          <w:sz w:val="20"/>
          <w:szCs w:val="20"/>
          <w:b w:val="1"/>
          <w:bCs w:val="1"/>
          <w:color w:val="4D4D4F"/>
        </w:rPr>
        <w:t>Section 14(a) of the Securities Exchange Act of 1934</w:t>
      </w:r>
    </w:p>
    <w:p>
      <w:pPr>
        <w:spacing w:after="0" w:line="166" w:lineRule="exact"/>
        <w:rPr>
          <w:sz w:val="24"/>
          <w:szCs w:val="24"/>
          <w:color w:val="auto"/>
        </w:rPr>
      </w:pPr>
    </w:p>
    <w:p>
      <w:pPr>
        <w:ind w:left="20"/>
        <w:spacing w:after="0"/>
        <w:tabs>
          <w:tab w:leader="none" w:pos="6900" w:val="left"/>
        </w:tabs>
        <w:rPr>
          <w:sz w:val="20"/>
          <w:szCs w:val="20"/>
          <w:color w:val="auto"/>
        </w:rPr>
      </w:pPr>
      <w:r>
        <w:rPr>
          <w:rFonts w:ascii="Arial" w:cs="Arial" w:eastAsia="Arial" w:hAnsi="Arial"/>
          <w:sz w:val="18"/>
          <w:szCs w:val="18"/>
          <w:color w:val="4D4D4F"/>
        </w:rPr>
        <w:t xml:space="preserve">Filed by the Registrant </w:t>
      </w:r>
      <w:r>
        <w:rPr>
          <w:rFonts w:ascii="Wingdings" w:cs="Wingdings" w:eastAsia="Wingdings" w:hAnsi="Wingdings"/>
          <w:sz w:val="18"/>
          <w:szCs w:val="18"/>
          <w:b w:val="1"/>
          <w:bCs w:val="1"/>
          <w:color w:val="4D4D4F"/>
        </w:rPr>
        <w:t>x</w:t>
      </w:r>
      <w:r>
        <w:rPr>
          <w:sz w:val="20"/>
          <w:szCs w:val="20"/>
          <w:color w:val="auto"/>
        </w:rPr>
        <w:tab/>
      </w:r>
      <w:r>
        <w:rPr>
          <w:rFonts w:ascii="Arial" w:cs="Arial" w:eastAsia="Arial" w:hAnsi="Arial"/>
          <w:sz w:val="18"/>
          <w:szCs w:val="18"/>
          <w:color w:val="4D4D4F"/>
        </w:rPr>
        <w:t xml:space="preserve">Filed by a Party other than the Registrant </w:t>
      </w:r>
      <w:r>
        <w:rPr>
          <w:rFonts w:ascii="Wingdings" w:cs="Wingdings" w:eastAsia="Wingdings" w:hAnsi="Wingdings"/>
          <w:sz w:val="18"/>
          <w:szCs w:val="18"/>
          <w:b w:val="1"/>
          <w:bCs w:val="1"/>
          <w:color w:val="4D4D4F"/>
        </w:rPr>
        <w:t>o</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4D4D4F"/>
        </w:rPr>
        <w:t>Check the appropriate box:</w:t>
      </w:r>
    </w:p>
    <w:p>
      <w:pPr>
        <w:spacing w:after="0" w:line="15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4D4D4F"/>
        </w:rPr>
      </w:pPr>
      <w:r>
        <w:rPr>
          <w:rFonts w:ascii="Arial" w:cs="Arial" w:eastAsia="Arial" w:hAnsi="Arial"/>
          <w:sz w:val="18"/>
          <w:szCs w:val="18"/>
          <w:color w:val="4D4D4F"/>
        </w:rPr>
        <w:t>Preliminary Proxy Statement</w:t>
      </w:r>
    </w:p>
    <w:p>
      <w:pPr>
        <w:spacing w:after="0" w:line="31" w:lineRule="exact"/>
        <w:rPr>
          <w:rFonts w:ascii="Wingdings" w:cs="Wingdings" w:eastAsia="Wingdings" w:hAnsi="Wingdings"/>
          <w:sz w:val="18"/>
          <w:szCs w:val="18"/>
          <w:b w:val="1"/>
          <w:bCs w:val="1"/>
          <w:color w:val="4D4D4F"/>
        </w:rPr>
      </w:pPr>
    </w:p>
    <w:p>
      <w:pPr>
        <w:ind w:left="20" w:right="3180" w:firstLine="6"/>
        <w:spacing w:after="0" w:line="266" w:lineRule="auto"/>
        <w:tabs>
          <w:tab w:leader="none" w:pos="465" w:val="left"/>
        </w:tabs>
        <w:numPr>
          <w:ilvl w:val="0"/>
          <w:numId w:val="1"/>
        </w:numPr>
        <w:rPr>
          <w:rFonts w:ascii="Wingdings" w:cs="Wingdings" w:eastAsia="Wingdings" w:hAnsi="Wingdings"/>
          <w:sz w:val="18"/>
          <w:szCs w:val="18"/>
          <w:b w:val="1"/>
          <w:bCs w:val="1"/>
          <w:color w:val="auto"/>
          <w:shd w:val="clear" w:color="auto" w:fill="4D4D4F"/>
        </w:rPr>
      </w:pPr>
      <w:r>
        <w:rPr>
          <w:rFonts w:ascii="Arial" w:cs="Arial" w:eastAsia="Arial" w:hAnsi="Arial"/>
          <w:sz w:val="18"/>
          <w:szCs w:val="18"/>
          <w:b w:val="1"/>
          <w:bCs w:val="1"/>
          <w:color w:val="4D4D4F"/>
        </w:rPr>
        <w:t xml:space="preserve">Confidential, for Use of the Commission Only (as permitted by Rule 14a-6(e)(2)) </w:t>
      </w:r>
      <w:r>
        <w:rPr>
          <w:rFonts w:ascii="Wingdings" w:cs="Wingdings" w:eastAsia="Wingdings" w:hAnsi="Wingdings"/>
          <w:sz w:val="18"/>
          <w:szCs w:val="18"/>
          <w:b w:val="1"/>
          <w:bCs w:val="1"/>
          <w:color w:val="4D4D4F"/>
        </w:rPr>
        <w:t xml:space="preserve">x </w:t>
      </w:r>
      <w:r>
        <w:rPr>
          <w:rFonts w:ascii="Arial" w:cs="Arial" w:eastAsia="Arial" w:hAnsi="Arial"/>
          <w:sz w:val="18"/>
          <w:szCs w:val="18"/>
          <w:color w:val="4D4D4F"/>
        </w:rPr>
        <w:t>Definitive Proxy Statement</w:t>
      </w:r>
    </w:p>
    <w:p>
      <w:pPr>
        <w:ind w:left="480" w:hanging="454"/>
        <w:spacing w:after="0"/>
        <w:tabs>
          <w:tab w:leader="none" w:pos="480" w:val="left"/>
        </w:tabs>
        <w:numPr>
          <w:ilvl w:val="0"/>
          <w:numId w:val="1"/>
        </w:numPr>
        <w:rPr>
          <w:rFonts w:ascii="Wingdings" w:cs="Wingdings" w:eastAsia="Wingdings" w:hAnsi="Wingdings"/>
          <w:sz w:val="18"/>
          <w:szCs w:val="18"/>
          <w:b w:val="1"/>
          <w:bCs w:val="1"/>
          <w:color w:val="4D4D4F"/>
        </w:rPr>
      </w:pPr>
      <w:r>
        <w:rPr>
          <w:rFonts w:ascii="Arial" w:cs="Arial" w:eastAsia="Arial" w:hAnsi="Arial"/>
          <w:sz w:val="18"/>
          <w:szCs w:val="18"/>
          <w:color w:val="4D4D4F"/>
        </w:rPr>
        <w:t>Definitive Additional Materials</w:t>
      </w:r>
    </w:p>
    <w:p>
      <w:pPr>
        <w:spacing w:after="0" w:line="22" w:lineRule="exact"/>
        <w:rPr>
          <w:rFonts w:ascii="Wingdings" w:cs="Wingdings" w:eastAsia="Wingdings" w:hAnsi="Wingdings"/>
          <w:sz w:val="18"/>
          <w:szCs w:val="18"/>
          <w:b w:val="1"/>
          <w:bCs w:val="1"/>
          <w:color w:val="4D4D4F"/>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140335</wp:posOffset>
            </wp:positionV>
            <wp:extent cx="125984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4D4D4F"/>
        </w:rPr>
        <w:t>ACM Research, Inc.</w:t>
      </w:r>
    </w:p>
    <w:p>
      <w:pPr>
        <w:spacing w:after="0" w:line="33"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4D4D4F"/>
        </w:rPr>
        <w:t>Payment of Filing Fee (Check the appropriate box):</w:t>
      </w:r>
    </w:p>
    <w:p>
      <w:pPr>
        <w:spacing w:after="0" w:line="50"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4D4D4F"/>
        </w:rPr>
      </w:pPr>
      <w:r>
        <w:rPr>
          <w:rFonts w:ascii="Arial" w:cs="Arial" w:eastAsia="Arial" w:hAnsi="Arial"/>
          <w:sz w:val="18"/>
          <w:szCs w:val="18"/>
          <w:color w:val="4D4D4F"/>
        </w:rPr>
        <w:t>No fee required.</w:t>
      </w:r>
    </w:p>
    <w:p>
      <w:pPr>
        <w:spacing w:after="0" w:line="32" w:lineRule="exact"/>
        <w:rPr>
          <w:sz w:val="24"/>
          <w:szCs w:val="24"/>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4D4D4F"/>
        </w:rPr>
      </w:pPr>
      <w:r>
        <w:rPr>
          <w:rFonts w:ascii="Arial" w:cs="Arial" w:eastAsia="Arial" w:hAnsi="Arial"/>
          <w:sz w:val="18"/>
          <w:szCs w:val="18"/>
          <w:color w:val="4D4D4F"/>
        </w:rPr>
        <w:t>Fee computed on table below per Exchange Act Rules 14a-6(i)(1) and 0-11.</w:t>
      </w:r>
    </w:p>
    <w:p>
      <w:pPr>
        <w:spacing w:after="0" w:line="22" w:lineRule="exact"/>
        <w:rPr>
          <w:rFonts w:ascii="Wingdings" w:cs="Wingdings" w:eastAsia="Wingdings" w:hAnsi="Wingdings"/>
          <w:sz w:val="18"/>
          <w:szCs w:val="18"/>
          <w:b w:val="1"/>
          <w:bCs w:val="1"/>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188"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198" w:lineRule="exact"/>
        <w:rPr>
          <w:rFonts w:ascii="Arial" w:cs="Arial" w:eastAsia="Arial" w:hAnsi="Arial"/>
          <w:sz w:val="18"/>
          <w:szCs w:val="18"/>
          <w:color w:val="4D4D4F"/>
        </w:rPr>
      </w:pPr>
    </w:p>
    <w:p>
      <w:pPr>
        <w:ind w:left="820" w:right="54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180"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198"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184" w:lineRule="exact"/>
        <w:rPr>
          <w:rFonts w:ascii="Arial" w:cs="Arial" w:eastAsia="Arial" w:hAnsi="Arial"/>
          <w:sz w:val="18"/>
          <w:szCs w:val="18"/>
          <w:color w:val="4D4D4F"/>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4D4D4F"/>
        </w:rPr>
      </w:pPr>
      <w:r>
        <w:rPr>
          <w:rFonts w:ascii="Arial" w:cs="Arial" w:eastAsia="Arial" w:hAnsi="Arial"/>
          <w:sz w:val="18"/>
          <w:szCs w:val="18"/>
          <w:color w:val="4D4D4F"/>
        </w:rPr>
        <w:t>Fee paid previously with preliminary materials.</w:t>
      </w:r>
    </w:p>
    <w:p>
      <w:pPr>
        <w:spacing w:after="0" w:line="31" w:lineRule="exact"/>
        <w:rPr>
          <w:rFonts w:ascii="Wingdings" w:cs="Wingdings" w:eastAsia="Wingdings" w:hAnsi="Wingdings"/>
          <w:sz w:val="18"/>
          <w:szCs w:val="18"/>
          <w:b w:val="1"/>
          <w:bCs w:val="1"/>
          <w:color w:val="4D4D4F"/>
        </w:rPr>
      </w:pPr>
    </w:p>
    <w:p>
      <w:pPr>
        <w:ind w:left="420" w:right="180" w:hanging="394"/>
        <w:spacing w:after="0" w:line="224" w:lineRule="auto"/>
        <w:tabs>
          <w:tab w:leader="none" w:pos="420" w:val="left"/>
        </w:tabs>
        <w:numPr>
          <w:ilvl w:val="0"/>
          <w:numId w:val="3"/>
        </w:numPr>
        <w:rPr>
          <w:rFonts w:ascii="Wingdings" w:cs="Wingdings" w:eastAsia="Wingdings" w:hAnsi="Wingdings"/>
          <w:sz w:val="18"/>
          <w:szCs w:val="18"/>
          <w:b w:val="1"/>
          <w:bCs w:val="1"/>
          <w:color w:val="4D4D4F"/>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 w:lineRule="exact"/>
        <w:rPr>
          <w:rFonts w:ascii="Wingdings" w:cs="Wingdings" w:eastAsia="Wingdings" w:hAnsi="Wingdings"/>
          <w:sz w:val="18"/>
          <w:szCs w:val="18"/>
          <w:b w:val="1"/>
          <w:bCs w:val="1"/>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198"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198"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198" w:lineRule="exact"/>
        <w:rPr>
          <w:rFonts w:ascii="Arial" w:cs="Arial" w:eastAsia="Arial" w:hAnsi="Arial"/>
          <w:sz w:val="18"/>
          <w:szCs w:val="18"/>
          <w:color w:val="4D4D4F"/>
        </w:rPr>
      </w:pPr>
    </w:p>
    <w:p>
      <w:pPr>
        <w:ind w:left="820" w:hanging="403"/>
        <w:spacing w:after="0"/>
        <w:tabs>
          <w:tab w:leader="none" w:pos="82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120650</wp:posOffset>
            </wp:positionV>
            <wp:extent cx="6111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-135890</wp:posOffset>
            </wp:positionV>
            <wp:extent cx="6111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-393065</wp:posOffset>
            </wp:positionV>
            <wp:extent cx="6111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-650240</wp:posOffset>
            </wp:positionV>
            <wp:extent cx="611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-1421765</wp:posOffset>
            </wp:positionV>
            <wp:extent cx="6111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-1678940</wp:posOffset>
            </wp:positionV>
            <wp:extent cx="6111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-1936115</wp:posOffset>
            </wp:positionV>
            <wp:extent cx="6111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187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-2313305</wp:posOffset>
            </wp:positionV>
            <wp:extent cx="6111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-2570480</wp:posOffset>
            </wp:positionV>
            <wp:extent cx="6111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66179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6617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1023620</wp:posOffset>
            </wp:positionV>
            <wp:extent cx="5288915" cy="4311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8915"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58"/>
          <w:szCs w:val="58"/>
          <w:color w:val="FFFFFF"/>
        </w:rPr>
        <w:t>NOTICE OF</w:t>
      </w:r>
    </w:p>
    <w:p>
      <w:pPr>
        <w:jc w:val="center"/>
        <w:ind w:right="19"/>
        <w:spacing w:after="0" w:line="207" w:lineRule="auto"/>
        <w:rPr>
          <w:sz w:val="20"/>
          <w:szCs w:val="20"/>
          <w:color w:val="auto"/>
        </w:rPr>
      </w:pPr>
      <w:r>
        <w:rPr>
          <w:rFonts w:ascii="Arial" w:cs="Arial" w:eastAsia="Arial" w:hAnsi="Arial"/>
          <w:sz w:val="57"/>
          <w:szCs w:val="57"/>
          <w:color w:val="FFFFFF"/>
        </w:rPr>
        <w:t>2026 ANNUAL MEETING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58"/>
          <w:szCs w:val="58"/>
          <w:color w:val="FFFFFF"/>
        </w:rPr>
        <w:t>OF STOCKHOLDERS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50"/>
          <w:szCs w:val="50"/>
          <w:color w:val="FFFFFF"/>
        </w:rPr>
        <w:t>PROXY STATEMENT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right="1020"/>
        <w:spacing w:after="0" w:line="227" w:lineRule="auto"/>
        <w:rPr>
          <w:sz w:val="20"/>
          <w:szCs w:val="20"/>
          <w:color w:val="auto"/>
        </w:rPr>
      </w:pPr>
      <w:r>
        <w:rPr>
          <w:rFonts w:ascii="Arial" w:cs="Arial" w:eastAsia="Arial" w:hAnsi="Arial"/>
          <w:sz w:val="28"/>
          <w:szCs w:val="28"/>
          <w:b w:val="1"/>
          <w:bCs w:val="1"/>
          <w:color w:val="FFFFFF"/>
        </w:rPr>
        <w:t>2026 Annual Meeting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-364490</wp:posOffset>
            </wp:positionV>
            <wp:extent cx="2597150" cy="2743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2743200"/>
                    </a:xfrm>
                    <a:prstGeom prst="rect">
                      <a:avLst/>
                    </a:prstGeom>
                    <a:noFill/>
                  </pic:spPr>
                </pic:pic>
              </a:graphicData>
            </a:graphic>
          </wp:anchor>
        </w:drawing>
      </w:r>
    </w:p>
    <w:p>
      <w:pPr>
        <w:ind w:left="360"/>
        <w:spacing w:after="0"/>
        <w:rPr>
          <w:sz w:val="20"/>
          <w:szCs w:val="20"/>
          <w:color w:val="auto"/>
        </w:rPr>
      </w:pPr>
      <w:r>
        <w:rPr>
          <w:rFonts w:ascii="Arial" w:cs="Arial" w:eastAsia="Arial" w:hAnsi="Arial"/>
          <w:sz w:val="29"/>
          <w:szCs w:val="29"/>
          <w:b w:val="1"/>
          <w:bCs w:val="1"/>
          <w:color w:val="FFFFFF"/>
        </w:rPr>
        <w:t>7 a.m., Pacific time</w:t>
      </w:r>
    </w:p>
    <w:p>
      <w:pPr>
        <w:spacing w:after="0" w:line="378" w:lineRule="exact"/>
        <w:rPr>
          <w:sz w:val="20"/>
          <w:szCs w:val="20"/>
          <w:color w:val="auto"/>
        </w:rPr>
      </w:pPr>
    </w:p>
    <w:p>
      <w:pPr>
        <w:ind w:left="360"/>
        <w:spacing w:after="0" w:line="269" w:lineRule="auto"/>
        <w:rPr>
          <w:sz w:val="20"/>
          <w:szCs w:val="20"/>
          <w:color w:val="auto"/>
        </w:rPr>
      </w:pPr>
      <w:r>
        <w:rPr>
          <w:rFonts w:ascii="Arial" w:cs="Arial" w:eastAsia="Arial" w:hAnsi="Arial"/>
          <w:sz w:val="19"/>
          <w:szCs w:val="19"/>
          <w:color w:val="FFFFFF"/>
        </w:rPr>
        <w:t xml:space="preserve">Virtual-only meeting, with webcast access at </w:t>
      </w:r>
      <w:r>
        <w:rPr>
          <w:rFonts w:ascii="Arial" w:cs="Arial" w:eastAsia="Arial" w:hAnsi="Arial"/>
          <w:sz w:val="19"/>
          <w:szCs w:val="19"/>
          <w:i w:val="1"/>
          <w:iCs w:val="1"/>
          <w:color w:val="FFFFFF"/>
        </w:rPr>
        <w:t>virtualshareholdermeeting.com/ACMR2026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Inside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2691765" cy="2743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765" cy="274320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FFFFFF"/>
        </w:rPr>
        <w:t>CEO’s letter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FFFFFF"/>
        </w:rPr>
        <w:t>Information on voting proposals:</w:t>
      </w:r>
    </w:p>
    <w:p>
      <w:pPr>
        <w:spacing w:after="0" w:line="200" w:lineRule="exact"/>
        <w:rPr>
          <w:sz w:val="20"/>
          <w:szCs w:val="20"/>
          <w:color w:val="auto"/>
        </w:rPr>
      </w:pPr>
    </w:p>
    <w:p>
      <w:pPr>
        <w:sectPr>
          <w:pgSz w:w="11900" w:h="16838" w:orient="portrait"/>
          <w:cols w:equalWidth="0" w:num="2">
            <w:col w:w="4240" w:space="200"/>
            <w:col w:w="4579"/>
          </w:cols>
          <w:pgMar w:left="1440" w:top="1440" w:right="1440"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5100"/>
        <w:spacing w:after="0"/>
        <w:rPr>
          <w:sz w:val="20"/>
          <w:szCs w:val="20"/>
          <w:color w:val="auto"/>
        </w:rPr>
      </w:pPr>
      <w:r>
        <w:rPr>
          <w:rFonts w:ascii="Arial" w:cs="Arial" w:eastAsia="Arial" w:hAnsi="Arial"/>
          <w:sz w:val="16"/>
          <w:szCs w:val="16"/>
          <w:color w:val="FFFFFF"/>
        </w:rPr>
        <w:t>Election of four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00" w:right="879"/>
        <w:spacing w:after="0" w:line="251" w:lineRule="auto"/>
        <w:rPr>
          <w:sz w:val="20"/>
          <w:szCs w:val="20"/>
          <w:color w:val="auto"/>
        </w:rPr>
      </w:pPr>
      <w:r>
        <w:rPr>
          <w:rFonts w:ascii="Arial" w:cs="Arial" w:eastAsia="Arial" w:hAnsi="Arial"/>
          <w:sz w:val="16"/>
          <w:szCs w:val="16"/>
          <w:color w:val="FFFFFF"/>
        </w:rPr>
        <w:t>Ratification of appointment of independent auditor for 2026</w:t>
      </w:r>
    </w:p>
    <w:p>
      <w:pPr>
        <w:sectPr>
          <w:pgSz w:w="11900" w:h="16838" w:orient="portrait"/>
          <w:cols w:equalWidth="0" w:num="1">
            <w:col w:w="9019"/>
          </w:cols>
          <w:pgMar w:left="1440" w:top="1440"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53149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1495" cy="334645"/>
                    </a:xfrm>
                    <a:prstGeom prst="rect">
                      <a:avLst/>
                    </a:prstGeom>
                    <a:noFill/>
                  </pic:spPr>
                </pic:pic>
              </a:graphicData>
            </a:graphic>
          </wp:anchor>
        </w:drawing>
        <w:t>42307 Osgood Rd, Suite I</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April 27, 2026</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Stockholder:</w:t>
      </w:r>
    </w:p>
    <w:p>
      <w:pPr>
        <w:spacing w:after="0" w:line="176"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auto"/>
        </w:rPr>
        <w:t>It is my pleasure to invite you to attend the Annual Meeting of Stockholders of ACM Research, Inc. to be held on June 10, 2026, at 7 a.m., Pacific time. This year’s Annual Meeting will be a “virtual meeting” conducted via live audio webcast, consistent with our prior practice. Each holder of Class A or Class B common stock as of 5 p.m., Eastern time, on the record date of April 13, 2026, will be able to participate in the Annual Meeting by accessing a live webcast at virtualshareholdermeeting.com/ACMR2026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spacing w:after="0" w:line="124"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auto"/>
        </w:rPr>
        <w:t>During the Annual Meeting, stockholders will be asked to elect the entire board of directors and to ratify the appointment of Ernst &amp; Young Hua Ming LLP as our independent auditor for 2026.</w:t>
      </w:r>
    </w:p>
    <w:p>
      <w:pPr>
        <w:spacing w:after="0" w:line="102" w:lineRule="exact"/>
        <w:rPr>
          <w:sz w:val="20"/>
          <w:szCs w:val="20"/>
          <w:color w:val="auto"/>
        </w:rPr>
      </w:pPr>
    </w:p>
    <w:p>
      <w:pPr>
        <w:ind w:right="80"/>
        <w:spacing w:after="0" w:line="353" w:lineRule="auto"/>
        <w:rPr>
          <w:sz w:val="20"/>
          <w:szCs w:val="20"/>
          <w:color w:val="auto"/>
        </w:rPr>
      </w:pPr>
      <w:r>
        <w:rPr>
          <w:rFonts w:ascii="Arial" w:cs="Arial" w:eastAsia="Arial" w:hAnsi="Arial"/>
          <w:sz w:val="16"/>
          <w:szCs w:val="16"/>
          <w:color w:val="auto"/>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2025 Annual Report to Stockholders, as well as how to vote via proxy either by telephone or over the Internet.</w:t>
      </w:r>
    </w:p>
    <w:p>
      <w:pPr>
        <w:spacing w:after="0" w:line="119"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auto"/>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spacing w:after="0" w:line="102" w:lineRule="exact"/>
        <w:rPr>
          <w:sz w:val="20"/>
          <w:szCs w:val="20"/>
          <w:color w:val="auto"/>
        </w:rPr>
      </w:pPr>
    </w:p>
    <w:p>
      <w:pPr>
        <w:ind w:right="40"/>
        <w:spacing w:after="0" w:line="374" w:lineRule="auto"/>
        <w:rPr>
          <w:sz w:val="20"/>
          <w:szCs w:val="20"/>
          <w:color w:val="auto"/>
        </w:rPr>
      </w:pPr>
      <w:r>
        <w:rPr>
          <w:rFonts w:ascii="Arial" w:cs="Arial" w:eastAsia="Arial" w:hAnsi="Arial"/>
          <w:sz w:val="16"/>
          <w:szCs w:val="16"/>
          <w:color w:val="auto"/>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David H. Wang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 and President</w:t>
      </w:r>
    </w:p>
    <w:p>
      <w:pPr>
        <w:sectPr>
          <w:pgSz w:w="11900" w:h="16838" w:orient="portrait"/>
          <w:cols w:equalWidth="0" w:num="1">
            <w:col w:w="11220"/>
          </w:cols>
          <w:pgMar w:left="320" w:top="508" w:right="359" w:bottom="1440" w:gutter="0" w:footer="0" w:header="0"/>
        </w:sectPr>
      </w:pPr>
    </w:p>
    <w:bookmarkStart w:id="3" w:name="page4"/>
    <w:bookmarkEnd w:id="3"/>
    <w:p>
      <w:pPr>
        <w:spacing w:after="0" w:line="319" w:lineRule="auto"/>
        <w:framePr w:w="2460" w:h="1713" w:wrap="auto" w:vAnchor="page" w:hAnchor="page" w:x="280" w:y="6608"/>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w:t>
      </w:r>
      <w:r>
        <w:rPr>
          <w:rFonts w:ascii="Arial" w:cs="Arial" w:eastAsia="Arial" w:hAnsi="Arial"/>
          <w:sz w:val="16"/>
          <w:szCs w:val="16"/>
          <w:color w:val="auto"/>
        </w:rPr>
        <w:t>June 10, 2026</w:t>
      </w:r>
      <w:r>
        <w:rPr>
          <w:rFonts w:ascii="Arial" w:cs="Arial" w:eastAsia="Arial" w:hAnsi="Arial"/>
          <w:sz w:val="16"/>
          <w:szCs w:val="16"/>
          <w:b w:val="1"/>
          <w:bCs w:val="1"/>
          <w:color w:val="auto"/>
        </w:rPr>
        <w:t>:</w:t>
      </w:r>
    </w:p>
    <w:p>
      <w:pPr>
        <w:spacing w:after="0" w:line="191" w:lineRule="auto"/>
        <w:framePr w:w="1860" w:h="147" w:wrap="auto" w:vAnchor="page" w:hAnchor="page" w:x="280" w:y="5555"/>
        <w:rPr>
          <w:rFonts w:ascii="Arial" w:cs="Arial" w:eastAsia="Arial" w:hAnsi="Arial"/>
          <w:sz w:val="16"/>
          <w:szCs w:val="16"/>
          <w:b w:val="1"/>
          <w:bCs w:val="1"/>
          <w:color w:val="auto"/>
        </w:rPr>
      </w:pPr>
      <w:r>
        <w:rPr>
          <w:rFonts w:ascii="Arial" w:cs="Arial" w:eastAsia="Arial" w:hAnsi="Arial"/>
          <w:sz w:val="16"/>
          <w:szCs w:val="16"/>
          <w:b w:val="1"/>
          <w:bCs w:val="1"/>
          <w:color w:val="auto"/>
        </w:rPr>
        <w:t>Webcast only, access at:</w:t>
      </w:r>
    </w:p>
    <w:p>
      <w:pPr>
        <w:spacing w:after="0" w:line="297" w:lineRule="auto"/>
        <w:framePr w:w="1400" w:h="514" w:wrap="auto" w:vAnchor="page" w:hAnchor="page" w:x="280" w:y="3933"/>
        <w:rPr>
          <w:rFonts w:ascii="Arial" w:cs="Arial" w:eastAsia="Arial" w:hAnsi="Arial"/>
          <w:sz w:val="16"/>
          <w:szCs w:val="16"/>
          <w:b w:val="1"/>
          <w:bCs w:val="1"/>
          <w:color w:val="0079C1"/>
        </w:rPr>
      </w:pPr>
      <w:r>
        <w:rPr>
          <w:rFonts w:ascii="Arial" w:cs="Arial" w:eastAsia="Arial" w:hAnsi="Arial"/>
          <w:sz w:val="18"/>
          <w:szCs w:val="18"/>
          <w:b w:val="1"/>
          <w:bCs w:val="1"/>
          <w:color w:val="auto"/>
        </w:rPr>
        <w:t xml:space="preserve">Meeting Details </w:t>
      </w:r>
      <w:r>
        <w:rPr>
          <w:rFonts w:ascii="Arial" w:cs="Arial" w:eastAsia="Arial" w:hAnsi="Arial"/>
          <w:sz w:val="16"/>
          <w:szCs w:val="16"/>
          <w:b w:val="1"/>
          <w:bCs w:val="1"/>
          <w:color w:val="0079C1"/>
        </w:rPr>
        <w:t>When</w:t>
      </w:r>
    </w:p>
    <w:p>
      <w:pPr>
        <w:spacing w:after="0" w:line="262" w:lineRule="auto"/>
        <w:framePr w:w="1500" w:h="403" w:wrap="auto" w:vAnchor="page" w:hAnchor="page" w:x="280" w:y="4597"/>
        <w:rPr>
          <w:rFonts w:ascii="Arial" w:cs="Arial" w:eastAsia="Arial" w:hAnsi="Arial"/>
          <w:sz w:val="16"/>
          <w:szCs w:val="16"/>
          <w:b w:val="1"/>
          <w:bCs w:val="1"/>
          <w:color w:val="0079C1"/>
        </w:rPr>
      </w:pPr>
      <w:r>
        <w:rPr>
          <w:rFonts w:ascii="Arial" w:cs="Arial" w:eastAsia="Arial" w:hAnsi="Arial"/>
          <w:sz w:val="16"/>
          <w:szCs w:val="16"/>
          <w:b w:val="1"/>
          <w:bCs w:val="1"/>
          <w:color w:val="0079C1"/>
        </w:rPr>
        <w:t>7 a.m., Pacific time, on June 10, 2026</w:t>
      </w:r>
    </w:p>
    <w:p>
      <w:pPr>
        <w:spacing w:after="0" w:line="191" w:lineRule="auto"/>
        <w:framePr w:w="580" w:h="147" w:wrap="auto" w:vAnchor="page" w:hAnchor="page" w:x="280" w:y="5258"/>
        <w:rPr>
          <w:rFonts w:ascii="Arial" w:cs="Arial" w:eastAsia="Arial" w:hAnsi="Arial"/>
          <w:sz w:val="16"/>
          <w:szCs w:val="16"/>
          <w:b w:val="1"/>
          <w:bCs w:val="1"/>
          <w:color w:val="0079C1"/>
        </w:rPr>
      </w:pPr>
      <w:r>
        <w:rPr>
          <w:rFonts w:ascii="Arial" w:cs="Arial" w:eastAsia="Arial" w:hAnsi="Arial"/>
          <w:sz w:val="16"/>
          <w:szCs w:val="16"/>
          <w:b w:val="1"/>
          <w:bCs w:val="1"/>
          <w:color w:val="0079C1"/>
        </w:rPr>
        <w:t>Where</w:t>
      </w:r>
    </w:p>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53149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1495" cy="334645"/>
                    </a:xfrm>
                    <a:prstGeom prst="rect">
                      <a:avLst/>
                    </a:prstGeom>
                    <a:noFill/>
                  </pic:spPr>
                </pic:pic>
              </a:graphicData>
            </a:graphic>
          </wp:anchor>
        </w:drawing>
        <w:t>42307 Osgood Rd, Suite I</w:t>
      </w:r>
    </w:p>
    <w:p>
      <w:pPr>
        <w:spacing w:after="0" w:line="29" w:lineRule="exact"/>
        <w:rPr>
          <w:rFonts w:ascii="Arial" w:cs="Arial" w:eastAsia="Arial" w:hAnsi="Arial"/>
          <w:sz w:val="16"/>
          <w:szCs w:val="16"/>
          <w:b w:val="1"/>
          <w:bCs w:val="1"/>
          <w:color w:val="0079C1"/>
        </w:rPr>
      </w:pPr>
    </w:p>
    <w:p>
      <w:pPr>
        <w:jc w:val="right"/>
        <w:spacing w:after="0"/>
        <w:rPr>
          <w:sz w:val="20"/>
          <w:szCs w:val="20"/>
          <w:color w:val="auto"/>
        </w:rPr>
      </w:pPr>
      <w:r>
        <w:rPr>
          <w:rFonts w:ascii="Arial" w:cs="Arial" w:eastAsia="Arial" w:hAnsi="Arial"/>
          <w:sz w:val="14"/>
          <w:szCs w:val="14"/>
          <w:b w:val="1"/>
          <w:bCs w:val="1"/>
          <w:color w:val="auto"/>
        </w:rPr>
        <w:t>Fremont, California 94539</w:t>
      </w:r>
    </w:p>
    <w:p>
      <w:pPr>
        <w:spacing w:after="0" w:line="200" w:lineRule="exact"/>
        <w:rPr>
          <w:rFonts w:ascii="Arial" w:cs="Arial" w:eastAsia="Arial" w:hAnsi="Arial"/>
          <w:sz w:val="16"/>
          <w:szCs w:val="16"/>
          <w:b w:val="1"/>
          <w:bCs w:val="1"/>
          <w:color w:val="0079C1"/>
        </w:rPr>
      </w:pPr>
    </w:p>
    <w:p>
      <w:pPr>
        <w:spacing w:after="0" w:line="200" w:lineRule="exact"/>
        <w:rPr>
          <w:rFonts w:ascii="Arial" w:cs="Arial" w:eastAsia="Arial" w:hAnsi="Arial"/>
          <w:sz w:val="16"/>
          <w:szCs w:val="16"/>
          <w:b w:val="1"/>
          <w:bCs w:val="1"/>
          <w:color w:val="0079C1"/>
        </w:rPr>
      </w:pPr>
    </w:p>
    <w:p>
      <w:pPr>
        <w:spacing w:after="0" w:line="200" w:lineRule="exact"/>
        <w:rPr>
          <w:rFonts w:ascii="Arial" w:cs="Arial" w:eastAsia="Arial" w:hAnsi="Arial"/>
          <w:sz w:val="16"/>
          <w:szCs w:val="16"/>
          <w:b w:val="1"/>
          <w:bCs w:val="1"/>
          <w:color w:val="0079C1"/>
        </w:rPr>
      </w:pPr>
    </w:p>
    <w:p>
      <w:pPr>
        <w:spacing w:after="0" w:line="200" w:lineRule="exact"/>
        <w:rPr>
          <w:rFonts w:ascii="Arial" w:cs="Arial" w:eastAsia="Arial" w:hAnsi="Arial"/>
          <w:sz w:val="16"/>
          <w:szCs w:val="16"/>
          <w:b w:val="1"/>
          <w:bCs w:val="1"/>
          <w:color w:val="0079C1"/>
        </w:rPr>
      </w:pPr>
    </w:p>
    <w:p>
      <w:pPr>
        <w:spacing w:after="0" w:line="305" w:lineRule="exact"/>
        <w:rPr>
          <w:rFonts w:ascii="Arial" w:cs="Arial" w:eastAsia="Arial" w:hAnsi="Arial"/>
          <w:sz w:val="16"/>
          <w:szCs w:val="16"/>
          <w:b w:val="1"/>
          <w:bCs w:val="1"/>
          <w:color w:val="0079C1"/>
        </w:rPr>
      </w:pPr>
    </w:p>
    <w:p>
      <w:pPr>
        <w:ind w:right="3340"/>
        <w:spacing w:after="0" w:line="283" w:lineRule="auto"/>
        <w:rPr>
          <w:sz w:val="20"/>
          <w:szCs w:val="20"/>
          <w:color w:val="auto"/>
        </w:rPr>
      </w:pPr>
      <w:r>
        <w:rPr>
          <w:rFonts w:ascii="Arial" w:cs="Arial" w:eastAsia="Arial" w:hAnsi="Arial"/>
          <w:sz w:val="58"/>
          <w:szCs w:val="58"/>
          <w:color w:val="auto"/>
        </w:rPr>
        <w:t>Notice of 2026 Annual Meeting of Stockholders</w:t>
      </w:r>
    </w:p>
    <w:p>
      <w:pPr>
        <w:spacing w:after="0" w:line="359" w:lineRule="exact"/>
        <w:rPr>
          <w:rFonts w:ascii="Arial" w:cs="Arial" w:eastAsia="Arial" w:hAnsi="Arial"/>
          <w:sz w:val="16"/>
          <w:szCs w:val="16"/>
          <w:b w:val="1"/>
          <w:bCs w:val="1"/>
          <w:color w:val="0079C1"/>
        </w:rPr>
      </w:pPr>
    </w:p>
    <w:p>
      <w:pPr>
        <w:ind w:left="3100"/>
        <w:spacing w:after="0"/>
        <w:rPr>
          <w:sz w:val="20"/>
          <w:szCs w:val="20"/>
          <w:color w:val="auto"/>
        </w:rPr>
      </w:pPr>
      <w:r>
        <w:rPr>
          <w:rFonts w:ascii="Arial" w:cs="Arial" w:eastAsia="Arial" w:hAnsi="Arial"/>
          <w:sz w:val="25"/>
          <w:szCs w:val="25"/>
          <w:b w:val="1"/>
          <w:bCs w:val="1"/>
          <w:color w:val="0079C1"/>
        </w:rPr>
        <w:t>To Stockholders of ACM Research, Inc.:</w:t>
      </w:r>
    </w:p>
    <w:p>
      <w:pPr>
        <w:spacing w:after="0" w:line="222" w:lineRule="exact"/>
        <w:rPr>
          <w:rFonts w:ascii="Arial" w:cs="Arial" w:eastAsia="Arial" w:hAnsi="Arial"/>
          <w:sz w:val="16"/>
          <w:szCs w:val="16"/>
          <w:b w:val="1"/>
          <w:bCs w:val="1"/>
          <w:color w:val="0079C1"/>
        </w:rPr>
      </w:pPr>
    </w:p>
    <w:p>
      <w:pPr>
        <w:ind w:left="3100" w:right="120"/>
        <w:spacing w:after="0" w:line="347" w:lineRule="auto"/>
        <w:rPr>
          <w:sz w:val="20"/>
          <w:szCs w:val="20"/>
          <w:color w:val="auto"/>
        </w:rPr>
      </w:pPr>
      <w:r>
        <w:rPr>
          <w:rFonts w:ascii="Arial" w:cs="Arial" w:eastAsia="Arial" w:hAnsi="Arial"/>
          <w:sz w:val="16"/>
          <w:szCs w:val="16"/>
          <w:color w:val="auto"/>
        </w:rPr>
        <w:t>The board of directors is soliciting proxies for use at the ACM Research, Inc. 2026 Annual Meeting of Stockholders. You are receiving the enclosed proxy statement because you were a holder of Class A or Class B common stock as of 5 p.m., Eastern time, on the record date of April 13, 2026 and therefore are entitled to vote at the Annual Meeting.</w:t>
      </w:r>
    </w:p>
    <w:p>
      <w:pPr>
        <w:spacing w:after="0" w:line="137" w:lineRule="exact"/>
        <w:rPr>
          <w:rFonts w:ascii="Arial" w:cs="Arial" w:eastAsia="Arial" w:hAnsi="Arial"/>
          <w:sz w:val="16"/>
          <w:szCs w:val="16"/>
          <w:b w:val="1"/>
          <w:bCs w:val="1"/>
          <w:color w:val="0079C1"/>
        </w:rPr>
      </w:pPr>
    </w:p>
    <w:p>
      <w:pPr>
        <w:ind w:left="3100"/>
        <w:spacing w:after="0"/>
        <w:rPr>
          <w:sz w:val="20"/>
          <w:szCs w:val="20"/>
          <w:color w:val="auto"/>
        </w:rPr>
      </w:pPr>
      <w:r>
        <w:rPr>
          <w:rFonts w:ascii="Arial" w:cs="Arial" w:eastAsia="Arial" w:hAnsi="Arial"/>
          <w:sz w:val="16"/>
          <w:szCs w:val="16"/>
          <w:color w:val="auto"/>
        </w:rPr>
        <w:t>You may participate in the Annual Meeting, including casting votes and submitting questions, by accessing a</w:t>
      </w:r>
    </w:p>
    <w:p>
      <w:pPr>
        <w:spacing w:after="0" w:line="12" w:lineRule="exact"/>
        <w:rPr>
          <w:rFonts w:ascii="Arial" w:cs="Arial" w:eastAsia="Arial" w:hAnsi="Arial"/>
          <w:sz w:val="16"/>
          <w:szCs w:val="16"/>
          <w:b w:val="1"/>
          <w:bCs w:val="1"/>
          <w:color w:val="0079C1"/>
        </w:rPr>
      </w:pPr>
    </w:p>
    <w:p>
      <w:pPr>
        <w:spacing w:after="0"/>
        <w:rPr>
          <w:sz w:val="20"/>
          <w:szCs w:val="20"/>
          <w:color w:val="auto"/>
        </w:rPr>
      </w:pPr>
      <w:r>
        <w:rPr>
          <w:rFonts w:ascii="Arial" w:cs="Arial" w:eastAsia="Arial" w:hAnsi="Arial"/>
          <w:sz w:val="29"/>
          <w:szCs w:val="29"/>
          <w:color w:val="auto"/>
          <w:vertAlign w:val="superscript"/>
        </w:rPr>
        <w:t>virtualshareholdermeeting.com/ACMR2026</w:t>
      </w:r>
      <w:r>
        <w:rPr>
          <w:rFonts w:ascii="Arial" w:cs="Arial" w:eastAsia="Arial" w:hAnsi="Arial"/>
          <w:sz w:val="15"/>
          <w:szCs w:val="15"/>
          <w:color w:val="auto"/>
        </w:rPr>
        <w:t>live webcast at virtualshareholdermeeting.com/ACMR2026 and then using the 16-digit control number provided</w:t>
      </w:r>
    </w:p>
    <w:p>
      <w:pPr>
        <w:ind w:left="3100" w:right="140"/>
        <w:spacing w:after="0" w:line="340" w:lineRule="auto"/>
        <w:rPr>
          <w:sz w:val="20"/>
          <w:szCs w:val="20"/>
          <w:color w:val="auto"/>
        </w:rPr>
      </w:pPr>
      <w:r>
        <w:rPr>
          <w:rFonts w:ascii="Arial" w:cs="Arial" w:eastAsia="Arial" w:hAnsi="Arial"/>
          <w:sz w:val="16"/>
          <w:szCs w:val="16"/>
          <w:color w:val="auto"/>
        </w:rPr>
        <w:t>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w:t>
      </w:r>
    </w:p>
    <w:p>
      <w:pPr>
        <w:spacing w:after="0" w:line="125" w:lineRule="exact"/>
        <w:rPr>
          <w:rFonts w:ascii="Arial" w:cs="Arial" w:eastAsia="Arial" w:hAnsi="Arial"/>
          <w:sz w:val="16"/>
          <w:szCs w:val="16"/>
          <w:b w:val="1"/>
          <w:bCs w:val="1"/>
          <w:color w:val="0079C1"/>
        </w:rPr>
      </w:pPr>
    </w:p>
    <w:p>
      <w:pPr>
        <w:ind w:left="3100"/>
        <w:spacing w:after="0"/>
        <w:rPr>
          <w:sz w:val="20"/>
          <w:szCs w:val="20"/>
          <w:color w:val="auto"/>
        </w:rPr>
      </w:pPr>
      <w:r>
        <w:rPr>
          <w:rFonts w:ascii="Arial" w:cs="Arial" w:eastAsia="Arial" w:hAnsi="Arial"/>
          <w:sz w:val="18"/>
          <w:szCs w:val="18"/>
          <w:b w:val="1"/>
          <w:bCs w:val="1"/>
          <w:color w:val="auto"/>
        </w:rPr>
        <w:t>How to Vote in Advance</w:t>
      </w:r>
    </w:p>
    <w:p>
      <w:pPr>
        <w:spacing w:after="0" w:line="162" w:lineRule="exact"/>
        <w:rPr>
          <w:rFonts w:ascii="Arial" w:cs="Arial" w:eastAsia="Arial" w:hAnsi="Arial"/>
          <w:sz w:val="16"/>
          <w:szCs w:val="16"/>
          <w:b w:val="1"/>
          <w:bCs w:val="1"/>
          <w:color w:val="0079C1"/>
        </w:rPr>
      </w:pPr>
    </w:p>
    <w:p>
      <w:pPr>
        <w:ind w:left="3100" w:right="420"/>
        <w:spacing w:after="0" w:line="374" w:lineRule="auto"/>
        <w:rPr>
          <w:sz w:val="20"/>
          <w:szCs w:val="20"/>
          <w:color w:val="auto"/>
        </w:rPr>
      </w:pPr>
      <w:r>
        <w:rPr>
          <w:rFonts w:ascii="Arial" w:cs="Arial" w:eastAsia="Arial" w:hAnsi="Arial"/>
          <w:sz w:val="16"/>
          <w:szCs w:val="16"/>
          <w:color w:val="auto"/>
        </w:rPr>
        <w:t>Your vote is important. Please vote as soon as possible by one of the methods shown below. Your Notice of Internet Availability of Proxy Materials, proxy card or voting instruction form should be readily available.</w:t>
      </w:r>
    </w:p>
    <w:p>
      <w:pPr>
        <w:spacing w:after="0" w:line="20" w:lineRule="exact"/>
        <w:rPr>
          <w:rFonts w:ascii="Arial" w:cs="Arial" w:eastAsia="Arial" w:hAnsi="Arial"/>
          <w:sz w:val="16"/>
          <w:szCs w:val="16"/>
          <w:b w:val="1"/>
          <w:bCs w:val="1"/>
          <w:color w:val="0079C1"/>
        </w:rPr>
      </w:pPr>
      <w:r>
        <w:rPr>
          <w:rFonts w:ascii="Arial" w:cs="Arial" w:eastAsia="Arial" w:hAnsi="Arial"/>
          <w:sz w:val="16"/>
          <w:szCs w:val="16"/>
          <w:b w:val="1"/>
          <w:bCs w:val="1"/>
          <w:color w:val="0079C1"/>
        </w:rPr>
        <w:drawing>
          <wp:anchor simplePos="0" relativeHeight="251657728" behindDoc="1" locked="0" layoutInCell="0" allowOverlap="1">
            <wp:simplePos x="0" y="0"/>
            <wp:positionH relativeFrom="column">
              <wp:posOffset>1985010</wp:posOffset>
            </wp:positionH>
            <wp:positionV relativeFrom="paragraph">
              <wp:posOffset>47625</wp:posOffset>
            </wp:positionV>
            <wp:extent cx="240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47625</wp:posOffset>
            </wp:positionV>
            <wp:extent cx="16256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25717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47625</wp:posOffset>
            </wp:positionV>
            <wp:extent cx="2825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82" w:lineRule="exact"/>
        <w:rPr>
          <w:rFonts w:ascii="Arial" w:cs="Arial" w:eastAsia="Arial" w:hAnsi="Arial"/>
          <w:sz w:val="16"/>
          <w:szCs w:val="16"/>
          <w:b w:val="1"/>
          <w:bCs w:val="1"/>
          <w:color w:val="0079C1"/>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3220" w:type="dxa"/>
            <w:vAlign w:val="bottom"/>
          </w:tcPr>
          <w:p>
            <w:pPr>
              <w:ind w:left="1220"/>
              <w:spacing w:after="0"/>
              <w:rPr>
                <w:sz w:val="20"/>
                <w:szCs w:val="20"/>
                <w:color w:val="auto"/>
              </w:rPr>
            </w:pPr>
            <w:r>
              <w:rPr>
                <w:rFonts w:ascii="Arial" w:cs="Arial" w:eastAsia="Arial" w:hAnsi="Arial"/>
                <w:sz w:val="16"/>
                <w:szCs w:val="16"/>
                <w:b w:val="1"/>
                <w:bCs w:val="1"/>
                <w:color w:val="0079C1"/>
              </w:rPr>
              <w:t>Internet</w:t>
            </w:r>
          </w:p>
        </w:tc>
        <w:tc>
          <w:tcPr>
            <w:tcW w:w="3340" w:type="dxa"/>
            <w:vAlign w:val="bottom"/>
          </w:tcPr>
          <w:p>
            <w:pPr>
              <w:ind w:left="780"/>
              <w:spacing w:after="0"/>
              <w:rPr>
                <w:sz w:val="20"/>
                <w:szCs w:val="20"/>
                <w:color w:val="auto"/>
              </w:rPr>
            </w:pPr>
            <w:r>
              <w:rPr>
                <w:rFonts w:ascii="Arial" w:cs="Arial" w:eastAsia="Arial" w:hAnsi="Arial"/>
                <w:sz w:val="16"/>
                <w:szCs w:val="16"/>
                <w:b w:val="1"/>
                <w:bCs w:val="1"/>
                <w:color w:val="0079C1"/>
              </w:rPr>
              <w:t>Telephone</w:t>
            </w:r>
          </w:p>
        </w:tc>
        <w:tc>
          <w:tcPr>
            <w:tcW w:w="1800" w:type="dxa"/>
            <w:vAlign w:val="bottom"/>
          </w:tcPr>
          <w:p>
            <w:pPr>
              <w:ind w:left="200"/>
              <w:spacing w:after="0"/>
              <w:rPr>
                <w:sz w:val="20"/>
                <w:szCs w:val="20"/>
                <w:color w:val="auto"/>
              </w:rPr>
            </w:pPr>
            <w:r>
              <w:rPr>
                <w:rFonts w:ascii="Arial" w:cs="Arial" w:eastAsia="Arial" w:hAnsi="Arial"/>
                <w:sz w:val="16"/>
                <w:szCs w:val="16"/>
                <w:b w:val="1"/>
                <w:bCs w:val="1"/>
                <w:color w:val="0079C1"/>
              </w:rPr>
              <w:t>Mail</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The Notice of 2026 Annual</w:t>
            </w:r>
          </w:p>
        </w:tc>
        <w:tc>
          <w:tcPr>
            <w:tcW w:w="3220" w:type="dxa"/>
            <w:vAlign w:val="bottom"/>
          </w:tcPr>
          <w:p>
            <w:pPr>
              <w:ind w:left="1220"/>
              <w:spacing w:after="0"/>
              <w:rPr>
                <w:sz w:val="20"/>
                <w:szCs w:val="20"/>
                <w:color w:val="auto"/>
              </w:rPr>
            </w:pPr>
            <w:r>
              <w:rPr>
                <w:rFonts w:ascii="Arial" w:cs="Arial" w:eastAsia="Arial" w:hAnsi="Arial"/>
                <w:sz w:val="14"/>
                <w:szCs w:val="14"/>
                <w:color w:val="auto"/>
              </w:rPr>
              <w:t>Vote from any web-</w:t>
            </w:r>
          </w:p>
        </w:tc>
        <w:tc>
          <w:tcPr>
            <w:tcW w:w="3340" w:type="dxa"/>
            <w:vAlign w:val="bottom"/>
          </w:tcPr>
          <w:p>
            <w:pPr>
              <w:ind w:left="780"/>
              <w:spacing w:after="0"/>
              <w:rPr>
                <w:sz w:val="20"/>
                <w:szCs w:val="20"/>
                <w:color w:val="auto"/>
              </w:rPr>
            </w:pPr>
            <w:r>
              <w:rPr>
                <w:rFonts w:ascii="Arial" w:cs="Arial" w:eastAsia="Arial" w:hAnsi="Arial"/>
                <w:sz w:val="14"/>
                <w:szCs w:val="14"/>
                <w:color w:val="auto"/>
              </w:rPr>
              <w:t>Vote toll-free by calling</w:t>
            </w:r>
          </w:p>
        </w:tc>
        <w:tc>
          <w:tcPr>
            <w:tcW w:w="1800" w:type="dxa"/>
            <w:vAlign w:val="bottom"/>
          </w:tcPr>
          <w:p>
            <w:pPr>
              <w:ind w:left="200"/>
              <w:spacing w:after="0"/>
              <w:rPr>
                <w:sz w:val="20"/>
                <w:szCs w:val="20"/>
                <w:color w:val="auto"/>
              </w:rPr>
            </w:pPr>
            <w:r>
              <w:rPr>
                <w:rFonts w:ascii="Arial" w:cs="Arial" w:eastAsia="Arial" w:hAnsi="Arial"/>
                <w:sz w:val="14"/>
                <w:szCs w:val="14"/>
                <w:color w:val="auto"/>
              </w:rPr>
              <w:t>Vote by mailing a signed,</w:t>
            </w:r>
          </w:p>
        </w:tc>
        <w:tc>
          <w:tcPr>
            <w:tcW w:w="0" w:type="dxa"/>
            <w:vAlign w:val="bottom"/>
          </w:tcPr>
          <w:p>
            <w:pPr>
              <w:spacing w:after="0"/>
              <w:rPr>
                <w:sz w:val="1"/>
                <w:szCs w:val="1"/>
                <w:color w:val="auto"/>
              </w:rPr>
            </w:pPr>
          </w:p>
        </w:tc>
      </w:tr>
      <w:tr>
        <w:trPr>
          <w:trHeight w:val="175"/>
        </w:trPr>
        <w:tc>
          <w:tcPr>
            <w:tcW w:w="2680" w:type="dxa"/>
            <w:vAlign w:val="bottom"/>
            <w:vMerge w:val="restart"/>
          </w:tcPr>
          <w:p>
            <w:pPr>
              <w:spacing w:after="0"/>
              <w:rPr>
                <w:sz w:val="20"/>
                <w:szCs w:val="20"/>
                <w:color w:val="auto"/>
              </w:rPr>
            </w:pPr>
            <w:r>
              <w:rPr>
                <w:rFonts w:ascii="Arial" w:cs="Arial" w:eastAsia="Arial" w:hAnsi="Arial"/>
                <w:sz w:val="16"/>
                <w:szCs w:val="16"/>
                <w:color w:val="auto"/>
              </w:rPr>
              <w:t>Meeting of Stockholders, the</w:t>
            </w:r>
          </w:p>
        </w:tc>
        <w:tc>
          <w:tcPr>
            <w:tcW w:w="3220" w:type="dxa"/>
            <w:vAlign w:val="bottom"/>
          </w:tcPr>
          <w:p>
            <w:pPr>
              <w:ind w:left="1220"/>
              <w:spacing w:after="0"/>
              <w:rPr>
                <w:sz w:val="20"/>
                <w:szCs w:val="20"/>
                <w:color w:val="auto"/>
              </w:rPr>
            </w:pPr>
            <w:r>
              <w:rPr>
                <w:rFonts w:ascii="Arial" w:cs="Arial" w:eastAsia="Arial" w:hAnsi="Arial"/>
                <w:sz w:val="14"/>
                <w:szCs w:val="14"/>
                <w:color w:val="auto"/>
              </w:rPr>
              <w:t>enabled device at</w:t>
            </w:r>
          </w:p>
        </w:tc>
        <w:tc>
          <w:tcPr>
            <w:tcW w:w="3340" w:type="dxa"/>
            <w:vAlign w:val="bottom"/>
          </w:tcPr>
          <w:p>
            <w:pPr>
              <w:ind w:left="780"/>
              <w:spacing w:after="0"/>
              <w:rPr>
                <w:sz w:val="20"/>
                <w:szCs w:val="20"/>
                <w:color w:val="auto"/>
              </w:rPr>
            </w:pPr>
            <w:r>
              <w:rPr>
                <w:rFonts w:ascii="Arial" w:cs="Arial" w:eastAsia="Arial" w:hAnsi="Arial"/>
                <w:sz w:val="14"/>
                <w:szCs w:val="14"/>
                <w:color w:val="auto"/>
              </w:rPr>
              <w:t>+1.800.690.6903</w:t>
            </w:r>
          </w:p>
        </w:tc>
        <w:tc>
          <w:tcPr>
            <w:tcW w:w="1800" w:type="dxa"/>
            <w:vAlign w:val="bottom"/>
          </w:tcPr>
          <w:p>
            <w:pPr>
              <w:ind w:left="200"/>
              <w:spacing w:after="0"/>
              <w:rPr>
                <w:sz w:val="20"/>
                <w:szCs w:val="20"/>
                <w:color w:val="auto"/>
              </w:rPr>
            </w:pPr>
            <w:r>
              <w:rPr>
                <w:rFonts w:ascii="Arial" w:cs="Arial" w:eastAsia="Arial" w:hAnsi="Arial"/>
                <w:sz w:val="14"/>
                <w:szCs w:val="14"/>
                <w:color w:val="auto"/>
              </w:rPr>
              <w:t>completed proxy card in</w:t>
            </w:r>
          </w:p>
        </w:tc>
        <w:tc>
          <w:tcPr>
            <w:tcW w:w="0" w:type="dxa"/>
            <w:vAlign w:val="bottom"/>
          </w:tcPr>
          <w:p>
            <w:pPr>
              <w:spacing w:after="0"/>
              <w:rPr>
                <w:sz w:val="1"/>
                <w:szCs w:val="1"/>
                <w:color w:val="auto"/>
              </w:rPr>
            </w:pPr>
          </w:p>
        </w:tc>
      </w:tr>
      <w:tr>
        <w:trPr>
          <w:trHeight w:val="88"/>
        </w:trPr>
        <w:tc>
          <w:tcPr>
            <w:tcW w:w="2680" w:type="dxa"/>
            <w:vAlign w:val="bottom"/>
            <w:vMerge w:val="continue"/>
          </w:tcPr>
          <w:p>
            <w:pPr>
              <w:spacing w:after="0"/>
              <w:rPr>
                <w:sz w:val="7"/>
                <w:szCs w:val="7"/>
                <w:color w:val="auto"/>
              </w:rPr>
            </w:pPr>
          </w:p>
        </w:tc>
        <w:tc>
          <w:tcPr>
            <w:tcW w:w="3220" w:type="dxa"/>
            <w:vAlign w:val="bottom"/>
            <w:vMerge w:val="restart"/>
          </w:tcPr>
          <w:p>
            <w:pPr>
              <w:ind w:left="1220"/>
              <w:spacing w:after="0"/>
              <w:rPr>
                <w:sz w:val="20"/>
                <w:szCs w:val="20"/>
                <w:color w:val="auto"/>
              </w:rPr>
            </w:pPr>
            <w:r>
              <w:rPr>
                <w:rFonts w:ascii="Arial" w:cs="Arial" w:eastAsia="Arial" w:hAnsi="Arial"/>
                <w:sz w:val="14"/>
                <w:szCs w:val="14"/>
                <w:color w:val="auto"/>
              </w:rPr>
              <w:t>proxyvote.com</w:t>
            </w:r>
          </w:p>
        </w:tc>
        <w:tc>
          <w:tcPr>
            <w:tcW w:w="3340" w:type="dxa"/>
            <w:vAlign w:val="bottom"/>
          </w:tcPr>
          <w:p>
            <w:pPr>
              <w:spacing w:after="0"/>
              <w:rPr>
                <w:sz w:val="7"/>
                <w:szCs w:val="7"/>
                <w:color w:val="auto"/>
              </w:rPr>
            </w:pPr>
          </w:p>
        </w:tc>
        <w:tc>
          <w:tcPr>
            <w:tcW w:w="1800" w:type="dxa"/>
            <w:vAlign w:val="bottom"/>
            <w:vMerge w:val="restart"/>
          </w:tcPr>
          <w:p>
            <w:pPr>
              <w:ind w:left="200"/>
              <w:spacing w:after="0"/>
              <w:rPr>
                <w:sz w:val="20"/>
                <w:szCs w:val="20"/>
                <w:color w:val="auto"/>
              </w:rPr>
            </w:pPr>
            <w:r>
              <w:rPr>
                <w:rFonts w:ascii="Arial" w:cs="Arial" w:eastAsia="Arial" w:hAnsi="Arial"/>
                <w:sz w:val="14"/>
                <w:szCs w:val="14"/>
                <w:color w:val="auto"/>
              </w:rPr>
              <w:t>the postage-paid,</w:t>
            </w:r>
          </w:p>
        </w:tc>
        <w:tc>
          <w:tcPr>
            <w:tcW w:w="0" w:type="dxa"/>
            <w:vAlign w:val="bottom"/>
          </w:tcPr>
          <w:p>
            <w:pPr>
              <w:spacing w:after="0"/>
              <w:rPr>
                <w:sz w:val="1"/>
                <w:szCs w:val="1"/>
                <w:color w:val="auto"/>
              </w:rPr>
            </w:pPr>
          </w:p>
        </w:tc>
      </w:tr>
      <w:tr>
        <w:trPr>
          <w:trHeight w:val="87"/>
        </w:trPr>
        <w:tc>
          <w:tcPr>
            <w:tcW w:w="2680" w:type="dxa"/>
            <w:vAlign w:val="bottom"/>
            <w:vMerge w:val="restart"/>
          </w:tcPr>
          <w:p>
            <w:pPr>
              <w:spacing w:after="0"/>
              <w:rPr>
                <w:sz w:val="20"/>
                <w:szCs w:val="20"/>
                <w:color w:val="auto"/>
              </w:rPr>
            </w:pPr>
            <w:r>
              <w:rPr>
                <w:rFonts w:ascii="Arial" w:cs="Arial" w:eastAsia="Arial" w:hAnsi="Arial"/>
                <w:sz w:val="16"/>
                <w:szCs w:val="16"/>
                <w:color w:val="auto"/>
              </w:rPr>
              <w:t>Proxy Statement, the 2026</w:t>
            </w:r>
          </w:p>
        </w:tc>
        <w:tc>
          <w:tcPr>
            <w:tcW w:w="322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68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pre-addressed envelope</w:t>
            </w: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r>
              <w:rPr>
                <w:rFonts w:ascii="Arial" w:cs="Arial" w:eastAsia="Arial" w:hAnsi="Arial"/>
                <w:sz w:val="16"/>
                <w:szCs w:val="16"/>
                <w:color w:val="auto"/>
              </w:rPr>
              <w:t>Annual Report to Stockholders</w:t>
            </w:r>
          </w:p>
        </w:tc>
        <w:tc>
          <w:tcPr>
            <w:tcW w:w="32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6"/>
                <w:szCs w:val="16"/>
                <w:color w:val="auto"/>
              </w:rPr>
              <w:t>and instructions for voting via</w:t>
            </w:r>
          </w:p>
        </w:tc>
        <w:tc>
          <w:tcPr>
            <w:tcW w:w="32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the Internet can be accessed at</w:t>
            </w:r>
          </w:p>
        </w:tc>
        <w:tc>
          <w:tcPr>
            <w:tcW w:w="32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80" w:type="dxa"/>
            <w:vAlign w:val="bottom"/>
          </w:tcPr>
          <w:p>
            <w:pPr>
              <w:spacing w:after="0"/>
              <w:rPr>
                <w:sz w:val="20"/>
                <w:szCs w:val="20"/>
                <w:color w:val="auto"/>
              </w:rPr>
            </w:pPr>
            <w:r>
              <w:rPr>
                <w:rFonts w:ascii="Arial" w:cs="Arial" w:eastAsia="Arial" w:hAnsi="Arial"/>
                <w:sz w:val="16"/>
                <w:szCs w:val="16"/>
                <w:color w:val="auto"/>
              </w:rPr>
              <w:t>proxyvote.com.</w:t>
            </w:r>
          </w:p>
        </w:tc>
        <w:tc>
          <w:tcPr>
            <w:tcW w:w="6560" w:type="dxa"/>
            <w:vAlign w:val="bottom"/>
            <w:gridSpan w:val="2"/>
          </w:tcPr>
          <w:p>
            <w:pPr>
              <w:ind w:left="420"/>
              <w:spacing w:after="0"/>
              <w:rPr>
                <w:sz w:val="20"/>
                <w:szCs w:val="20"/>
                <w:color w:val="auto"/>
              </w:rPr>
            </w:pPr>
            <w:r>
              <w:rPr>
                <w:rFonts w:ascii="Arial" w:cs="Arial" w:eastAsia="Arial" w:hAnsi="Arial"/>
                <w:sz w:val="16"/>
                <w:szCs w:val="16"/>
                <w:color w:val="auto"/>
              </w:rPr>
              <w:t>The Annual Meeting will be held to consider and vote upon the following proposals:</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b w:val="1"/>
          <w:bCs w:val="1"/>
          <w:color w:val="0079C1"/>
        </w:rPr>
      </w:pPr>
      <w:r>
        <w:rPr>
          <w:rFonts w:ascii="Arial" w:cs="Arial" w:eastAsia="Arial" w:hAnsi="Arial"/>
          <w:sz w:val="16"/>
          <w:szCs w:val="16"/>
          <w:b w:val="1"/>
          <w:bCs w:val="1"/>
          <w:color w:val="0079C1"/>
        </w:rPr>
        <w:drawing>
          <wp:anchor simplePos="0" relativeHeight="251657728" behindDoc="1" locked="0" layoutInCell="0" allowOverlap="1">
            <wp:simplePos x="0" y="0"/>
            <wp:positionH relativeFrom="column">
              <wp:posOffset>1967865</wp:posOffset>
            </wp:positionH>
            <wp:positionV relativeFrom="paragraph">
              <wp:posOffset>129540</wp:posOffset>
            </wp:positionV>
            <wp:extent cx="509206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92065" cy="205740"/>
                    </a:xfrm>
                    <a:prstGeom prst="rect">
                      <a:avLst/>
                    </a:prstGeom>
                    <a:noFill/>
                  </pic:spPr>
                </pic:pic>
              </a:graphicData>
            </a:graphic>
          </wp:anchor>
        </w:drawing>
      </w:r>
    </w:p>
    <w:p>
      <w:pPr>
        <w:spacing w:after="0" w:line="202" w:lineRule="exact"/>
        <w:rPr>
          <w:rFonts w:ascii="Arial" w:cs="Arial" w:eastAsia="Arial" w:hAnsi="Arial"/>
          <w:sz w:val="16"/>
          <w:szCs w:val="16"/>
          <w:b w:val="1"/>
          <w:bCs w:val="1"/>
          <w:color w:val="0079C1"/>
        </w:rPr>
      </w:pPr>
    </w:p>
    <w:p>
      <w:pPr>
        <w:ind w:left="3200"/>
        <w:spacing w:after="0"/>
        <w:rPr>
          <w:sz w:val="20"/>
          <w:szCs w:val="20"/>
          <w:color w:val="auto"/>
        </w:rPr>
      </w:pPr>
      <w:r>
        <w:rPr>
          <w:rFonts w:ascii="Arial" w:cs="Arial" w:eastAsia="Arial" w:hAnsi="Arial"/>
          <w:sz w:val="14"/>
          <w:szCs w:val="14"/>
          <w:b w:val="1"/>
          <w:bCs w:val="1"/>
          <w:color w:val="FFFFFF"/>
        </w:rPr>
        <w:t>Proposal</w:t>
      </w:r>
    </w:p>
    <w:p>
      <w:pPr>
        <w:ind w:left="3960" w:hanging="638"/>
        <w:spacing w:after="0" w:line="213" w:lineRule="auto"/>
        <w:tabs>
          <w:tab w:leader="none" w:pos="3960" w:val="left"/>
        </w:tabs>
        <w:numPr>
          <w:ilvl w:val="0"/>
          <w:numId w:val="4"/>
        </w:numPr>
        <w:rPr>
          <w:rFonts w:ascii="Arial" w:cs="Arial" w:eastAsia="Arial" w:hAnsi="Arial"/>
          <w:sz w:val="43"/>
          <w:szCs w:val="43"/>
          <w:color w:val="auto"/>
        </w:rPr>
      </w:pPr>
      <w:r>
        <w:rPr>
          <w:rFonts w:ascii="Arial" w:cs="Arial" w:eastAsia="Arial" w:hAnsi="Arial"/>
          <w:sz w:val="16"/>
          <w:szCs w:val="16"/>
          <w:color w:val="auto"/>
        </w:rPr>
        <w:t>Election of four directors</w:t>
      </w:r>
    </w:p>
    <w:p>
      <w:pPr>
        <w:spacing w:after="0" w:line="20" w:lineRule="exact"/>
        <w:rPr>
          <w:rFonts w:ascii="Arial" w:cs="Arial" w:eastAsia="Arial" w:hAnsi="Arial"/>
          <w:sz w:val="16"/>
          <w:szCs w:val="16"/>
          <w:b w:val="1"/>
          <w:bCs w:val="1"/>
          <w:color w:val="0079C1"/>
        </w:rPr>
      </w:pPr>
      <w:r>
        <w:rPr>
          <w:rFonts w:ascii="Arial" w:cs="Arial" w:eastAsia="Arial" w:hAnsi="Arial"/>
          <w:sz w:val="16"/>
          <w:szCs w:val="16"/>
          <w:b w:val="1"/>
          <w:bCs w:val="1"/>
          <w:color w:val="0079C1"/>
        </w:rPr>
        <w:drawing>
          <wp:anchor simplePos="0" relativeHeight="251657728" behindDoc="1" locked="0" layoutInCell="0" allowOverlap="1">
            <wp:simplePos x="0" y="0"/>
            <wp:positionH relativeFrom="column">
              <wp:posOffset>1967865</wp:posOffset>
            </wp:positionH>
            <wp:positionV relativeFrom="paragraph">
              <wp:posOffset>173355</wp:posOffset>
            </wp:positionV>
            <wp:extent cx="5092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67" w:lineRule="exact"/>
        <w:rPr>
          <w:rFonts w:ascii="Arial" w:cs="Arial" w:eastAsia="Arial" w:hAnsi="Arial"/>
          <w:sz w:val="16"/>
          <w:szCs w:val="16"/>
          <w:b w:val="1"/>
          <w:bCs w:val="1"/>
          <w:color w:val="0079C1"/>
        </w:rPr>
      </w:pPr>
    </w:p>
    <w:p>
      <w:pPr>
        <w:ind w:left="3960" w:hanging="638"/>
        <w:spacing w:after="0"/>
        <w:tabs>
          <w:tab w:leader="none" w:pos="3960" w:val="left"/>
        </w:tabs>
        <w:numPr>
          <w:ilvl w:val="0"/>
          <w:numId w:val="5"/>
        </w:numPr>
        <w:rPr>
          <w:rFonts w:ascii="Arial" w:cs="Arial" w:eastAsia="Arial" w:hAnsi="Arial"/>
          <w:sz w:val="43"/>
          <w:szCs w:val="43"/>
          <w:color w:val="auto"/>
        </w:rPr>
      </w:pPr>
      <w:r>
        <w:rPr>
          <w:rFonts w:ascii="Arial" w:cs="Arial" w:eastAsia="Arial" w:hAnsi="Arial"/>
          <w:sz w:val="16"/>
          <w:szCs w:val="16"/>
          <w:color w:val="auto"/>
        </w:rPr>
        <w:t>Ratification of appointment of independent auditor for 2026</w:t>
      </w:r>
    </w:p>
    <w:p>
      <w:pPr>
        <w:spacing w:after="0" w:line="20" w:lineRule="exact"/>
        <w:rPr>
          <w:rFonts w:ascii="Arial" w:cs="Arial" w:eastAsia="Arial" w:hAnsi="Arial"/>
          <w:sz w:val="16"/>
          <w:szCs w:val="16"/>
          <w:b w:val="1"/>
          <w:bCs w:val="1"/>
          <w:color w:val="0079C1"/>
        </w:rPr>
      </w:pPr>
      <w:r>
        <w:rPr>
          <w:rFonts w:ascii="Arial" w:cs="Arial" w:eastAsia="Arial" w:hAnsi="Arial"/>
          <w:sz w:val="16"/>
          <w:szCs w:val="16"/>
          <w:b w:val="1"/>
          <w:bCs w:val="1"/>
          <w:color w:val="0079C1"/>
        </w:rPr>
        <w:drawing>
          <wp:anchor simplePos="0" relativeHeight="251657728" behindDoc="1" locked="0" layoutInCell="0" allowOverlap="1">
            <wp:simplePos x="0" y="0"/>
            <wp:positionH relativeFrom="column">
              <wp:posOffset>1967865</wp:posOffset>
            </wp:positionH>
            <wp:positionV relativeFrom="paragraph">
              <wp:posOffset>172720</wp:posOffset>
            </wp:positionV>
            <wp:extent cx="5092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0079C1"/>
        </w:rPr>
      </w:pPr>
    </w:p>
    <w:p>
      <w:pPr>
        <w:spacing w:after="0" w:line="321" w:lineRule="exact"/>
        <w:rPr>
          <w:rFonts w:ascii="Arial" w:cs="Arial" w:eastAsia="Arial" w:hAnsi="Arial"/>
          <w:sz w:val="16"/>
          <w:szCs w:val="16"/>
          <w:b w:val="1"/>
          <w:bCs w:val="1"/>
          <w:color w:val="0079C1"/>
        </w:rPr>
      </w:pPr>
    </w:p>
    <w:p>
      <w:pPr>
        <w:jc w:val="both"/>
        <w:ind w:left="3100" w:right="380"/>
        <w:spacing w:after="0" w:line="363" w:lineRule="auto"/>
        <w:rPr>
          <w:sz w:val="20"/>
          <w:szCs w:val="20"/>
          <w:color w:val="auto"/>
        </w:rPr>
      </w:pPr>
      <w:r>
        <w:rPr>
          <w:rFonts w:ascii="Arial" w:cs="Arial" w:eastAsia="Arial" w:hAnsi="Arial"/>
          <w:sz w:val="16"/>
          <w:szCs w:val="16"/>
          <w:color w:val="auto"/>
        </w:rPr>
        <w:t>In addition, any other business properly presented may be acted upon at the Annual Meeting. Each share of Class A common stock is entitled to one vote, and each share of Class B common stock is entitled to twenty votes for each proposal.</w:t>
      </w:r>
    </w:p>
    <w:p>
      <w:pPr>
        <w:sectPr>
          <w:pgSz w:w="11900" w:h="16838" w:orient="portrait"/>
          <w:cols w:equalWidth="0" w:num="1">
            <w:col w:w="11220"/>
          </w:cols>
          <w:pgMar w:left="320" w:top="508"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531495"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1495" cy="334645"/>
                    </a:xfrm>
                    <a:prstGeom prst="rect">
                      <a:avLst/>
                    </a:prstGeom>
                    <a:noFill/>
                  </pic:spPr>
                </pic:pic>
              </a:graphicData>
            </a:graphic>
          </wp:anchor>
        </w:drawing>
        <w:t>42307 Osgood Rd, Suite I</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374" w:lineRule="auto"/>
        <w:rPr>
          <w:sz w:val="20"/>
          <w:szCs w:val="20"/>
          <w:color w:val="auto"/>
        </w:rPr>
      </w:pPr>
      <w:r>
        <w:rPr>
          <w:rFonts w:ascii="Arial" w:cs="Arial" w:eastAsia="Arial" w:hAnsi="Arial"/>
          <w:sz w:val="16"/>
          <w:szCs w:val="16"/>
          <w:color w:val="auto"/>
        </w:rPr>
        <w:t>In accordance with Securities and Exchange Commission rules, we are providing stockholders with access to proxy materials on the Internet, instead of mailing printed copies. We are mailing to stockholders, commencing on or about April 27, 2026, a Notice of Internet Availability of Proxy Materials to provide:</w:t>
      </w:r>
    </w:p>
    <w:p>
      <w:pPr>
        <w:spacing w:after="0" w:line="10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directions for accessing and reviewing the proxy materials on the Internet and submitting a proxy over the Internet or by telephone;</w:t>
      </w:r>
    </w:p>
    <w:p>
      <w:pPr>
        <w:spacing w:after="0" w:line="140"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instructions for requesting copies of proxy materials in printed form or by email at no charge; and</w:t>
      </w:r>
    </w:p>
    <w:p>
      <w:pPr>
        <w:spacing w:after="0" w:line="126"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control number for use in submitting proxies and accessing the Annual Meeting webcast.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Mark McKechnie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3658235</wp:posOffset>
            </wp:positionV>
            <wp:extent cx="7132320" cy="1466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right="380"/>
        <w:spacing w:after="0" w:line="348" w:lineRule="auto"/>
        <w:rPr>
          <w:sz w:val="20"/>
          <w:szCs w:val="20"/>
          <w:color w:val="auto"/>
        </w:rPr>
      </w:pPr>
      <w:r>
        <w:rPr>
          <w:rFonts w:ascii="Arial" w:cs="Arial" w:eastAsia="Arial" w:hAnsi="Arial"/>
          <w:sz w:val="16"/>
          <w:szCs w:val="16"/>
          <w:b w:val="1"/>
          <w:bCs w:val="1"/>
          <w:color w:val="FFFFFF"/>
        </w:rPr>
        <w:t>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investor.relations@acmrcsh.com 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virtualshareholdermeeting.com/ACMR2026.</w:t>
      </w:r>
    </w:p>
    <w:p>
      <w:pPr>
        <w:sectPr>
          <w:pgSz w:w="11900" w:h="16838" w:orient="portrait"/>
          <w:cols w:equalWidth="0" w:num="1">
            <w:col w:w="11220"/>
          </w:cols>
          <w:pgMar w:left="320" w:top="508"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53149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1495" cy="334645"/>
                    </a:xfrm>
                    <a:prstGeom prst="rect">
                      <a:avLst/>
                    </a:prstGeom>
                    <a:noFill/>
                  </pic:spPr>
                </pic:pic>
              </a:graphicData>
            </a:graphic>
          </wp:anchor>
        </w:drawing>
        <w:t>42307 Osgood Rd, Suite I</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58"/>
          <w:szCs w:val="58"/>
          <w:color w:val="auto"/>
        </w:rPr>
        <w:t>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dated April 27,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auto"/>
        </w:rPr>
        <w:t>ACM Research, Inc., a Delaware corporation, is furnishing this Proxy Statement and related proxy materials in connection with the solicitation by its board of directors of proxies to be voted at its 2026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13, 2026 and is first mailing the materials on or about April 27, 2026.</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is scheduled to be held exclusively by webcast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158115</wp:posOffset>
            </wp:positionV>
            <wp:extent cx="28257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575" cy="24003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158115</wp:posOffset>
            </wp:positionV>
            <wp:extent cx="24003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158115</wp:posOffset>
            </wp:positionV>
            <wp:extent cx="24003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50" w:lineRule="exact"/>
        <w:rPr>
          <w:sz w:val="20"/>
          <w:szCs w:val="20"/>
          <w:color w:val="auto"/>
        </w:rPr>
      </w:pPr>
    </w:p>
    <w:tbl>
      <w:tblPr>
        <w:tblLayout w:type="fixed"/>
        <w:tblInd w:w="760" w:type="dxa"/>
        <w:tblCellMar>
          <w:top w:w="0" w:type="dxa"/>
          <w:left w:w="0" w:type="dxa"/>
          <w:bottom w:w="0" w:type="dxa"/>
          <w:right w:w="0" w:type="dxa"/>
        </w:tblCellMar>
      </w:tblPr>
      <w:tr>
        <w:trPr>
          <w:trHeight w:val="247"/>
        </w:trPr>
        <w:tc>
          <w:tcPr>
            <w:tcW w:w="27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440" w:type="dxa"/>
            <w:vAlign w:val="bottom"/>
          </w:tcPr>
          <w:p>
            <w:pPr>
              <w:ind w:left="940"/>
              <w:spacing w:after="0"/>
              <w:rPr>
                <w:sz w:val="20"/>
                <w:szCs w:val="20"/>
                <w:color w:val="auto"/>
              </w:rPr>
            </w:pPr>
            <w:r>
              <w:rPr>
                <w:rFonts w:ascii="Arial" w:cs="Arial" w:eastAsia="Arial" w:hAnsi="Arial"/>
                <w:sz w:val="18"/>
                <w:szCs w:val="18"/>
                <w:b w:val="1"/>
                <w:bCs w:val="1"/>
                <w:color w:val="auto"/>
              </w:rPr>
              <w:t>Date</w:t>
            </w:r>
          </w:p>
        </w:tc>
        <w:tc>
          <w:tcPr>
            <w:tcW w:w="2660" w:type="dxa"/>
            <w:vAlign w:val="bottom"/>
          </w:tcPr>
          <w:p>
            <w:pPr>
              <w:ind w:left="1160"/>
              <w:spacing w:after="0"/>
              <w:rPr>
                <w:sz w:val="20"/>
                <w:szCs w:val="20"/>
                <w:color w:val="auto"/>
              </w:rPr>
            </w:pPr>
            <w:r>
              <w:rPr>
                <w:rFonts w:ascii="Arial" w:cs="Arial" w:eastAsia="Arial" w:hAnsi="Arial"/>
                <w:sz w:val="18"/>
                <w:szCs w:val="18"/>
                <w:b w:val="1"/>
                <w:bCs w:val="1"/>
                <w:color w:val="auto"/>
              </w:rPr>
              <w:t>Meeting</w:t>
            </w:r>
          </w:p>
        </w:tc>
        <w:tc>
          <w:tcPr>
            <w:tcW w:w="0" w:type="dxa"/>
            <w:vAlign w:val="bottom"/>
          </w:tcPr>
          <w:p>
            <w:pPr>
              <w:spacing w:after="0"/>
              <w:rPr>
                <w:sz w:val="1"/>
                <w:szCs w:val="1"/>
                <w:color w:val="auto"/>
              </w:rPr>
            </w:pPr>
          </w:p>
        </w:tc>
      </w:tr>
      <w:tr>
        <w:trPr>
          <w:trHeight w:val="257"/>
        </w:trPr>
        <w:tc>
          <w:tcPr>
            <w:tcW w:w="2720" w:type="dxa"/>
            <w:vAlign w:val="bottom"/>
            <w:vMerge w:val="restart"/>
          </w:tcPr>
          <w:p>
            <w:pPr>
              <w:spacing w:after="0"/>
              <w:rPr>
                <w:sz w:val="20"/>
                <w:szCs w:val="20"/>
                <w:color w:val="auto"/>
              </w:rPr>
            </w:pPr>
            <w:r>
              <w:rPr>
                <w:rFonts w:ascii="Arial" w:cs="Arial" w:eastAsia="Arial" w:hAnsi="Arial"/>
                <w:sz w:val="16"/>
                <w:szCs w:val="16"/>
                <w:color w:val="auto"/>
              </w:rPr>
              <w:t>Thursday, June 10, 2026</w:t>
            </w:r>
          </w:p>
        </w:tc>
        <w:tc>
          <w:tcPr>
            <w:tcW w:w="3440" w:type="dxa"/>
            <w:vAlign w:val="bottom"/>
            <w:vMerge w:val="restart"/>
          </w:tcPr>
          <w:p>
            <w:pPr>
              <w:ind w:left="940"/>
              <w:spacing w:after="0"/>
              <w:rPr>
                <w:sz w:val="20"/>
                <w:szCs w:val="20"/>
                <w:color w:val="auto"/>
              </w:rPr>
            </w:pPr>
            <w:r>
              <w:rPr>
                <w:rFonts w:ascii="Arial" w:cs="Arial" w:eastAsia="Arial" w:hAnsi="Arial"/>
                <w:sz w:val="16"/>
                <w:szCs w:val="16"/>
                <w:color w:val="auto"/>
              </w:rPr>
              <w:t>7 a.m., Pacific time</w:t>
            </w:r>
          </w:p>
        </w:tc>
        <w:tc>
          <w:tcPr>
            <w:tcW w:w="2660" w:type="dxa"/>
            <w:vAlign w:val="bottom"/>
          </w:tcPr>
          <w:p>
            <w:pPr>
              <w:ind w:left="1160"/>
              <w:spacing w:after="0"/>
              <w:rPr>
                <w:sz w:val="20"/>
                <w:szCs w:val="20"/>
                <w:color w:val="auto"/>
              </w:rPr>
            </w:pPr>
            <w:r>
              <w:rPr>
                <w:rFonts w:ascii="Arial" w:cs="Arial" w:eastAsia="Arial" w:hAnsi="Arial"/>
                <w:sz w:val="18"/>
                <w:szCs w:val="18"/>
                <w:b w:val="1"/>
                <w:bCs w:val="1"/>
                <w:color w:val="auto"/>
                <w:w w:val="97"/>
              </w:rPr>
              <w:t>Webcast Address</w:t>
            </w:r>
          </w:p>
        </w:tc>
        <w:tc>
          <w:tcPr>
            <w:tcW w:w="0" w:type="dxa"/>
            <w:vAlign w:val="bottom"/>
          </w:tcPr>
          <w:p>
            <w:pPr>
              <w:spacing w:after="0"/>
              <w:rPr>
                <w:sz w:val="1"/>
                <w:szCs w:val="1"/>
                <w:color w:val="auto"/>
              </w:rPr>
            </w:pPr>
          </w:p>
        </w:tc>
      </w:tr>
      <w:tr>
        <w:trPr>
          <w:trHeight w:val="94"/>
        </w:trPr>
        <w:tc>
          <w:tcPr>
            <w:tcW w:w="2720" w:type="dxa"/>
            <w:vAlign w:val="bottom"/>
            <w:vMerge w:val="continue"/>
          </w:tcPr>
          <w:p>
            <w:pPr>
              <w:spacing w:after="0"/>
              <w:rPr>
                <w:sz w:val="8"/>
                <w:szCs w:val="8"/>
                <w:color w:val="auto"/>
              </w:rPr>
            </w:pPr>
          </w:p>
        </w:tc>
        <w:tc>
          <w:tcPr>
            <w:tcW w:w="344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virtualshareholdermeeting.com/ACMR2026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Your vote is important.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detailed information that follows in the Proxy Statement.</w:t>
      </w:r>
    </w:p>
    <w:p>
      <w:pPr>
        <w:sectPr>
          <w:pgSz w:w="11900" w:h="16838" w:orient="portrait"/>
          <w:cols w:equalWidth="0" w:num="1">
            <w:col w:w="11220"/>
          </w:cols>
          <w:pgMar w:left="320" w:top="508"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531495"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1495" cy="334645"/>
                    </a:xfrm>
                    <a:prstGeom prst="rect">
                      <a:avLst/>
                    </a:prstGeom>
                    <a:noFill/>
                  </pic:spPr>
                </pic:pic>
              </a:graphicData>
            </a:graphic>
          </wp:anchor>
        </w:drawing>
        <w:t>42307 Osgood Rd, Suite I</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58"/>
          <w:szCs w:val="58"/>
          <w:color w:val="auto"/>
        </w:rPr>
        <w:t>Contents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57"/>
        </w:trPr>
        <w:tc>
          <w:tcPr>
            <w:tcW w:w="8200" w:type="dxa"/>
            <w:vAlign w:val="bottom"/>
          </w:tcPr>
          <w:p>
            <w:pPr>
              <w:spacing w:after="0"/>
              <w:rPr>
                <w:sz w:val="20"/>
                <w:szCs w:val="20"/>
                <w:color w:val="auto"/>
              </w:rPr>
            </w:pPr>
            <w:r>
              <w:rPr>
                <w:rFonts w:ascii="Arial" w:cs="Arial" w:eastAsia="Arial" w:hAnsi="Arial"/>
                <w:sz w:val="16"/>
                <w:szCs w:val="16"/>
                <w:b w:val="1"/>
                <w:bCs w:val="1"/>
                <w:color w:val="auto"/>
              </w:rPr>
              <w:t>2026 Proxy Summary</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Questions and Answers About the Annual Meeting</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Vote Required for Election or Approval</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35"/>
        </w:trPr>
        <w:tc>
          <w:tcPr>
            <w:tcW w:w="8200" w:type="dxa"/>
            <w:vAlign w:val="bottom"/>
          </w:tcPr>
          <w:p>
            <w:pPr>
              <w:ind w:left="160"/>
              <w:spacing w:after="0"/>
              <w:rPr>
                <w:sz w:val="20"/>
                <w:szCs w:val="20"/>
                <w:color w:val="auto"/>
              </w:rPr>
            </w:pPr>
            <w:r>
              <w:rPr>
                <w:rFonts w:ascii="Arial" w:cs="Arial" w:eastAsia="Arial" w:hAnsi="Arial"/>
                <w:sz w:val="16"/>
                <w:szCs w:val="16"/>
                <w:color w:val="auto"/>
              </w:rPr>
              <w:t>Board of Directors Overview</w:t>
            </w:r>
          </w:p>
        </w:tc>
        <w:tc>
          <w:tcPr>
            <w:tcW w:w="3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Independence of Directors</w:t>
            </w:r>
          </w:p>
        </w:tc>
        <w:tc>
          <w:tcPr>
            <w:tcW w:w="30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Code of Business Conduct</w:t>
            </w:r>
          </w:p>
        </w:tc>
        <w:tc>
          <w:tcPr>
            <w:tcW w:w="3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Employee, Officer and Director Hedging</w:t>
            </w:r>
          </w:p>
        </w:tc>
        <w:tc>
          <w:tcPr>
            <w:tcW w:w="3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Board Oversight of Risk</w:t>
            </w:r>
          </w:p>
        </w:tc>
        <w:tc>
          <w:tcPr>
            <w:tcW w:w="3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Board Leadership Structure</w:t>
            </w:r>
          </w:p>
        </w:tc>
        <w:tc>
          <w:tcPr>
            <w:tcW w:w="3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Audit Committee</w:t>
            </w:r>
          </w:p>
        </w:tc>
        <w:tc>
          <w:tcPr>
            <w:tcW w:w="3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Nominating and Governance Committee</w:t>
            </w:r>
          </w:p>
        </w:tc>
        <w:tc>
          <w:tcPr>
            <w:tcW w:w="30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Compensation Committee</w:t>
            </w:r>
          </w:p>
        </w:tc>
        <w:tc>
          <w:tcPr>
            <w:tcW w:w="30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Compensation Committee Interlocks and Insider Participation</w:t>
            </w:r>
          </w:p>
        </w:tc>
        <w:tc>
          <w:tcPr>
            <w:tcW w:w="30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8200" w:type="dxa"/>
            <w:vAlign w:val="bottom"/>
          </w:tcPr>
          <w:p>
            <w:pPr>
              <w:spacing w:after="0"/>
              <w:rPr>
                <w:sz w:val="20"/>
                <w:szCs w:val="20"/>
                <w:color w:val="auto"/>
              </w:rPr>
            </w:pPr>
            <w:r>
              <w:rPr>
                <w:rFonts w:ascii="Arial" w:cs="Arial" w:eastAsia="Arial" w:hAnsi="Arial"/>
                <w:sz w:val="16"/>
                <w:szCs w:val="16"/>
                <w:b w:val="1"/>
                <w:bCs w:val="1"/>
                <w:color w:val="auto"/>
              </w:rPr>
              <w:t>Certain Relationships and Related-Person Transactions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0079C1"/>
              </w:rPr>
              <w:t>Proposal 1. Election of Directors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0079C1"/>
              </w:rPr>
              <w:t>21</w:t>
            </w:r>
          </w:p>
        </w:tc>
      </w:tr>
      <w:tr>
        <w:trPr>
          <w:trHeight w:val="235"/>
        </w:trPr>
        <w:tc>
          <w:tcPr>
            <w:tcW w:w="8200" w:type="dxa"/>
            <w:vAlign w:val="bottom"/>
          </w:tcPr>
          <w:p>
            <w:pPr>
              <w:ind w:left="160"/>
              <w:spacing w:after="0"/>
              <w:rPr>
                <w:sz w:val="20"/>
                <w:szCs w:val="20"/>
                <w:color w:val="auto"/>
              </w:rPr>
            </w:pPr>
            <w:r>
              <w:rPr>
                <w:rFonts w:ascii="Arial" w:cs="Arial" w:eastAsia="Arial" w:hAnsi="Arial"/>
                <w:sz w:val="16"/>
                <w:szCs w:val="16"/>
                <w:color w:val="auto"/>
              </w:rPr>
              <w:t>Director Qualifications</w:t>
            </w:r>
          </w:p>
        </w:tc>
        <w:tc>
          <w:tcPr>
            <w:tcW w:w="3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Identifying and Evaluating Nominees for Directors</w:t>
            </w:r>
          </w:p>
        </w:tc>
        <w:tc>
          <w:tcPr>
            <w:tcW w:w="3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Information Concerning Nominees for Election as Directors</w:t>
            </w:r>
          </w:p>
        </w:tc>
        <w:tc>
          <w:tcPr>
            <w:tcW w:w="3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8200" w:type="dxa"/>
            <w:vAlign w:val="bottom"/>
          </w:tcPr>
          <w:p>
            <w:pPr>
              <w:spacing w:after="0"/>
              <w:rPr>
                <w:sz w:val="20"/>
                <w:szCs w:val="20"/>
                <w:color w:val="auto"/>
              </w:rPr>
            </w:pPr>
            <w:r>
              <w:rPr>
                <w:rFonts w:ascii="Arial" w:cs="Arial" w:eastAsia="Arial" w:hAnsi="Arial"/>
                <w:sz w:val="16"/>
                <w:szCs w:val="16"/>
                <w:b w:val="1"/>
                <w:bCs w:val="1"/>
                <w:color w:val="auto"/>
              </w:rPr>
              <w:t>Beneficial Ownership of Common Stock</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Delinquent Section 16(a) Reports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Executive Officers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Compensation Discussion and Analysis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Executive Compensation</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235"/>
        </w:trPr>
        <w:tc>
          <w:tcPr>
            <w:tcW w:w="8200" w:type="dxa"/>
            <w:vAlign w:val="bottom"/>
          </w:tcPr>
          <w:p>
            <w:pPr>
              <w:ind w:left="160"/>
              <w:spacing w:after="0"/>
              <w:rPr>
                <w:sz w:val="20"/>
                <w:szCs w:val="20"/>
                <w:color w:val="auto"/>
              </w:rPr>
            </w:pPr>
            <w:r>
              <w:rPr>
                <w:rFonts w:ascii="Arial" w:cs="Arial" w:eastAsia="Arial" w:hAnsi="Arial"/>
                <w:sz w:val="16"/>
                <w:szCs w:val="16"/>
                <w:color w:val="auto"/>
              </w:rPr>
              <w:t>Summary Compensation Table</w:t>
            </w:r>
          </w:p>
        </w:tc>
        <w:tc>
          <w:tcPr>
            <w:tcW w:w="30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Narrative Explanation of the Summary Compensation Table</w:t>
            </w:r>
          </w:p>
        </w:tc>
        <w:tc>
          <w:tcPr>
            <w:tcW w:w="30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Grants of Plan-Based Awards</w:t>
            </w:r>
          </w:p>
        </w:tc>
        <w:tc>
          <w:tcPr>
            <w:tcW w:w="30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Outstanding Equity Awards at December 31, 2025</w:t>
            </w:r>
          </w:p>
        </w:tc>
        <w:tc>
          <w:tcPr>
            <w:tcW w:w="3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2025 Equity Award Exercises and Stock Vested</w:t>
            </w:r>
          </w:p>
        </w:tc>
        <w:tc>
          <w:tcPr>
            <w:tcW w:w="3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Equity Compensation Plan Information</w:t>
            </w:r>
          </w:p>
        </w:tc>
        <w:tc>
          <w:tcPr>
            <w:tcW w:w="30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CEO Pay Ratio</w:t>
            </w:r>
          </w:p>
        </w:tc>
        <w:tc>
          <w:tcPr>
            <w:tcW w:w="30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1"/>
        </w:trPr>
        <w:tc>
          <w:tcPr>
            <w:tcW w:w="8200" w:type="dxa"/>
            <w:vAlign w:val="bottom"/>
          </w:tcPr>
          <w:p>
            <w:pPr>
              <w:spacing w:after="0"/>
              <w:rPr>
                <w:sz w:val="20"/>
                <w:szCs w:val="20"/>
                <w:color w:val="auto"/>
              </w:rPr>
            </w:pPr>
            <w:r>
              <w:rPr>
                <w:rFonts w:ascii="Arial" w:cs="Arial" w:eastAsia="Arial" w:hAnsi="Arial"/>
                <w:sz w:val="16"/>
                <w:szCs w:val="16"/>
                <w:b w:val="1"/>
                <w:bCs w:val="1"/>
                <w:color w:val="0079C1"/>
              </w:rPr>
              <w:t>Proposal 2. Ratification of Appointment of Independent Auditor for 2026</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0079C1"/>
              </w:rPr>
              <w:t>52</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Accounting Matters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235"/>
        </w:trPr>
        <w:tc>
          <w:tcPr>
            <w:tcW w:w="8200" w:type="dxa"/>
            <w:vAlign w:val="bottom"/>
          </w:tcPr>
          <w:p>
            <w:pPr>
              <w:ind w:left="160"/>
              <w:spacing w:after="0"/>
              <w:rPr>
                <w:sz w:val="20"/>
                <w:szCs w:val="20"/>
                <w:color w:val="auto"/>
              </w:rPr>
            </w:pPr>
            <w:r>
              <w:rPr>
                <w:rFonts w:ascii="Arial" w:cs="Arial" w:eastAsia="Arial" w:hAnsi="Arial"/>
                <w:sz w:val="16"/>
                <w:szCs w:val="16"/>
                <w:color w:val="auto"/>
              </w:rPr>
              <w:t>Principal Independent Auditor Fees</w:t>
            </w:r>
          </w:p>
        </w:tc>
        <w:tc>
          <w:tcPr>
            <w:tcW w:w="30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Audit Committee Pre-Approval Policies and Procedures</w:t>
            </w:r>
          </w:p>
        </w:tc>
        <w:tc>
          <w:tcPr>
            <w:tcW w:w="30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200" w:type="dxa"/>
            <w:vAlign w:val="bottom"/>
          </w:tcPr>
          <w:p>
            <w:pPr>
              <w:ind w:left="160"/>
              <w:spacing w:after="0"/>
              <w:rPr>
                <w:sz w:val="20"/>
                <w:szCs w:val="20"/>
                <w:color w:val="auto"/>
              </w:rPr>
            </w:pPr>
            <w:r>
              <w:rPr>
                <w:rFonts w:ascii="Arial" w:cs="Arial" w:eastAsia="Arial" w:hAnsi="Arial"/>
                <w:sz w:val="16"/>
                <w:szCs w:val="16"/>
                <w:color w:val="auto"/>
              </w:rPr>
              <w:t>Report of the Audit Committee</w:t>
            </w:r>
          </w:p>
        </w:tc>
        <w:tc>
          <w:tcPr>
            <w:tcW w:w="30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1"/>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 Proposals for 2026 Annual Meeting</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Delivery of Documents to Security Holders Sharing an Address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Other Matters</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43"/>
        </w:trPr>
        <w:tc>
          <w:tcPr>
            <w:tcW w:w="8200" w:type="dxa"/>
            <w:vAlign w:val="bottom"/>
          </w:tcPr>
          <w:p>
            <w:pPr>
              <w:spacing w:after="0"/>
              <w:rPr>
                <w:sz w:val="20"/>
                <w:szCs w:val="20"/>
                <w:color w:val="auto"/>
              </w:rPr>
            </w:pPr>
            <w:r>
              <w:rPr>
                <w:rFonts w:ascii="Arial" w:cs="Arial" w:eastAsia="Arial" w:hAnsi="Arial"/>
                <w:sz w:val="16"/>
                <w:szCs w:val="16"/>
                <w:b w:val="1"/>
                <w:bCs w:val="1"/>
                <w:color w:val="auto"/>
              </w:rPr>
              <w:t>Appendix A. Rules of Conduct and Procedure for 2026 Annual Meeting</w:t>
            </w:r>
          </w:p>
        </w:tc>
        <w:tc>
          <w:tcPr>
            <w:tcW w:w="3000" w:type="dxa"/>
            <w:vAlign w:val="bottom"/>
          </w:tcPr>
          <w:p>
            <w:pPr>
              <w:jc w:val="right"/>
              <w:spacing w:after="0"/>
              <w:rPr>
                <w:sz w:val="20"/>
                <w:szCs w:val="20"/>
                <w:color w:val="auto"/>
              </w:rPr>
            </w:pPr>
            <w:r>
              <w:rPr>
                <w:rFonts w:ascii="Arial" w:cs="Arial" w:eastAsia="Arial" w:hAnsi="Arial"/>
                <w:sz w:val="16"/>
                <w:szCs w:val="16"/>
                <w:b w:val="1"/>
                <w:bCs w:val="1"/>
                <w:color w:val="auto"/>
              </w:rPr>
              <w:t>A-1</w:t>
            </w:r>
          </w:p>
        </w:tc>
      </w:tr>
    </w:tbl>
    <w:p>
      <w:pPr>
        <w:sectPr>
          <w:pgSz w:w="11900" w:h="16838" w:orient="portrait"/>
          <w:cols w:equalWidth="0" w:num="1">
            <w:col w:w="11220"/>
          </w:cols>
          <w:pgMar w:left="320" w:top="508"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2026 Proxy Summary</w:t>
      </w:r>
    </w:p>
    <w:p>
      <w:pPr>
        <w:spacing w:after="0" w:line="200" w:lineRule="exact"/>
        <w:rPr>
          <w:sz w:val="20"/>
          <w:szCs w:val="20"/>
          <w:color w:val="auto"/>
        </w:rPr>
      </w:pPr>
    </w:p>
    <w:p>
      <w:pPr>
        <w:spacing w:after="0" w:line="252" w:lineRule="exact"/>
        <w:rPr>
          <w:sz w:val="20"/>
          <w:szCs w:val="20"/>
          <w:color w:val="auto"/>
        </w:rPr>
      </w:pPr>
    </w:p>
    <w:p>
      <w:pPr>
        <w:jc w:val="both"/>
        <w:ind w:right="360"/>
        <w:spacing w:after="0" w:line="363"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24003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141605</wp:posOffset>
            </wp:positionV>
            <wp:extent cx="24003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141605</wp:posOffset>
            </wp:positionV>
            <wp:extent cx="28257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240030"/>
                    </a:xfrm>
                    <a:prstGeom prst="rect">
                      <a:avLst/>
                    </a:prstGeom>
                    <a:noFill/>
                  </pic:spPr>
                </pic:pic>
              </a:graphicData>
            </a:graphic>
          </wp:anchor>
        </w:drawing>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47"/>
        </w:trPr>
        <w:tc>
          <w:tcPr>
            <w:tcW w:w="300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4360" w:type="dxa"/>
            <w:vAlign w:val="bottom"/>
          </w:tcPr>
          <w:p>
            <w:pPr>
              <w:ind w:left="680"/>
              <w:spacing w:after="0"/>
              <w:rPr>
                <w:sz w:val="20"/>
                <w:szCs w:val="20"/>
                <w:color w:val="auto"/>
              </w:rPr>
            </w:pPr>
            <w:r>
              <w:rPr>
                <w:rFonts w:ascii="Arial" w:cs="Arial" w:eastAsia="Arial" w:hAnsi="Arial"/>
                <w:sz w:val="18"/>
                <w:szCs w:val="18"/>
                <w:b w:val="1"/>
                <w:bCs w:val="1"/>
                <w:color w:val="auto"/>
              </w:rPr>
              <w:t>Meeting</w:t>
            </w:r>
          </w:p>
        </w:tc>
        <w:tc>
          <w:tcPr>
            <w:tcW w:w="2940" w:type="dxa"/>
            <w:vAlign w:val="bottom"/>
          </w:tcPr>
          <w:p>
            <w:pPr>
              <w:ind w:left="580"/>
              <w:spacing w:after="0"/>
              <w:rPr>
                <w:sz w:val="20"/>
                <w:szCs w:val="20"/>
                <w:color w:val="auto"/>
              </w:rPr>
            </w:pPr>
            <w:r>
              <w:rPr>
                <w:rFonts w:ascii="Arial" w:cs="Arial" w:eastAsia="Arial" w:hAnsi="Arial"/>
                <w:sz w:val="18"/>
                <w:szCs w:val="18"/>
                <w:b w:val="1"/>
                <w:bCs w:val="1"/>
                <w:color w:val="auto"/>
              </w:rPr>
              <w:t>Record Date</w:t>
            </w:r>
          </w:p>
        </w:tc>
        <w:tc>
          <w:tcPr>
            <w:tcW w:w="0" w:type="dxa"/>
            <w:vAlign w:val="bottom"/>
          </w:tcPr>
          <w:p>
            <w:pPr>
              <w:spacing w:after="0"/>
              <w:rPr>
                <w:sz w:val="1"/>
                <w:szCs w:val="1"/>
                <w:color w:val="auto"/>
              </w:rPr>
            </w:pPr>
          </w:p>
        </w:tc>
      </w:tr>
      <w:tr>
        <w:trPr>
          <w:trHeight w:val="257"/>
        </w:trPr>
        <w:tc>
          <w:tcPr>
            <w:tcW w:w="3000" w:type="dxa"/>
            <w:vAlign w:val="bottom"/>
            <w:vMerge w:val="restart"/>
          </w:tcPr>
          <w:p>
            <w:pPr>
              <w:spacing w:after="0"/>
              <w:rPr>
                <w:sz w:val="20"/>
                <w:szCs w:val="20"/>
                <w:color w:val="auto"/>
              </w:rPr>
            </w:pPr>
            <w:r>
              <w:rPr>
                <w:rFonts w:ascii="Arial" w:cs="Arial" w:eastAsia="Arial" w:hAnsi="Arial"/>
                <w:sz w:val="16"/>
                <w:szCs w:val="16"/>
                <w:color w:val="auto"/>
              </w:rPr>
              <w:t>7 a.m., Pacific time, on June 10,</w:t>
            </w:r>
          </w:p>
        </w:tc>
        <w:tc>
          <w:tcPr>
            <w:tcW w:w="4360" w:type="dxa"/>
            <w:vAlign w:val="bottom"/>
          </w:tcPr>
          <w:p>
            <w:pPr>
              <w:ind w:left="680"/>
              <w:spacing w:after="0"/>
              <w:rPr>
                <w:sz w:val="20"/>
                <w:szCs w:val="20"/>
                <w:color w:val="auto"/>
              </w:rPr>
            </w:pPr>
            <w:r>
              <w:rPr>
                <w:rFonts w:ascii="Arial" w:cs="Arial" w:eastAsia="Arial" w:hAnsi="Arial"/>
                <w:sz w:val="18"/>
                <w:szCs w:val="18"/>
                <w:b w:val="1"/>
                <w:bCs w:val="1"/>
                <w:color w:val="auto"/>
              </w:rPr>
              <w:t>Webcast Address</w:t>
            </w:r>
          </w:p>
        </w:tc>
        <w:tc>
          <w:tcPr>
            <w:tcW w:w="2940" w:type="dxa"/>
            <w:vAlign w:val="bottom"/>
            <w:vMerge w:val="restart"/>
          </w:tcPr>
          <w:p>
            <w:pPr>
              <w:ind w:left="580"/>
              <w:spacing w:after="0"/>
              <w:rPr>
                <w:sz w:val="20"/>
                <w:szCs w:val="20"/>
                <w:color w:val="auto"/>
              </w:rPr>
            </w:pPr>
            <w:r>
              <w:rPr>
                <w:rFonts w:ascii="Arial" w:cs="Arial" w:eastAsia="Arial" w:hAnsi="Arial"/>
                <w:sz w:val="16"/>
                <w:szCs w:val="16"/>
                <w:color w:val="auto"/>
              </w:rPr>
              <w:t>5 p.m., Eastern time, on April 13,</w:t>
            </w:r>
          </w:p>
        </w:tc>
        <w:tc>
          <w:tcPr>
            <w:tcW w:w="0" w:type="dxa"/>
            <w:vAlign w:val="bottom"/>
          </w:tcPr>
          <w:p>
            <w:pPr>
              <w:spacing w:after="0"/>
              <w:rPr>
                <w:sz w:val="1"/>
                <w:szCs w:val="1"/>
                <w:color w:val="auto"/>
              </w:rPr>
            </w:pPr>
          </w:p>
        </w:tc>
      </w:tr>
      <w:tr>
        <w:trPr>
          <w:trHeight w:val="94"/>
        </w:trPr>
        <w:tc>
          <w:tcPr>
            <w:tcW w:w="3000" w:type="dxa"/>
            <w:vAlign w:val="bottom"/>
            <w:vMerge w:val="continue"/>
          </w:tcPr>
          <w:p>
            <w:pPr>
              <w:spacing w:after="0"/>
              <w:rPr>
                <w:sz w:val="8"/>
                <w:szCs w:val="8"/>
                <w:color w:val="auto"/>
              </w:rPr>
            </w:pPr>
          </w:p>
        </w:tc>
        <w:tc>
          <w:tcPr>
            <w:tcW w:w="436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Arial" w:cs="Arial" w:eastAsia="Arial" w:hAnsi="Arial"/>
                <w:sz w:val="16"/>
                <w:szCs w:val="16"/>
                <w:color w:val="auto"/>
              </w:rPr>
              <w:t>2026</w:t>
            </w:r>
          </w:p>
        </w:tc>
        <w:tc>
          <w:tcPr>
            <w:tcW w:w="4360" w:type="dxa"/>
            <w:vAlign w:val="bottom"/>
          </w:tcPr>
          <w:p>
            <w:pPr>
              <w:ind w:left="680"/>
              <w:spacing w:after="0"/>
              <w:rPr>
                <w:sz w:val="20"/>
                <w:szCs w:val="20"/>
                <w:color w:val="auto"/>
              </w:rPr>
            </w:pPr>
            <w:r>
              <w:rPr>
                <w:rFonts w:ascii="Arial" w:cs="Arial" w:eastAsia="Arial" w:hAnsi="Arial"/>
                <w:sz w:val="16"/>
                <w:szCs w:val="16"/>
                <w:color w:val="auto"/>
              </w:rPr>
              <w:t>virtualshareholdermeeting.com/ACMR2026</w:t>
            </w:r>
          </w:p>
        </w:tc>
        <w:tc>
          <w:tcPr>
            <w:tcW w:w="2940" w:type="dxa"/>
            <w:vAlign w:val="bottom"/>
          </w:tcPr>
          <w:p>
            <w:pPr>
              <w:ind w:left="58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right="140"/>
        <w:spacing w:after="0" w:line="392" w:lineRule="auto"/>
        <w:rPr>
          <w:sz w:val="20"/>
          <w:szCs w:val="20"/>
          <w:color w:val="auto"/>
        </w:rPr>
      </w:pPr>
      <w:r>
        <w:rPr>
          <w:rFonts w:ascii="Arial" w:cs="Arial" w:eastAsia="Arial" w:hAnsi="Arial"/>
          <w:sz w:val="16"/>
          <w:szCs w:val="16"/>
          <w:color w:val="auto"/>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Votes Per Proposal</w:t>
      </w:r>
    </w:p>
    <w:p>
      <w:pPr>
        <w:spacing w:after="0" w:line="162" w:lineRule="exact"/>
        <w:rPr>
          <w:sz w:val="20"/>
          <w:szCs w:val="20"/>
          <w:color w:val="auto"/>
        </w:rPr>
      </w:pPr>
    </w:p>
    <w:p>
      <w:pPr>
        <w:ind w:right="360"/>
        <w:spacing w:after="0" w:line="392" w:lineRule="auto"/>
        <w:rPr>
          <w:sz w:val="20"/>
          <w:szCs w:val="20"/>
          <w:color w:val="auto"/>
        </w:rPr>
      </w:pPr>
      <w:r>
        <w:rPr>
          <w:rFonts w:ascii="Arial" w:cs="Arial" w:eastAsia="Arial" w:hAnsi="Arial"/>
          <w:sz w:val="16"/>
          <w:szCs w:val="16"/>
          <w:color w:val="auto"/>
        </w:rPr>
        <w:t>161,059,224 votes, based on 61,223,064 shares of Class A common stock and 4,991,808 shares of Class B common stock outstanding as of the record date.</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Annual Meeting Agenda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shd w:val="clear" w:color="auto" w:fill="0079C1"/>
          </w:tcPr>
          <w:p>
            <w:pPr>
              <w:spacing w:after="0"/>
              <w:rPr>
                <w:sz w:val="16"/>
                <w:szCs w:val="16"/>
                <w:color w:val="auto"/>
              </w:rPr>
            </w:pPr>
          </w:p>
        </w:tc>
        <w:tc>
          <w:tcPr>
            <w:tcW w:w="6100" w:type="dxa"/>
            <w:vAlign w:val="bottom"/>
            <w:shd w:val="clear" w:color="auto" w:fill="0079C1"/>
          </w:tcPr>
          <w:p>
            <w:pPr>
              <w:spacing w:after="0"/>
              <w:rPr>
                <w:sz w:val="16"/>
                <w:szCs w:val="16"/>
                <w:color w:val="auto"/>
              </w:rPr>
            </w:pPr>
          </w:p>
        </w:tc>
        <w:tc>
          <w:tcPr>
            <w:tcW w:w="4360" w:type="dxa"/>
            <w:vAlign w:val="bottom"/>
            <w:shd w:val="clear" w:color="auto" w:fill="0079C1"/>
          </w:tcPr>
          <w:p>
            <w:pPr>
              <w:ind w:left="1820"/>
              <w:spacing w:after="0"/>
              <w:rPr>
                <w:sz w:val="20"/>
                <w:szCs w:val="20"/>
                <w:color w:val="auto"/>
              </w:rPr>
            </w:pPr>
            <w:r>
              <w:rPr>
                <w:rFonts w:ascii="Arial" w:cs="Arial" w:eastAsia="Arial" w:hAnsi="Arial"/>
                <w:sz w:val="14"/>
                <w:szCs w:val="14"/>
                <w:b w:val="1"/>
                <w:bCs w:val="1"/>
                <w:color w:val="FFFFFF"/>
              </w:rPr>
              <w:t>Board</w:t>
            </w:r>
          </w:p>
        </w:tc>
      </w:tr>
      <w:tr>
        <w:trPr>
          <w:trHeight w:val="196"/>
        </w:trPr>
        <w:tc>
          <w:tcPr>
            <w:tcW w:w="7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Proposal</w:t>
            </w:r>
          </w:p>
        </w:tc>
        <w:tc>
          <w:tcPr>
            <w:tcW w:w="6100" w:type="dxa"/>
            <w:vAlign w:val="bottom"/>
            <w:shd w:val="clear" w:color="auto" w:fill="0079C1"/>
          </w:tcPr>
          <w:p>
            <w:pPr>
              <w:spacing w:after="0"/>
              <w:rPr>
                <w:sz w:val="17"/>
                <w:szCs w:val="17"/>
                <w:color w:val="auto"/>
              </w:rPr>
            </w:pPr>
          </w:p>
        </w:tc>
        <w:tc>
          <w:tcPr>
            <w:tcW w:w="4360" w:type="dxa"/>
            <w:vAlign w:val="bottom"/>
            <w:shd w:val="clear" w:color="auto" w:fill="0079C1"/>
          </w:tcPr>
          <w:p>
            <w:pPr>
              <w:ind w:left="1820"/>
              <w:spacing w:after="0"/>
              <w:rPr>
                <w:sz w:val="20"/>
                <w:szCs w:val="20"/>
                <w:color w:val="auto"/>
              </w:rPr>
            </w:pPr>
            <w:r>
              <w:rPr>
                <w:rFonts w:ascii="Arial" w:cs="Arial" w:eastAsia="Arial" w:hAnsi="Arial"/>
                <w:sz w:val="14"/>
                <w:szCs w:val="14"/>
                <w:b w:val="1"/>
                <w:bCs w:val="1"/>
                <w:color w:val="FFFFFF"/>
              </w:rPr>
              <w:t>Recommendation</w:t>
            </w:r>
          </w:p>
        </w:tc>
      </w:tr>
      <w:tr>
        <w:trPr>
          <w:trHeight w:val="110"/>
        </w:trPr>
        <w:tc>
          <w:tcPr>
            <w:tcW w:w="780" w:type="dxa"/>
            <w:vAlign w:val="bottom"/>
            <w:shd w:val="clear" w:color="auto" w:fill="0079C1"/>
          </w:tcPr>
          <w:p>
            <w:pPr>
              <w:spacing w:after="0"/>
              <w:rPr>
                <w:sz w:val="9"/>
                <w:szCs w:val="9"/>
                <w:color w:val="auto"/>
              </w:rPr>
            </w:pPr>
          </w:p>
        </w:tc>
        <w:tc>
          <w:tcPr>
            <w:tcW w:w="6100" w:type="dxa"/>
            <w:vAlign w:val="bottom"/>
            <w:shd w:val="clear" w:color="auto" w:fill="0079C1"/>
          </w:tcPr>
          <w:p>
            <w:pPr>
              <w:spacing w:after="0"/>
              <w:rPr>
                <w:sz w:val="9"/>
                <w:szCs w:val="9"/>
                <w:color w:val="auto"/>
              </w:rPr>
            </w:pPr>
          </w:p>
        </w:tc>
        <w:tc>
          <w:tcPr>
            <w:tcW w:w="4360" w:type="dxa"/>
            <w:vAlign w:val="bottom"/>
            <w:shd w:val="clear" w:color="auto" w:fill="0079C1"/>
          </w:tcPr>
          <w:p>
            <w:pPr>
              <w:spacing w:after="0"/>
              <w:rPr>
                <w:sz w:val="9"/>
                <w:szCs w:val="9"/>
                <w:color w:val="auto"/>
              </w:rPr>
            </w:pPr>
          </w:p>
        </w:tc>
      </w:tr>
      <w:tr>
        <w:trPr>
          <w:trHeight w:val="567"/>
        </w:trPr>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43"/>
                <w:szCs w:val="43"/>
                <w:color w:val="auto"/>
              </w:rPr>
              <w:t>1</w:t>
            </w:r>
          </w:p>
        </w:tc>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Election of four directors</w:t>
            </w:r>
          </w:p>
        </w:tc>
        <w:tc>
          <w:tcPr>
            <w:tcW w:w="4360" w:type="dxa"/>
            <w:vAlign w:val="bottom"/>
            <w:tcBorders>
              <w:bottom w:val="single" w:sz="8" w:color="auto"/>
            </w:tcBorders>
          </w:tcPr>
          <w:p>
            <w:pPr>
              <w:ind w:left="1820"/>
              <w:spacing w:after="0"/>
              <w:rPr>
                <w:sz w:val="20"/>
                <w:szCs w:val="20"/>
                <w:color w:val="auto"/>
              </w:rPr>
            </w:pPr>
            <w:r>
              <w:rPr>
                <w:rFonts w:ascii="Arial" w:cs="Arial" w:eastAsia="Arial" w:hAnsi="Arial"/>
                <w:sz w:val="16"/>
                <w:szCs w:val="16"/>
                <w:b w:val="1"/>
                <w:bCs w:val="1"/>
                <w:color w:val="0079C1"/>
              </w:rPr>
              <w:t xml:space="preserve">FOR </w:t>
            </w:r>
            <w:r>
              <w:rPr>
                <w:rFonts w:ascii="Arial" w:cs="Arial" w:eastAsia="Arial" w:hAnsi="Arial"/>
                <w:sz w:val="16"/>
                <w:szCs w:val="16"/>
                <w:color w:val="000000"/>
              </w:rPr>
              <w:t>each nominee</w:t>
            </w:r>
          </w:p>
        </w:tc>
      </w:tr>
      <w:tr>
        <w:trPr>
          <w:trHeight w:val="560"/>
        </w:trPr>
        <w:tc>
          <w:tcPr>
            <w:tcW w:w="780" w:type="dxa"/>
            <w:vAlign w:val="bottom"/>
            <w:tcBorders>
              <w:bottom w:val="single" w:sz="8" w:color="0079C1"/>
            </w:tcBorders>
          </w:tcPr>
          <w:p>
            <w:pPr>
              <w:jc w:val="right"/>
              <w:ind w:right="152"/>
              <w:spacing w:after="0"/>
              <w:rPr>
                <w:sz w:val="20"/>
                <w:szCs w:val="20"/>
                <w:color w:val="auto"/>
              </w:rPr>
            </w:pPr>
            <w:r>
              <w:rPr>
                <w:rFonts w:ascii="Arial" w:cs="Arial" w:eastAsia="Arial" w:hAnsi="Arial"/>
                <w:sz w:val="43"/>
                <w:szCs w:val="43"/>
                <w:color w:val="auto"/>
              </w:rPr>
              <w:t>2</w:t>
            </w:r>
          </w:p>
        </w:tc>
        <w:tc>
          <w:tcPr>
            <w:tcW w:w="6100" w:type="dxa"/>
            <w:vAlign w:val="bottom"/>
            <w:tcBorders>
              <w:bottom w:val="single" w:sz="8" w:color="0079C1"/>
            </w:tcBorders>
          </w:tcPr>
          <w:p>
            <w:pPr>
              <w:ind w:left="60"/>
              <w:spacing w:after="0"/>
              <w:rPr>
                <w:sz w:val="20"/>
                <w:szCs w:val="20"/>
                <w:color w:val="auto"/>
              </w:rPr>
            </w:pPr>
            <w:r>
              <w:rPr>
                <w:rFonts w:ascii="Arial" w:cs="Arial" w:eastAsia="Arial" w:hAnsi="Arial"/>
                <w:sz w:val="16"/>
                <w:szCs w:val="16"/>
                <w:color w:val="auto"/>
              </w:rPr>
              <w:t>Ratification of appointment of independent auditor for 2026</w:t>
            </w:r>
          </w:p>
        </w:tc>
        <w:tc>
          <w:tcPr>
            <w:tcW w:w="4360" w:type="dxa"/>
            <w:vAlign w:val="bottom"/>
            <w:tcBorders>
              <w:bottom w:val="single" w:sz="8" w:color="0079C1"/>
            </w:tcBorders>
          </w:tcPr>
          <w:p>
            <w:pPr>
              <w:ind w:left="1820"/>
              <w:spacing w:after="0"/>
              <w:rPr>
                <w:sz w:val="20"/>
                <w:szCs w:val="20"/>
                <w:color w:val="auto"/>
              </w:rPr>
            </w:pPr>
            <w:r>
              <w:rPr>
                <w:rFonts w:ascii="Arial" w:cs="Arial" w:eastAsia="Arial" w:hAnsi="Arial"/>
                <w:sz w:val="16"/>
                <w:szCs w:val="16"/>
                <w:b w:val="1"/>
                <w:bCs w:val="1"/>
                <w:color w:val="0079C1"/>
              </w:rPr>
              <w:t>FOR</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How to Cast Your Vote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any of the following methods until 11:59 p.m., Eastern time, on June 9, 2026 or at the Annual Meeting 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2400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192405</wp:posOffset>
            </wp:positionV>
            <wp:extent cx="16256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25717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192405</wp:posOffset>
            </wp:positionV>
            <wp:extent cx="28257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57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192405</wp:posOffset>
            </wp:positionV>
            <wp:extent cx="30861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 cy="214630"/>
                    </a:xfrm>
                    <a:prstGeom prst="rect">
                      <a:avLst/>
                    </a:prstGeom>
                    <a:noFill/>
                  </pic:spPr>
                </pic:pic>
              </a:graphicData>
            </a:graphic>
          </wp:anchor>
        </w:drawing>
      </w:r>
    </w:p>
    <w:p>
      <w:pPr>
        <w:spacing w:after="0" w:line="304" w:lineRule="exact"/>
        <w:rPr>
          <w:sz w:val="20"/>
          <w:szCs w:val="20"/>
          <w:color w:val="auto"/>
        </w:rPr>
      </w:pPr>
    </w:p>
    <w:tbl>
      <w:tblPr>
        <w:tblLayout w:type="fixed"/>
        <w:tblInd w:w="680" w:type="dxa"/>
        <w:tblCellMar>
          <w:top w:w="0" w:type="dxa"/>
          <w:left w:w="0" w:type="dxa"/>
          <w:bottom w:w="0" w:type="dxa"/>
          <w:right w:w="0" w:type="dxa"/>
        </w:tblCellMar>
      </w:tblPr>
      <w:tr>
        <w:trPr>
          <w:trHeight w:val="247"/>
        </w:trPr>
        <w:tc>
          <w:tcPr>
            <w:tcW w:w="1840" w:type="dxa"/>
            <w:vAlign w:val="bottom"/>
          </w:tcPr>
          <w:p>
            <w:pPr>
              <w:spacing w:after="0"/>
              <w:rPr>
                <w:sz w:val="20"/>
                <w:szCs w:val="20"/>
                <w:color w:val="auto"/>
              </w:rPr>
            </w:pPr>
            <w:r>
              <w:rPr>
                <w:rFonts w:ascii="Arial" w:cs="Arial" w:eastAsia="Arial" w:hAnsi="Arial"/>
                <w:sz w:val="18"/>
                <w:szCs w:val="18"/>
                <w:b w:val="1"/>
                <w:bCs w:val="1"/>
                <w:color w:val="auto"/>
              </w:rPr>
              <w:t>Internet</w:t>
            </w:r>
          </w:p>
        </w:tc>
        <w:tc>
          <w:tcPr>
            <w:tcW w:w="2480" w:type="dxa"/>
            <w:vAlign w:val="bottom"/>
          </w:tcPr>
          <w:p>
            <w:pPr>
              <w:ind w:left="580"/>
              <w:spacing w:after="0"/>
              <w:rPr>
                <w:sz w:val="20"/>
                <w:szCs w:val="20"/>
                <w:color w:val="auto"/>
              </w:rPr>
            </w:pPr>
            <w:r>
              <w:rPr>
                <w:rFonts w:ascii="Arial" w:cs="Arial" w:eastAsia="Arial" w:hAnsi="Arial"/>
                <w:sz w:val="18"/>
                <w:szCs w:val="18"/>
                <w:b w:val="1"/>
                <w:bCs w:val="1"/>
                <w:color w:val="auto"/>
              </w:rPr>
              <w:t>Telephone</w:t>
            </w:r>
          </w:p>
        </w:tc>
        <w:tc>
          <w:tcPr>
            <w:tcW w:w="2580" w:type="dxa"/>
            <w:vAlign w:val="bottom"/>
          </w:tcPr>
          <w:p>
            <w:pPr>
              <w:ind w:left="660"/>
              <w:spacing w:after="0"/>
              <w:rPr>
                <w:sz w:val="20"/>
                <w:szCs w:val="20"/>
                <w:color w:val="auto"/>
              </w:rPr>
            </w:pPr>
            <w:r>
              <w:rPr>
                <w:rFonts w:ascii="Arial" w:cs="Arial" w:eastAsia="Arial" w:hAnsi="Arial"/>
                <w:sz w:val="18"/>
                <w:szCs w:val="18"/>
                <w:b w:val="1"/>
                <w:bCs w:val="1"/>
                <w:color w:val="auto"/>
              </w:rPr>
              <w:t>Mail</w:t>
            </w:r>
          </w:p>
        </w:tc>
        <w:tc>
          <w:tcPr>
            <w:tcW w:w="3640" w:type="dxa"/>
            <w:vAlign w:val="bottom"/>
          </w:tcPr>
          <w:p>
            <w:pPr>
              <w:ind w:left="540"/>
              <w:spacing w:after="0"/>
              <w:rPr>
                <w:sz w:val="20"/>
                <w:szCs w:val="20"/>
                <w:color w:val="auto"/>
              </w:rPr>
            </w:pPr>
            <w:r>
              <w:rPr>
                <w:rFonts w:ascii="Arial" w:cs="Arial" w:eastAsia="Arial" w:hAnsi="Arial"/>
                <w:sz w:val="18"/>
                <w:szCs w:val="18"/>
                <w:b w:val="1"/>
                <w:bCs w:val="1"/>
                <w:color w:val="auto"/>
              </w:rPr>
              <w:t>In Person</w:t>
            </w:r>
          </w:p>
        </w:tc>
      </w:tr>
      <w:tr>
        <w:trPr>
          <w:trHeight w:val="243"/>
        </w:trPr>
        <w:tc>
          <w:tcPr>
            <w:tcW w:w="1840" w:type="dxa"/>
            <w:vAlign w:val="bottom"/>
          </w:tcPr>
          <w:p>
            <w:pPr>
              <w:spacing w:after="0"/>
              <w:rPr>
                <w:sz w:val="20"/>
                <w:szCs w:val="20"/>
                <w:color w:val="auto"/>
              </w:rPr>
            </w:pPr>
            <w:r>
              <w:rPr>
                <w:rFonts w:ascii="Arial" w:cs="Arial" w:eastAsia="Arial" w:hAnsi="Arial"/>
                <w:sz w:val="16"/>
                <w:szCs w:val="16"/>
                <w:color w:val="auto"/>
              </w:rPr>
              <w:t>From any web-</w:t>
            </w:r>
          </w:p>
        </w:tc>
        <w:tc>
          <w:tcPr>
            <w:tcW w:w="2480" w:type="dxa"/>
            <w:vAlign w:val="bottom"/>
          </w:tcPr>
          <w:p>
            <w:pPr>
              <w:ind w:left="580"/>
              <w:spacing w:after="0"/>
              <w:rPr>
                <w:sz w:val="20"/>
                <w:szCs w:val="20"/>
                <w:color w:val="auto"/>
              </w:rPr>
            </w:pPr>
            <w:r>
              <w:rPr>
                <w:rFonts w:ascii="Arial" w:cs="Arial" w:eastAsia="Arial" w:hAnsi="Arial"/>
                <w:sz w:val="16"/>
                <w:szCs w:val="16"/>
                <w:color w:val="auto"/>
              </w:rPr>
              <w:t>+1.800.690.6903</w:t>
            </w:r>
          </w:p>
        </w:tc>
        <w:tc>
          <w:tcPr>
            <w:tcW w:w="2580" w:type="dxa"/>
            <w:vAlign w:val="bottom"/>
          </w:tcPr>
          <w:p>
            <w:pPr>
              <w:ind w:left="660"/>
              <w:spacing w:after="0"/>
              <w:rPr>
                <w:sz w:val="20"/>
                <w:szCs w:val="20"/>
                <w:color w:val="auto"/>
              </w:rPr>
            </w:pPr>
            <w:r>
              <w:rPr>
                <w:rFonts w:ascii="Arial" w:cs="Arial" w:eastAsia="Arial" w:hAnsi="Arial"/>
                <w:sz w:val="16"/>
                <w:szCs w:val="16"/>
                <w:color w:val="auto"/>
              </w:rPr>
              <w:t>Completed, signed</w:t>
            </w:r>
          </w:p>
        </w:tc>
        <w:tc>
          <w:tcPr>
            <w:tcW w:w="3640" w:type="dxa"/>
            <w:vAlign w:val="bottom"/>
          </w:tcPr>
          <w:p>
            <w:pPr>
              <w:ind w:left="540"/>
              <w:spacing w:after="0"/>
              <w:rPr>
                <w:sz w:val="20"/>
                <w:szCs w:val="20"/>
                <w:color w:val="auto"/>
              </w:rPr>
            </w:pPr>
            <w:r>
              <w:rPr>
                <w:rFonts w:ascii="Arial" w:cs="Arial" w:eastAsia="Arial" w:hAnsi="Arial"/>
                <w:sz w:val="16"/>
                <w:szCs w:val="16"/>
                <w:color w:val="auto"/>
              </w:rPr>
              <w:t>Joining the Annual Meeting at</w:t>
            </w:r>
          </w:p>
        </w:tc>
      </w:tr>
      <w:tr>
        <w:trPr>
          <w:trHeight w:val="256"/>
        </w:trPr>
        <w:tc>
          <w:tcPr>
            <w:tcW w:w="1840" w:type="dxa"/>
            <w:vAlign w:val="bottom"/>
          </w:tcPr>
          <w:p>
            <w:pPr>
              <w:spacing w:after="0"/>
              <w:rPr>
                <w:sz w:val="20"/>
                <w:szCs w:val="20"/>
                <w:color w:val="auto"/>
              </w:rPr>
            </w:pPr>
            <w:r>
              <w:rPr>
                <w:rFonts w:ascii="Arial" w:cs="Arial" w:eastAsia="Arial" w:hAnsi="Arial"/>
                <w:sz w:val="16"/>
                <w:szCs w:val="16"/>
                <w:color w:val="auto"/>
              </w:rPr>
              <w:t>enabled device at</w:t>
            </w:r>
          </w:p>
        </w:tc>
        <w:tc>
          <w:tcPr>
            <w:tcW w:w="2480" w:type="dxa"/>
            <w:vAlign w:val="bottom"/>
          </w:tcPr>
          <w:p>
            <w:pPr>
              <w:spacing w:after="0"/>
              <w:rPr>
                <w:sz w:val="22"/>
                <w:szCs w:val="22"/>
                <w:color w:val="auto"/>
              </w:rPr>
            </w:pPr>
          </w:p>
        </w:tc>
        <w:tc>
          <w:tcPr>
            <w:tcW w:w="2580" w:type="dxa"/>
            <w:vAlign w:val="bottom"/>
          </w:tcPr>
          <w:p>
            <w:pPr>
              <w:ind w:left="660"/>
              <w:spacing w:after="0"/>
              <w:rPr>
                <w:sz w:val="20"/>
                <w:szCs w:val="20"/>
                <w:color w:val="auto"/>
              </w:rPr>
            </w:pPr>
            <w:r>
              <w:rPr>
                <w:rFonts w:ascii="Arial" w:cs="Arial" w:eastAsia="Arial" w:hAnsi="Arial"/>
                <w:sz w:val="16"/>
                <w:szCs w:val="16"/>
                <w:color w:val="auto"/>
              </w:rPr>
              <w:t>and returned proxy</w:t>
            </w:r>
          </w:p>
        </w:tc>
        <w:tc>
          <w:tcPr>
            <w:tcW w:w="3640" w:type="dxa"/>
            <w:vAlign w:val="bottom"/>
          </w:tcPr>
          <w:p>
            <w:pPr>
              <w:ind w:left="540"/>
              <w:spacing w:after="0"/>
              <w:rPr>
                <w:sz w:val="20"/>
                <w:szCs w:val="20"/>
                <w:color w:val="auto"/>
              </w:rPr>
            </w:pPr>
            <w:r>
              <w:rPr>
                <w:rFonts w:ascii="Arial" w:cs="Arial" w:eastAsia="Arial" w:hAnsi="Arial"/>
                <w:sz w:val="16"/>
                <w:szCs w:val="16"/>
                <w:color w:val="auto"/>
              </w:rPr>
              <w:t>virtualshareholdermeeting.com/ACMR2026</w:t>
            </w:r>
          </w:p>
        </w:tc>
      </w:t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proxyvote.com</w:t>
            </w:r>
          </w:p>
        </w:tc>
        <w:tc>
          <w:tcPr>
            <w:tcW w:w="2480" w:type="dxa"/>
            <w:vAlign w:val="bottom"/>
          </w:tcPr>
          <w:p>
            <w:pPr>
              <w:spacing w:after="0"/>
              <w:rPr>
                <w:sz w:val="23"/>
                <w:szCs w:val="23"/>
                <w:color w:val="auto"/>
              </w:rPr>
            </w:pPr>
          </w:p>
        </w:tc>
        <w:tc>
          <w:tcPr>
            <w:tcW w:w="2580" w:type="dxa"/>
            <w:vAlign w:val="bottom"/>
          </w:tcPr>
          <w:p>
            <w:pPr>
              <w:ind w:left="660"/>
              <w:spacing w:after="0"/>
              <w:rPr>
                <w:sz w:val="20"/>
                <w:szCs w:val="20"/>
                <w:color w:val="auto"/>
              </w:rPr>
            </w:pPr>
            <w:r>
              <w:rPr>
                <w:rFonts w:ascii="Arial" w:cs="Arial" w:eastAsia="Arial" w:hAnsi="Arial"/>
                <w:sz w:val="16"/>
                <w:szCs w:val="16"/>
                <w:color w:val="auto"/>
              </w:rPr>
              <w:t>card</w:t>
            </w:r>
          </w:p>
        </w:tc>
        <w:tc>
          <w:tcPr>
            <w:tcW w:w="36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789940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Proposals</w:t>
      </w:r>
    </w:p>
    <w:p>
      <w:pPr>
        <w:spacing w:after="0" w:line="222" w:lineRule="exact"/>
        <w:rPr>
          <w:sz w:val="20"/>
          <w:szCs w:val="20"/>
          <w:color w:val="auto"/>
        </w:rPr>
      </w:pPr>
    </w:p>
    <w:p>
      <w:pPr>
        <w:ind w:left="960" w:hanging="741"/>
        <w:spacing w:after="0"/>
        <w:tabs>
          <w:tab w:leader="none" w:pos="960" w:val="left"/>
        </w:tabs>
        <w:numPr>
          <w:ilvl w:val="0"/>
          <w:numId w:val="7"/>
        </w:numPr>
        <w:rPr>
          <w:rFonts w:ascii="Arial" w:cs="Arial" w:eastAsia="Arial" w:hAnsi="Arial"/>
          <w:sz w:val="43"/>
          <w:szCs w:val="43"/>
          <w:color w:val="auto"/>
        </w:rPr>
      </w:pPr>
      <w:r>
        <w:rPr>
          <w:rFonts w:ascii="Arial" w:cs="Arial" w:eastAsia="Arial" w:hAnsi="Arial"/>
          <w:sz w:val="43"/>
          <w:szCs w:val="43"/>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-313055</wp:posOffset>
            </wp:positionV>
            <wp:extent cx="8255"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360045"/>
                    </a:xfrm>
                    <a:prstGeom prst="rect">
                      <a:avLst/>
                    </a:prstGeom>
                    <a:noFill/>
                  </pic:spPr>
                </pic:pic>
              </a:graphicData>
            </a:graphic>
          </wp:anchor>
        </w:drawing>
      </w:r>
    </w:p>
    <w:p>
      <w:pPr>
        <w:spacing w:after="0" w:line="377"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As our first proposal, we are asking stockholders to elect the following four director nominees, each of whom currently serves as a member of the board of directors. The following presents information as of April 13, 2026 with respect to each director nominee: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bottom w:val="single" w:sz="8" w:color="80BCE0"/>
            </w:tcBorders>
            <w:shd w:val="clear" w:color="auto" w:fill="80BCE0"/>
          </w:tcPr>
          <w:p>
            <w:pPr>
              <w:spacing w:after="0"/>
              <w:rPr>
                <w:sz w:val="19"/>
                <w:szCs w:val="19"/>
                <w:color w:val="auto"/>
              </w:rPr>
            </w:pPr>
          </w:p>
        </w:tc>
        <w:tc>
          <w:tcPr>
            <w:tcW w:w="1240" w:type="dxa"/>
            <w:vAlign w:val="bottom"/>
            <w:tcBorders>
              <w:bottom w:val="single" w:sz="8" w:color="80BCE0"/>
            </w:tcBorders>
            <w:gridSpan w:val="2"/>
            <w:shd w:val="clear" w:color="auto" w:fill="80BCE0"/>
          </w:tcPr>
          <w:p>
            <w:pPr>
              <w:ind w:left="140"/>
              <w:spacing w:after="0"/>
              <w:rPr>
                <w:sz w:val="20"/>
                <w:szCs w:val="20"/>
                <w:color w:val="auto"/>
              </w:rPr>
            </w:pPr>
            <w:r>
              <w:rPr>
                <w:rFonts w:ascii="Arial" w:cs="Arial" w:eastAsia="Arial" w:hAnsi="Arial"/>
                <w:sz w:val="14"/>
                <w:szCs w:val="14"/>
                <w:b w:val="1"/>
                <w:bCs w:val="1"/>
                <w:color w:val="FFFFFF"/>
              </w:rPr>
              <w:t>Independent</w:t>
            </w:r>
          </w:p>
        </w:tc>
        <w:tc>
          <w:tcPr>
            <w:tcW w:w="1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0079C1"/>
          </w:tcPr>
          <w:p>
            <w:pPr>
              <w:spacing w:after="0"/>
              <w:rPr>
                <w:sz w:val="16"/>
                <w:szCs w:val="16"/>
                <w:color w:val="auto"/>
              </w:rPr>
            </w:pPr>
          </w:p>
        </w:tc>
        <w:tc>
          <w:tcPr>
            <w:tcW w:w="1260" w:type="dxa"/>
            <w:vAlign w:val="bottom"/>
            <w:shd w:val="clear" w:color="auto" w:fill="0079C1"/>
          </w:tcPr>
          <w:p>
            <w:pPr>
              <w:spacing w:after="0"/>
              <w:rPr>
                <w:sz w:val="16"/>
                <w:szCs w:val="16"/>
                <w:color w:val="auto"/>
              </w:rPr>
            </w:pPr>
          </w:p>
        </w:tc>
        <w:tc>
          <w:tcPr>
            <w:tcW w:w="620" w:type="dxa"/>
            <w:vAlign w:val="bottom"/>
            <w:shd w:val="clear" w:color="auto" w:fill="0079C1"/>
          </w:tcPr>
          <w:p>
            <w:pPr>
              <w:spacing w:after="0"/>
              <w:rPr>
                <w:sz w:val="16"/>
                <w:szCs w:val="16"/>
                <w:color w:val="auto"/>
              </w:rPr>
            </w:pPr>
          </w:p>
        </w:tc>
        <w:tc>
          <w:tcPr>
            <w:tcW w:w="800" w:type="dxa"/>
            <w:vAlign w:val="bottom"/>
            <w:shd w:val="clear" w:color="auto" w:fill="0079C1"/>
          </w:tcPr>
          <w:p>
            <w:pPr>
              <w:jc w:val="center"/>
              <w:ind w:left="8"/>
              <w:spacing w:after="0"/>
              <w:rPr>
                <w:sz w:val="20"/>
                <w:szCs w:val="20"/>
                <w:color w:val="auto"/>
              </w:rPr>
            </w:pPr>
            <w:r>
              <w:rPr>
                <w:rFonts w:ascii="Arial" w:cs="Arial" w:eastAsia="Arial" w:hAnsi="Arial"/>
                <w:sz w:val="14"/>
                <w:szCs w:val="14"/>
                <w:b w:val="1"/>
                <w:bCs w:val="1"/>
                <w:color w:val="FFFFFF"/>
              </w:rPr>
              <w:t>Director</w:t>
            </w:r>
          </w:p>
        </w:tc>
        <w:tc>
          <w:tcPr>
            <w:tcW w:w="980" w:type="dxa"/>
            <w:vAlign w:val="bottom"/>
            <w:shd w:val="clear" w:color="auto" w:fill="0079C1"/>
          </w:tcPr>
          <w:p>
            <w:pPr>
              <w:spacing w:after="0"/>
              <w:rPr>
                <w:sz w:val="16"/>
                <w:szCs w:val="16"/>
                <w:color w:val="auto"/>
              </w:rPr>
            </w:pPr>
          </w:p>
        </w:tc>
        <w:tc>
          <w:tcPr>
            <w:tcW w:w="1500" w:type="dxa"/>
            <w:vAlign w:val="bottom"/>
            <w:shd w:val="clear" w:color="auto" w:fill="0079C1"/>
          </w:tcPr>
          <w:p>
            <w:pPr>
              <w:spacing w:after="0"/>
              <w:rPr>
                <w:sz w:val="16"/>
                <w:szCs w:val="16"/>
                <w:color w:val="auto"/>
              </w:rPr>
            </w:pPr>
          </w:p>
        </w:tc>
        <w:tc>
          <w:tcPr>
            <w:tcW w:w="1560" w:type="dxa"/>
            <w:vAlign w:val="bottom"/>
            <w:gridSpan w:val="3"/>
            <w:shd w:val="clear" w:color="auto" w:fill="0079C1"/>
          </w:tcPr>
          <w:p>
            <w:pPr>
              <w:ind w:left="20"/>
              <w:spacing w:after="0"/>
              <w:rPr>
                <w:sz w:val="20"/>
                <w:szCs w:val="20"/>
                <w:color w:val="auto"/>
              </w:rPr>
            </w:pPr>
            <w:r>
              <w:rPr>
                <w:rFonts w:ascii="Arial" w:cs="Arial" w:eastAsia="Arial" w:hAnsi="Arial"/>
                <w:sz w:val="14"/>
                <w:szCs w:val="14"/>
                <w:b w:val="1"/>
                <w:bCs w:val="1"/>
                <w:color w:val="FFFFFF"/>
              </w:rPr>
              <w:t>Experience/</w:t>
            </w:r>
          </w:p>
        </w:tc>
        <w:tc>
          <w:tcPr>
            <w:tcW w:w="580" w:type="dxa"/>
            <w:vAlign w:val="bottom"/>
            <w:tcBorders>
              <w:right w:val="single" w:sz="8" w:color="0079C1"/>
            </w:tcBorders>
            <w:shd w:val="clear" w:color="auto" w:fill="0079C1"/>
          </w:tcPr>
          <w:p>
            <w:pPr>
              <w:spacing w:after="0"/>
              <w:rPr>
                <w:sz w:val="16"/>
                <w:szCs w:val="16"/>
                <w:color w:val="auto"/>
              </w:rPr>
            </w:pPr>
          </w:p>
        </w:tc>
        <w:tc>
          <w:tcPr>
            <w:tcW w:w="660" w:type="dxa"/>
            <w:vAlign w:val="bottom"/>
            <w:shd w:val="clear" w:color="auto" w:fill="0079C1"/>
          </w:tcPr>
          <w:p>
            <w:pPr>
              <w:spacing w:after="0"/>
              <w:rPr>
                <w:sz w:val="16"/>
                <w:szCs w:val="16"/>
                <w:color w:val="auto"/>
              </w:rPr>
            </w:pPr>
          </w:p>
        </w:tc>
        <w:tc>
          <w:tcPr>
            <w:tcW w:w="142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Committee</w:t>
            </w:r>
          </w:p>
        </w:tc>
        <w:tc>
          <w:tcPr>
            <w:tcW w:w="1780" w:type="dxa"/>
            <w:vAlign w:val="bottom"/>
            <w:shd w:val="clear" w:color="auto" w:fill="0079C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shd w:val="clear" w:color="auto" w:fill="0079C1"/>
          </w:tcPr>
          <w:p>
            <w:pPr>
              <w:spacing w:after="0"/>
              <w:rPr>
                <w:sz w:val="17"/>
                <w:szCs w:val="17"/>
                <w:color w:val="auto"/>
              </w:rPr>
            </w:pPr>
          </w:p>
        </w:tc>
        <w:tc>
          <w:tcPr>
            <w:tcW w:w="126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Name</w:t>
            </w:r>
          </w:p>
        </w:tc>
        <w:tc>
          <w:tcPr>
            <w:tcW w:w="62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Age</w:t>
            </w:r>
          </w:p>
        </w:tc>
        <w:tc>
          <w:tcPr>
            <w:tcW w:w="80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Since</w:t>
            </w:r>
          </w:p>
        </w:tc>
        <w:tc>
          <w:tcPr>
            <w:tcW w:w="98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Occupation</w:t>
            </w:r>
          </w:p>
        </w:tc>
        <w:tc>
          <w:tcPr>
            <w:tcW w:w="1500" w:type="dxa"/>
            <w:vAlign w:val="bottom"/>
            <w:shd w:val="clear" w:color="auto" w:fill="0079C1"/>
          </w:tcPr>
          <w:p>
            <w:pPr>
              <w:spacing w:after="0"/>
              <w:rPr>
                <w:sz w:val="17"/>
                <w:szCs w:val="17"/>
                <w:color w:val="auto"/>
              </w:rPr>
            </w:pPr>
          </w:p>
        </w:tc>
        <w:tc>
          <w:tcPr>
            <w:tcW w:w="1560" w:type="dxa"/>
            <w:vAlign w:val="bottom"/>
            <w:gridSpan w:val="3"/>
            <w:shd w:val="clear" w:color="auto" w:fill="0079C1"/>
          </w:tcPr>
          <w:p>
            <w:pPr>
              <w:ind w:left="20"/>
              <w:spacing w:after="0"/>
              <w:rPr>
                <w:sz w:val="20"/>
                <w:szCs w:val="20"/>
                <w:color w:val="auto"/>
              </w:rPr>
            </w:pPr>
            <w:r>
              <w:rPr>
                <w:rFonts w:ascii="Arial" w:cs="Arial" w:eastAsia="Arial" w:hAnsi="Arial"/>
                <w:sz w:val="14"/>
                <w:szCs w:val="14"/>
                <w:b w:val="1"/>
                <w:bCs w:val="1"/>
                <w:color w:val="FFFFFF"/>
              </w:rPr>
              <w:t>Qualifications</w:t>
            </w:r>
          </w:p>
        </w:tc>
        <w:tc>
          <w:tcPr>
            <w:tcW w:w="580" w:type="dxa"/>
            <w:vAlign w:val="bottom"/>
            <w:tcBorders>
              <w:right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Yes</w:t>
            </w:r>
          </w:p>
        </w:tc>
        <w:tc>
          <w:tcPr>
            <w:tcW w:w="2080" w:type="dxa"/>
            <w:vAlign w:val="bottom"/>
            <w:gridSpan w:val="2"/>
            <w:shd w:val="clear" w:color="auto" w:fill="0079C1"/>
          </w:tcPr>
          <w:p>
            <w:pPr>
              <w:ind w:left="240"/>
              <w:spacing w:after="0"/>
              <w:rPr>
                <w:sz w:val="20"/>
                <w:szCs w:val="20"/>
                <w:color w:val="auto"/>
              </w:rPr>
            </w:pPr>
            <w:r>
              <w:rPr>
                <w:rFonts w:ascii="Arial" w:cs="Arial" w:eastAsia="Arial" w:hAnsi="Arial"/>
                <w:sz w:val="14"/>
                <w:szCs w:val="14"/>
                <w:b w:val="1"/>
                <w:bCs w:val="1"/>
                <w:color w:val="FFFFFF"/>
              </w:rPr>
              <w:t>No   Memberships</w:t>
            </w:r>
          </w:p>
        </w:tc>
        <w:tc>
          <w:tcPr>
            <w:tcW w:w="1780" w:type="dxa"/>
            <w:vAlign w:val="bottom"/>
            <w:shd w:val="clear" w:color="auto" w:fill="0079C1"/>
          </w:tcPr>
          <w:p>
            <w:pPr>
              <w:ind w:left="260"/>
              <w:spacing w:after="0"/>
              <w:rPr>
                <w:sz w:val="20"/>
                <w:szCs w:val="20"/>
                <w:color w:val="auto"/>
              </w:rPr>
            </w:pPr>
            <w:r>
              <w:rPr>
                <w:rFonts w:ascii="Arial" w:cs="Arial" w:eastAsia="Arial" w:hAnsi="Arial"/>
                <w:sz w:val="14"/>
                <w:szCs w:val="14"/>
                <w:b w:val="1"/>
                <w:bCs w:val="1"/>
                <w:color w:val="FFFFFF"/>
              </w:rPr>
              <w:t>Other Boards</w:t>
            </w:r>
          </w:p>
        </w:tc>
        <w:tc>
          <w:tcPr>
            <w:tcW w:w="0" w:type="dxa"/>
            <w:vAlign w:val="bottom"/>
          </w:tcPr>
          <w:p>
            <w:pPr>
              <w:spacing w:after="0"/>
              <w:rPr>
                <w:sz w:val="1"/>
                <w:szCs w:val="1"/>
                <w:color w:val="auto"/>
              </w:rPr>
            </w:pPr>
          </w:p>
        </w:tc>
      </w:tr>
      <w:tr>
        <w:trPr>
          <w:trHeight w:val="110"/>
        </w:trPr>
        <w:tc>
          <w:tcPr>
            <w:tcW w:w="80" w:type="dxa"/>
            <w:vAlign w:val="bottom"/>
            <w:shd w:val="clear" w:color="auto" w:fill="0079C1"/>
          </w:tcPr>
          <w:p>
            <w:pPr>
              <w:spacing w:after="0"/>
              <w:rPr>
                <w:sz w:val="9"/>
                <w:szCs w:val="9"/>
                <w:color w:val="auto"/>
              </w:rPr>
            </w:pPr>
          </w:p>
        </w:tc>
        <w:tc>
          <w:tcPr>
            <w:tcW w:w="1260" w:type="dxa"/>
            <w:vAlign w:val="bottom"/>
            <w:shd w:val="clear" w:color="auto" w:fill="0079C1"/>
          </w:tcPr>
          <w:p>
            <w:pPr>
              <w:spacing w:after="0"/>
              <w:rPr>
                <w:sz w:val="9"/>
                <w:szCs w:val="9"/>
                <w:color w:val="auto"/>
              </w:rPr>
            </w:pPr>
          </w:p>
        </w:tc>
        <w:tc>
          <w:tcPr>
            <w:tcW w:w="620" w:type="dxa"/>
            <w:vAlign w:val="bottom"/>
            <w:shd w:val="clear" w:color="auto" w:fill="0079C1"/>
          </w:tcPr>
          <w:p>
            <w:pPr>
              <w:spacing w:after="0"/>
              <w:rPr>
                <w:sz w:val="9"/>
                <w:szCs w:val="9"/>
                <w:color w:val="auto"/>
              </w:rPr>
            </w:pPr>
          </w:p>
        </w:tc>
        <w:tc>
          <w:tcPr>
            <w:tcW w:w="800" w:type="dxa"/>
            <w:vAlign w:val="bottom"/>
            <w:shd w:val="clear" w:color="auto" w:fill="0079C1"/>
          </w:tcPr>
          <w:p>
            <w:pPr>
              <w:spacing w:after="0"/>
              <w:rPr>
                <w:sz w:val="9"/>
                <w:szCs w:val="9"/>
                <w:color w:val="auto"/>
              </w:rPr>
            </w:pPr>
          </w:p>
        </w:tc>
        <w:tc>
          <w:tcPr>
            <w:tcW w:w="2480" w:type="dxa"/>
            <w:vAlign w:val="bottom"/>
            <w:gridSpan w:val="2"/>
            <w:shd w:val="clear" w:color="auto" w:fill="0079C1"/>
          </w:tcPr>
          <w:p>
            <w:pPr>
              <w:spacing w:after="0"/>
              <w:rPr>
                <w:sz w:val="9"/>
                <w:szCs w:val="9"/>
                <w:color w:val="auto"/>
              </w:rPr>
            </w:pPr>
          </w:p>
        </w:tc>
        <w:tc>
          <w:tcPr>
            <w:tcW w:w="100" w:type="dxa"/>
            <w:vAlign w:val="bottom"/>
            <w:shd w:val="clear" w:color="auto" w:fill="0079C1"/>
          </w:tcPr>
          <w:p>
            <w:pPr>
              <w:spacing w:after="0"/>
              <w:rPr>
                <w:sz w:val="9"/>
                <w:szCs w:val="9"/>
                <w:color w:val="auto"/>
              </w:rPr>
            </w:pPr>
          </w:p>
        </w:tc>
        <w:tc>
          <w:tcPr>
            <w:tcW w:w="1360" w:type="dxa"/>
            <w:vAlign w:val="bottom"/>
            <w:shd w:val="clear" w:color="auto" w:fill="0079C1"/>
          </w:tcPr>
          <w:p>
            <w:pPr>
              <w:spacing w:after="0"/>
              <w:rPr>
                <w:sz w:val="9"/>
                <w:szCs w:val="9"/>
                <w:color w:val="auto"/>
              </w:rPr>
            </w:pPr>
          </w:p>
        </w:tc>
        <w:tc>
          <w:tcPr>
            <w:tcW w:w="100" w:type="dxa"/>
            <w:vAlign w:val="bottom"/>
            <w:shd w:val="clear" w:color="auto" w:fill="0079C1"/>
          </w:tcPr>
          <w:p>
            <w:pPr>
              <w:spacing w:after="0"/>
              <w:rPr>
                <w:sz w:val="9"/>
                <w:szCs w:val="9"/>
                <w:color w:val="auto"/>
              </w:rPr>
            </w:pPr>
          </w:p>
        </w:tc>
        <w:tc>
          <w:tcPr>
            <w:tcW w:w="580" w:type="dxa"/>
            <w:vAlign w:val="bottom"/>
            <w:tcBorders>
              <w:right w:val="single" w:sz="8" w:color="0079C1"/>
            </w:tcBorders>
            <w:shd w:val="clear" w:color="auto" w:fill="0079C1"/>
          </w:tcPr>
          <w:p>
            <w:pPr>
              <w:spacing w:after="0"/>
              <w:rPr>
                <w:sz w:val="9"/>
                <w:szCs w:val="9"/>
                <w:color w:val="auto"/>
              </w:rPr>
            </w:pPr>
          </w:p>
        </w:tc>
        <w:tc>
          <w:tcPr>
            <w:tcW w:w="660" w:type="dxa"/>
            <w:vAlign w:val="bottom"/>
            <w:shd w:val="clear" w:color="auto" w:fill="0079C1"/>
          </w:tcPr>
          <w:p>
            <w:pPr>
              <w:spacing w:after="0"/>
              <w:rPr>
                <w:sz w:val="9"/>
                <w:szCs w:val="9"/>
                <w:color w:val="auto"/>
              </w:rPr>
            </w:pPr>
          </w:p>
        </w:tc>
        <w:tc>
          <w:tcPr>
            <w:tcW w:w="1420" w:type="dxa"/>
            <w:vAlign w:val="bottom"/>
            <w:shd w:val="clear" w:color="auto" w:fill="0079C1"/>
          </w:tcPr>
          <w:p>
            <w:pPr>
              <w:spacing w:after="0"/>
              <w:rPr>
                <w:sz w:val="9"/>
                <w:szCs w:val="9"/>
                <w:color w:val="auto"/>
              </w:rPr>
            </w:pPr>
          </w:p>
        </w:tc>
        <w:tc>
          <w:tcPr>
            <w:tcW w:w="1780" w:type="dxa"/>
            <w:vAlign w:val="bottom"/>
            <w:shd w:val="clear" w:color="auto" w:fill="0079C1"/>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gridSpan w:val="2"/>
          </w:tcPr>
          <w:p>
            <w:pPr>
              <w:ind w:left="100"/>
              <w:spacing w:after="0"/>
              <w:rPr>
                <w:sz w:val="20"/>
                <w:szCs w:val="20"/>
                <w:color w:val="auto"/>
              </w:rPr>
            </w:pPr>
            <w:r>
              <w:rPr>
                <w:rFonts w:ascii="Arial" w:cs="Arial" w:eastAsia="Arial" w:hAnsi="Arial"/>
                <w:sz w:val="14"/>
                <w:szCs w:val="14"/>
                <w:color w:val="auto"/>
              </w:rPr>
              <w:t>Former Senior Director of Intel</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color w:val="auto"/>
              </w:rPr>
              <w:t>Industry</w:t>
            </w:r>
          </w:p>
        </w:tc>
        <w:tc>
          <w:tcPr>
            <w:tcW w:w="5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 Audit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Haiping Dun</w:t>
            </w: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color w:val="auto"/>
              </w:rPr>
              <w:t>Corporation</w:t>
            </w:r>
          </w:p>
        </w:tc>
        <w:tc>
          <w:tcPr>
            <w:tcW w:w="15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580" w:type="dxa"/>
            <w:vAlign w:val="bottom"/>
            <w:tcBorders>
              <w:right w:val="single" w:sz="8" w:color="auto"/>
            </w:tcBorders>
            <w:vMerge w:val="restart"/>
          </w:tcPr>
          <w:p>
            <w:pPr>
              <w:ind w:left="160"/>
              <w:spacing w:after="0" w:line="181" w:lineRule="exact"/>
              <w:rPr>
                <w:sz w:val="20"/>
                <w:szCs w:val="20"/>
                <w:color w:val="auto"/>
              </w:rPr>
            </w:pPr>
            <w:r>
              <w:rPr>
                <w:rFonts w:ascii="MS PGothic" w:cs="MS PGothic" w:eastAsia="MS PGothic" w:hAnsi="MS PGothic"/>
                <w:sz w:val="18"/>
                <w:szCs w:val="18"/>
                <w:color w:val="auto"/>
                <w:shd w:val="clear" w:color="auto" w:fill="0079C1"/>
              </w:rPr>
              <w:t>✔</w:t>
            </w:r>
          </w:p>
        </w:tc>
        <w:tc>
          <w:tcPr>
            <w:tcW w:w="6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77</w:t>
            </w:r>
          </w:p>
        </w:tc>
        <w:tc>
          <w:tcPr>
            <w:tcW w:w="800" w:type="dxa"/>
            <w:vAlign w:val="bottom"/>
            <w:vMerge w:val="restart"/>
          </w:tcPr>
          <w:p>
            <w:pPr>
              <w:jc w:val="center"/>
              <w:ind w:left="8"/>
              <w:spacing w:after="0"/>
              <w:rPr>
                <w:sz w:val="20"/>
                <w:szCs w:val="20"/>
                <w:color w:val="auto"/>
              </w:rPr>
            </w:pPr>
            <w:r>
              <w:rPr>
                <w:rFonts w:ascii="Arial" w:cs="Arial" w:eastAsia="Arial" w:hAnsi="Arial"/>
                <w:sz w:val="14"/>
                <w:szCs w:val="14"/>
                <w:color w:val="auto"/>
              </w:rPr>
              <w:t>2003</w:t>
            </w:r>
          </w:p>
        </w:tc>
        <w:tc>
          <w:tcPr>
            <w:tcW w:w="98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color w:val="auto"/>
              </w:rPr>
              <w:t>• Global</w:t>
            </w:r>
          </w:p>
        </w:tc>
        <w:tc>
          <w:tcPr>
            <w:tcW w:w="580" w:type="dxa"/>
            <w:vAlign w:val="bottom"/>
            <w:tcBorders>
              <w:right w:val="single" w:sz="8" w:color="auto"/>
            </w:tcBorders>
            <w:vMerge w:val="continue"/>
          </w:tcPr>
          <w:p>
            <w:pPr>
              <w:spacing w:after="0"/>
              <w:rPr>
                <w:sz w:val="7"/>
                <w:szCs w:val="7"/>
                <w:color w:val="auto"/>
              </w:rPr>
            </w:pPr>
          </w:p>
        </w:tc>
        <w:tc>
          <w:tcPr>
            <w:tcW w:w="6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color w:val="auto"/>
              </w:rPr>
              <w:t>Former President of Champion</w:t>
            </w:r>
          </w:p>
        </w:tc>
        <w:tc>
          <w:tcPr>
            <w:tcW w:w="1560" w:type="dxa"/>
            <w:vAlign w:val="bottom"/>
            <w:gridSpan w:val="3"/>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 Compensation</w:t>
            </w: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color w:val="auto"/>
              </w:rPr>
              <w:t>• Leadership</w:t>
            </w:r>
          </w:p>
        </w:tc>
        <w:tc>
          <w:tcPr>
            <w:tcW w:w="5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color w:val="auto"/>
              </w:rPr>
              <w:t>Microelectronic Corp.</w:t>
            </w:r>
          </w:p>
        </w:tc>
        <w:tc>
          <w:tcPr>
            <w:tcW w:w="1560" w:type="dxa"/>
            <w:vAlign w:val="bottom"/>
            <w:gridSpan w:val="3"/>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color w:val="auto"/>
              </w:rPr>
              <w:t>Managing Partner of H&amp;M Int’l CPAs,</w:t>
            </w: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color w:val="auto"/>
              </w:rPr>
              <w:t>• Finance</w:t>
            </w:r>
          </w:p>
        </w:tc>
        <w:tc>
          <w:tcPr>
            <w:tcW w:w="58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 Audit</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Tracy Liu</w:t>
            </w: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580" w:type="dxa"/>
            <w:vAlign w:val="bottom"/>
            <w:tcBorders>
              <w:right w:val="single" w:sz="8" w:color="auto"/>
            </w:tcBorders>
            <w:vMerge w:val="restart"/>
          </w:tcPr>
          <w:p>
            <w:pPr>
              <w:ind w:left="160"/>
              <w:spacing w:after="0" w:line="181" w:lineRule="exact"/>
              <w:rPr>
                <w:sz w:val="20"/>
                <w:szCs w:val="20"/>
                <w:color w:val="auto"/>
              </w:rPr>
            </w:pPr>
            <w:r>
              <w:rPr>
                <w:rFonts w:ascii="MS PGothic" w:cs="MS PGothic" w:eastAsia="MS PGothic" w:hAnsi="MS PGothic"/>
                <w:sz w:val="18"/>
                <w:szCs w:val="18"/>
                <w:color w:val="auto"/>
                <w:shd w:val="clear" w:color="auto" w:fill="0079C1"/>
              </w:rPr>
              <w:t>✔</w:t>
            </w:r>
          </w:p>
        </w:tc>
        <w:tc>
          <w:tcPr>
            <w:tcW w:w="660" w:type="dxa"/>
            <w:vAlign w:val="bottom"/>
          </w:tcPr>
          <w:p>
            <w:pPr>
              <w:spacing w:after="0"/>
              <w:rPr>
                <w:sz w:val="7"/>
                <w:szCs w:val="7"/>
                <w:color w:val="auto"/>
              </w:rPr>
            </w:pPr>
          </w:p>
        </w:tc>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 Compensation</w:t>
            </w: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rPr>
              <w:t>61</w:t>
            </w:r>
          </w:p>
        </w:tc>
        <w:tc>
          <w:tcPr>
            <w:tcW w:w="800" w:type="dxa"/>
            <w:vAlign w:val="bottom"/>
          </w:tcPr>
          <w:p>
            <w:pPr>
              <w:jc w:val="center"/>
              <w:ind w:left="8"/>
              <w:spacing w:after="0" w:line="145" w:lineRule="exact"/>
              <w:rPr>
                <w:sz w:val="20"/>
                <w:szCs w:val="20"/>
                <w:color w:val="auto"/>
              </w:rPr>
            </w:pPr>
            <w:r>
              <w:rPr>
                <w:rFonts w:ascii="Arial" w:cs="Arial" w:eastAsia="Arial" w:hAnsi="Arial"/>
                <w:sz w:val="14"/>
                <w:szCs w:val="14"/>
                <w:color w:val="auto"/>
              </w:rPr>
              <w:t>2016</w:t>
            </w:r>
          </w:p>
        </w:tc>
        <w:tc>
          <w:tcPr>
            <w:tcW w:w="2480" w:type="dxa"/>
            <w:vAlign w:val="bottom"/>
            <w:gridSpan w:val="2"/>
            <w:vMerge w:val="continue"/>
          </w:tcPr>
          <w:p>
            <w:pPr>
              <w:spacing w:after="0"/>
              <w:rPr>
                <w:sz w:val="12"/>
                <w:szCs w:val="12"/>
                <w:color w:val="auto"/>
              </w:rPr>
            </w:pPr>
          </w:p>
        </w:tc>
        <w:tc>
          <w:tcPr>
            <w:tcW w:w="156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 Leadership</w:t>
            </w:r>
          </w:p>
        </w:tc>
        <w:tc>
          <w:tcPr>
            <w:tcW w:w="580" w:type="dxa"/>
            <w:vAlign w:val="bottom"/>
            <w:tcBorders>
              <w:right w:val="single" w:sz="8" w:color="auto"/>
            </w:tcBorders>
            <w:vMerge w:val="continue"/>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ind w:left="100"/>
              <w:spacing w:after="0" w:line="126" w:lineRule="exact"/>
              <w:rPr>
                <w:sz w:val="20"/>
                <w:szCs w:val="20"/>
                <w:color w:val="auto"/>
              </w:rPr>
            </w:pPr>
            <w:r>
              <w:rPr>
                <w:rFonts w:ascii="Arial" w:cs="Arial" w:eastAsia="Arial" w:hAnsi="Arial"/>
                <w:sz w:val="14"/>
                <w:szCs w:val="14"/>
                <w:color w:val="auto"/>
              </w:rPr>
              <w:t>LLP</w:t>
            </w:r>
          </w:p>
        </w:tc>
        <w:tc>
          <w:tcPr>
            <w:tcW w:w="1500" w:type="dxa"/>
            <w:vAlign w:val="bottom"/>
          </w:tcPr>
          <w:p>
            <w:pPr>
              <w:spacing w:after="0"/>
              <w:rPr>
                <w:sz w:val="10"/>
                <w:szCs w:val="10"/>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color w:val="auto"/>
              </w:rPr>
              <w:t>• Global</w:t>
            </w:r>
          </w:p>
        </w:tc>
        <w:tc>
          <w:tcPr>
            <w:tcW w:w="5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tcPr>
          <w:p>
            <w:pPr>
              <w:ind w:left="20"/>
              <w:spacing w:after="0" w:line="126" w:lineRule="exact"/>
              <w:rPr>
                <w:sz w:val="20"/>
                <w:szCs w:val="20"/>
                <w:color w:val="auto"/>
              </w:rPr>
            </w:pPr>
            <w:r>
              <w:rPr>
                <w:rFonts w:ascii="Arial" w:cs="Arial" w:eastAsia="Arial" w:hAnsi="Arial"/>
                <w:sz w:val="14"/>
                <w:szCs w:val="14"/>
                <w:color w:val="auto"/>
              </w:rPr>
              <w:t>• Nominating and</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restart"/>
          </w:tcPr>
          <w:p>
            <w:pPr>
              <w:ind w:left="180"/>
              <w:spacing w:after="0"/>
              <w:rPr>
                <w:sz w:val="20"/>
                <w:szCs w:val="20"/>
                <w:color w:val="auto"/>
              </w:rPr>
            </w:pPr>
            <w:r>
              <w:rPr>
                <w:rFonts w:ascii="Arial" w:cs="Arial" w:eastAsia="Arial" w:hAnsi="Arial"/>
                <w:sz w:val="14"/>
                <w:szCs w:val="14"/>
                <w:color w:val="auto"/>
              </w:rPr>
              <w:t>Governance</w:t>
            </w: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gridSpan w:val="5"/>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David H. Wang</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800" w:type="dxa"/>
            <w:vAlign w:val="bottom"/>
            <w:vMerge w:val="restart"/>
          </w:tcPr>
          <w:p>
            <w:pPr>
              <w:jc w:val="center"/>
              <w:ind w:left="8"/>
              <w:spacing w:after="0"/>
              <w:rPr>
                <w:sz w:val="20"/>
                <w:szCs w:val="20"/>
                <w:color w:val="auto"/>
              </w:rPr>
            </w:pPr>
            <w:r>
              <w:rPr>
                <w:rFonts w:ascii="Arial" w:cs="Arial" w:eastAsia="Arial" w:hAnsi="Arial"/>
                <w:sz w:val="14"/>
                <w:szCs w:val="14"/>
                <w:color w:val="auto"/>
              </w:rPr>
              <w:t>1998</w:t>
            </w:r>
          </w:p>
        </w:tc>
        <w:tc>
          <w:tcPr>
            <w:tcW w:w="4040" w:type="dxa"/>
            <w:vAlign w:val="bottom"/>
            <w:gridSpan w:val="5"/>
          </w:tcPr>
          <w:p>
            <w:pPr>
              <w:ind w:left="100"/>
              <w:spacing w:after="0" w:line="317" w:lineRule="exact"/>
              <w:rPr>
                <w:sz w:val="20"/>
                <w:szCs w:val="20"/>
                <w:color w:val="auto"/>
              </w:rPr>
            </w:pPr>
            <w:r>
              <w:rPr>
                <w:rFonts w:ascii="Arial" w:cs="Arial" w:eastAsia="Arial" w:hAnsi="Arial"/>
                <w:sz w:val="14"/>
                <w:szCs w:val="14"/>
                <w:color w:val="auto"/>
              </w:rPr>
              <w:t xml:space="preserve">Founder, Chief Executive Officer and </w:t>
            </w:r>
            <w:r>
              <w:rPr>
                <w:rFonts w:ascii="Arial" w:cs="Arial" w:eastAsia="Arial" w:hAnsi="Arial"/>
                <w:sz w:val="28"/>
                <w:szCs w:val="28"/>
                <w:color w:val="auto"/>
                <w:vertAlign w:val="superscript"/>
              </w:rPr>
              <w:t>• Industry</w:t>
            </w:r>
          </w:p>
        </w:tc>
        <w:tc>
          <w:tcPr>
            <w:tcW w:w="580" w:type="dxa"/>
            <w:vAlign w:val="bottom"/>
            <w:tcBorders>
              <w:right w:val="single" w:sz="8" w:color="auto"/>
            </w:tcBorders>
          </w:tcPr>
          <w:p>
            <w:pPr>
              <w:spacing w:after="0"/>
              <w:rPr>
                <w:sz w:val="24"/>
                <w:szCs w:val="24"/>
                <w:color w:val="auto"/>
              </w:rPr>
            </w:pPr>
          </w:p>
        </w:tc>
        <w:tc>
          <w:tcPr>
            <w:tcW w:w="2080" w:type="dxa"/>
            <w:vAlign w:val="bottom"/>
            <w:gridSpan w:val="2"/>
            <w:vMerge w:val="restart"/>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0079C1"/>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President of ACM Research, Inc.</w:t>
            </w: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color w:val="auto"/>
              </w:rPr>
              <w:t>• Innovation</w:t>
            </w:r>
          </w:p>
        </w:tc>
        <w:tc>
          <w:tcPr>
            <w:tcW w:w="580" w:type="dxa"/>
            <w:vAlign w:val="bottom"/>
            <w:tcBorders>
              <w:right w:val="single" w:sz="8" w:color="auto"/>
            </w:tcBorders>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 Leadership</w:t>
            </w:r>
          </w:p>
        </w:tc>
        <w:tc>
          <w:tcPr>
            <w:tcW w:w="5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Charles Pappis</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800" w:type="dxa"/>
            <w:vAlign w:val="bottom"/>
            <w:vMerge w:val="restart"/>
          </w:tcPr>
          <w:p>
            <w:pPr>
              <w:jc w:val="center"/>
              <w:ind w:left="8"/>
              <w:spacing w:after="0"/>
              <w:rPr>
                <w:sz w:val="20"/>
                <w:szCs w:val="20"/>
                <w:color w:val="auto"/>
              </w:rPr>
            </w:pPr>
            <w:r>
              <w:rPr>
                <w:rFonts w:ascii="Arial" w:cs="Arial" w:eastAsia="Arial" w:hAnsi="Arial"/>
                <w:sz w:val="14"/>
                <w:szCs w:val="14"/>
                <w:color w:val="auto"/>
              </w:rPr>
              <w:t>2025</w:t>
            </w:r>
          </w:p>
        </w:tc>
        <w:tc>
          <w:tcPr>
            <w:tcW w:w="248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President of Pappis Consulting</w:t>
            </w: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 Finance</w:t>
            </w:r>
          </w:p>
        </w:tc>
        <w:tc>
          <w:tcPr>
            <w:tcW w:w="580" w:type="dxa"/>
            <w:vAlign w:val="bottom"/>
            <w:tcBorders>
              <w:right w:val="single" w:sz="8" w:color="auto"/>
            </w:tcBorders>
            <w:vMerge w:val="restart"/>
          </w:tcPr>
          <w:p>
            <w:pPr>
              <w:ind w:left="160"/>
              <w:spacing w:after="0" w:line="181" w:lineRule="exact"/>
              <w:rPr>
                <w:sz w:val="20"/>
                <w:szCs w:val="20"/>
                <w:color w:val="auto"/>
              </w:rPr>
            </w:pPr>
            <w:r>
              <w:rPr>
                <w:rFonts w:ascii="MS PGothic" w:cs="MS PGothic" w:eastAsia="MS PGothic" w:hAnsi="MS PGothic"/>
                <w:sz w:val="18"/>
                <w:szCs w:val="18"/>
                <w:color w:val="auto"/>
                <w:shd w:val="clear" w:color="auto" w:fill="0079C1"/>
              </w:rPr>
              <w:t>✔</w:t>
            </w:r>
          </w:p>
        </w:tc>
        <w:tc>
          <w:tcPr>
            <w:tcW w:w="660" w:type="dxa"/>
            <w:vAlign w:val="bottom"/>
          </w:tcPr>
          <w:p>
            <w:pPr>
              <w:spacing w:after="0"/>
              <w:rPr>
                <w:sz w:val="23"/>
                <w:szCs w:val="23"/>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 Audit</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 Leadership</w:t>
            </w:r>
          </w:p>
        </w:tc>
        <w:tc>
          <w:tcPr>
            <w:tcW w:w="580" w:type="dxa"/>
            <w:vAlign w:val="bottom"/>
            <w:tcBorders>
              <w:right w:val="single" w:sz="8" w:color="auto"/>
            </w:tcBorders>
            <w:vMerge w:val="continue"/>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 Nominating and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 Global</w:t>
            </w:r>
          </w:p>
        </w:tc>
        <w:tc>
          <w:tcPr>
            <w:tcW w:w="5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ind w:left="180"/>
              <w:spacing w:after="0"/>
              <w:rPr>
                <w:sz w:val="20"/>
                <w:szCs w:val="20"/>
                <w:color w:val="auto"/>
              </w:rPr>
            </w:pPr>
            <w:r>
              <w:rPr>
                <w:rFonts w:ascii="Arial" w:cs="Arial" w:eastAsia="Arial" w:hAnsi="Arial"/>
                <w:sz w:val="14"/>
                <w:szCs w:val="14"/>
                <w:color w:val="auto"/>
              </w:rPr>
              <w:t>Governance</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740" w:type="dxa"/>
            <w:vAlign w:val="bottom"/>
            <w:tcBorders>
              <w:bottom w:val="single" w:sz="8" w:color="0079C1"/>
            </w:tcBorders>
            <w:gridSpan w:val="5"/>
          </w:tcPr>
          <w:p>
            <w:pPr>
              <w:spacing w:after="0"/>
              <w:rPr>
                <w:sz w:val="8"/>
                <w:szCs w:val="8"/>
                <w:color w:val="auto"/>
              </w:rPr>
            </w:pPr>
          </w:p>
        </w:tc>
        <w:tc>
          <w:tcPr>
            <w:tcW w:w="1500" w:type="dxa"/>
            <w:vAlign w:val="bottom"/>
            <w:tcBorders>
              <w:bottom w:val="single" w:sz="8" w:color="0079C1"/>
            </w:tcBorders>
          </w:tcPr>
          <w:p>
            <w:pPr>
              <w:spacing w:after="0"/>
              <w:rPr>
                <w:sz w:val="8"/>
                <w:szCs w:val="8"/>
                <w:color w:val="auto"/>
              </w:rPr>
            </w:pPr>
          </w:p>
        </w:tc>
        <w:tc>
          <w:tcPr>
            <w:tcW w:w="100" w:type="dxa"/>
            <w:vAlign w:val="bottom"/>
            <w:tcBorders>
              <w:bottom w:val="single" w:sz="8" w:color="0079C1"/>
            </w:tcBorders>
          </w:tcPr>
          <w:p>
            <w:pPr>
              <w:spacing w:after="0"/>
              <w:rPr>
                <w:sz w:val="8"/>
                <w:szCs w:val="8"/>
                <w:color w:val="auto"/>
              </w:rPr>
            </w:pPr>
          </w:p>
        </w:tc>
        <w:tc>
          <w:tcPr>
            <w:tcW w:w="1360" w:type="dxa"/>
            <w:vAlign w:val="bottom"/>
            <w:tcBorders>
              <w:bottom w:val="single" w:sz="8" w:color="0079C1"/>
            </w:tcBorders>
          </w:tcPr>
          <w:p>
            <w:pPr>
              <w:spacing w:after="0"/>
              <w:rPr>
                <w:sz w:val="8"/>
                <w:szCs w:val="8"/>
                <w:color w:val="auto"/>
              </w:rPr>
            </w:pPr>
          </w:p>
        </w:tc>
        <w:tc>
          <w:tcPr>
            <w:tcW w:w="100" w:type="dxa"/>
            <w:vAlign w:val="bottom"/>
            <w:tcBorders>
              <w:bottom w:val="single" w:sz="8" w:color="0079C1"/>
            </w:tcBorders>
          </w:tcPr>
          <w:p>
            <w:pPr>
              <w:spacing w:after="0"/>
              <w:rPr>
                <w:sz w:val="8"/>
                <w:szCs w:val="8"/>
                <w:color w:val="auto"/>
              </w:rPr>
            </w:pPr>
          </w:p>
        </w:tc>
        <w:tc>
          <w:tcPr>
            <w:tcW w:w="580" w:type="dxa"/>
            <w:vAlign w:val="bottom"/>
            <w:tcBorders>
              <w:bottom w:val="single" w:sz="8" w:color="0079C1"/>
              <w:right w:val="single" w:sz="8" w:color="auto"/>
            </w:tcBorders>
          </w:tcPr>
          <w:p>
            <w:pPr>
              <w:spacing w:after="0"/>
              <w:rPr>
                <w:sz w:val="8"/>
                <w:szCs w:val="8"/>
                <w:color w:val="auto"/>
              </w:rPr>
            </w:pPr>
          </w:p>
        </w:tc>
        <w:tc>
          <w:tcPr>
            <w:tcW w:w="660" w:type="dxa"/>
            <w:vAlign w:val="bottom"/>
            <w:tcBorders>
              <w:bottom w:val="single" w:sz="8" w:color="0079C1"/>
            </w:tcBorders>
          </w:tcPr>
          <w:p>
            <w:pPr>
              <w:spacing w:after="0"/>
              <w:rPr>
                <w:sz w:val="8"/>
                <w:szCs w:val="8"/>
                <w:color w:val="auto"/>
              </w:rPr>
            </w:pPr>
          </w:p>
        </w:tc>
        <w:tc>
          <w:tcPr>
            <w:tcW w:w="1420" w:type="dxa"/>
            <w:vAlign w:val="bottom"/>
            <w:tcBorders>
              <w:bottom w:val="single" w:sz="8" w:color="0079C1"/>
            </w:tcBorders>
          </w:tcPr>
          <w:p>
            <w:pPr>
              <w:spacing w:after="0"/>
              <w:rPr>
                <w:sz w:val="8"/>
                <w:szCs w:val="8"/>
                <w:color w:val="auto"/>
              </w:rPr>
            </w:pPr>
          </w:p>
        </w:tc>
        <w:tc>
          <w:tcPr>
            <w:tcW w:w="1780" w:type="dxa"/>
            <w:vAlign w:val="bottom"/>
            <w:tcBorders>
              <w:bottom w:val="single" w:sz="8" w:color="0079C1"/>
            </w:tcBorders>
          </w:tcPr>
          <w:p>
            <w:pPr>
              <w:spacing w:after="0"/>
              <w:rPr>
                <w:sz w:val="8"/>
                <w:szCs w:val="8"/>
                <w:color w:val="auto"/>
              </w:rPr>
            </w:pPr>
          </w:p>
        </w:tc>
        <w:tc>
          <w:tcPr>
            <w:tcW w:w="0" w:type="dxa"/>
            <w:vAlign w:val="bottom"/>
          </w:tcPr>
          <w:p>
            <w:pPr>
              <w:spacing w:after="0"/>
              <w:rPr>
                <w:sz w:val="1"/>
                <w:szCs w:val="1"/>
                <w:color w:val="auto"/>
              </w:rPr>
            </w:pPr>
          </w:p>
        </w:tc>
      </w:tr>
      <w:tr>
        <w:trPr>
          <w:trHeight w:val="545"/>
        </w:trPr>
        <w:tc>
          <w:tcPr>
            <w:tcW w:w="3740" w:type="dxa"/>
            <w:vAlign w:val="bottom"/>
            <w:gridSpan w:val="5"/>
          </w:tcPr>
          <w:p>
            <w:pPr>
              <w:spacing w:after="0"/>
              <w:rPr>
                <w:sz w:val="20"/>
                <w:szCs w:val="20"/>
                <w:color w:val="auto"/>
              </w:rPr>
            </w:pPr>
            <w:r>
              <w:rPr>
                <w:rFonts w:ascii="Arial" w:cs="Arial" w:eastAsia="Arial" w:hAnsi="Arial"/>
                <w:sz w:val="18"/>
                <w:szCs w:val="18"/>
                <w:b w:val="1"/>
                <w:bCs w:val="1"/>
                <w:color w:val="auto"/>
              </w:rPr>
              <w:t>Director Nominee Representation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40" w:type="dxa"/>
            <w:vAlign w:val="bottom"/>
            <w:gridSpan w:val="2"/>
          </w:tcPr>
          <w:p>
            <w:pPr>
              <w:spacing w:after="0"/>
              <w:rPr>
                <w:sz w:val="20"/>
                <w:szCs w:val="20"/>
                <w:color w:val="auto"/>
              </w:rPr>
            </w:pPr>
            <w:r>
              <w:rPr>
                <w:rFonts w:ascii="Arial" w:cs="Arial" w:eastAsia="Arial" w:hAnsi="Arial"/>
                <w:sz w:val="16"/>
                <w:szCs w:val="16"/>
                <w:b w:val="1"/>
                <w:bCs w:val="1"/>
                <w:color w:val="0079C1"/>
              </w:rPr>
              <w:t>Diversity</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16"/>
                <w:szCs w:val="16"/>
                <w:b w:val="1"/>
                <w:bCs w:val="1"/>
                <w:color w:val="0079C1"/>
              </w:rPr>
              <w:t>Independence</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gridSpan w:val="2"/>
          </w:tcPr>
          <w:p>
            <w:pPr>
              <w:ind w:left="280"/>
              <w:spacing w:after="0"/>
              <w:rPr>
                <w:sz w:val="20"/>
                <w:szCs w:val="20"/>
                <w:color w:val="auto"/>
              </w:rPr>
            </w:pPr>
            <w:r>
              <w:rPr>
                <w:rFonts w:ascii="Arial" w:cs="Arial" w:eastAsia="Arial" w:hAnsi="Arial"/>
                <w:sz w:val="16"/>
                <w:szCs w:val="16"/>
                <w:b w:val="1"/>
                <w:bCs w:val="1"/>
                <w:color w:val="0079C1"/>
              </w:rPr>
              <w:t>Tenure</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740" w:type="dxa"/>
            <w:vAlign w:val="bottom"/>
            <w:gridSpan w:val="5"/>
          </w:tcPr>
          <w:p>
            <w:pPr>
              <w:spacing w:after="0"/>
              <w:rPr>
                <w:sz w:val="20"/>
                <w:szCs w:val="20"/>
                <w:color w:val="auto"/>
              </w:rPr>
            </w:pPr>
            <w:r>
              <w:rPr>
                <w:rFonts w:ascii="Arial" w:cs="Arial" w:eastAsia="Arial" w:hAnsi="Arial"/>
                <w:sz w:val="16"/>
                <w:szCs w:val="16"/>
                <w:color w:val="auto"/>
              </w:rPr>
              <w:t>Three of our director nominees voluntarily self-</w:t>
            </w:r>
          </w:p>
        </w:tc>
        <w:tc>
          <w:tcPr>
            <w:tcW w:w="3640" w:type="dxa"/>
            <w:vAlign w:val="bottom"/>
            <w:gridSpan w:val="5"/>
          </w:tcPr>
          <w:p>
            <w:pPr>
              <w:ind w:left="80"/>
              <w:spacing w:after="0"/>
              <w:rPr>
                <w:sz w:val="20"/>
                <w:szCs w:val="20"/>
                <w:color w:val="auto"/>
              </w:rPr>
            </w:pPr>
            <w:r>
              <w:rPr>
                <w:rFonts w:ascii="Arial" w:cs="Arial" w:eastAsia="Arial" w:hAnsi="Arial"/>
                <w:sz w:val="16"/>
                <w:szCs w:val="16"/>
                <w:color w:val="auto"/>
              </w:rPr>
              <w:t>Three of our four director nominees qualify as</w:t>
            </w:r>
          </w:p>
        </w:tc>
        <w:tc>
          <w:tcPr>
            <w:tcW w:w="3860" w:type="dxa"/>
            <w:vAlign w:val="bottom"/>
            <w:gridSpan w:val="3"/>
          </w:tcPr>
          <w:p>
            <w:pPr>
              <w:ind w:left="280"/>
              <w:spacing w:after="0"/>
              <w:rPr>
                <w:sz w:val="20"/>
                <w:szCs w:val="20"/>
                <w:color w:val="auto"/>
              </w:rPr>
            </w:pPr>
            <w:r>
              <w:rPr>
                <w:rFonts w:ascii="Arial" w:cs="Arial" w:eastAsia="Arial" w:hAnsi="Arial"/>
                <w:sz w:val="16"/>
                <w:szCs w:val="16"/>
                <w:color w:val="auto"/>
              </w:rPr>
              <w:t>The tenure of our director nominees reflects a</w:t>
            </w:r>
          </w:p>
        </w:tc>
        <w:tc>
          <w:tcPr>
            <w:tcW w:w="0" w:type="dxa"/>
            <w:vAlign w:val="bottom"/>
          </w:tcPr>
          <w:p>
            <w:pPr>
              <w:spacing w:after="0"/>
              <w:rPr>
                <w:sz w:val="1"/>
                <w:szCs w:val="1"/>
                <w:color w:val="auto"/>
              </w:rPr>
            </w:pPr>
          </w:p>
        </w:tc>
      </w:tr>
      <w:tr>
        <w:trPr>
          <w:trHeight w:val="257"/>
        </w:trPr>
        <w:tc>
          <w:tcPr>
            <w:tcW w:w="3740" w:type="dxa"/>
            <w:vAlign w:val="bottom"/>
            <w:gridSpan w:val="5"/>
          </w:tcPr>
          <w:p>
            <w:pPr>
              <w:spacing w:after="0"/>
              <w:rPr>
                <w:sz w:val="20"/>
                <w:szCs w:val="20"/>
                <w:color w:val="auto"/>
              </w:rPr>
            </w:pPr>
            <w:r>
              <w:rPr>
                <w:rFonts w:ascii="Arial" w:cs="Arial" w:eastAsia="Arial" w:hAnsi="Arial"/>
                <w:sz w:val="16"/>
                <w:szCs w:val="16"/>
                <w:color w:val="auto"/>
              </w:rPr>
              <w:t>identify as having a diverse identity (gender or</w:t>
            </w:r>
          </w:p>
        </w:tc>
        <w:tc>
          <w:tcPr>
            <w:tcW w:w="3060" w:type="dxa"/>
            <w:vAlign w:val="bottom"/>
            <w:gridSpan w:val="4"/>
          </w:tcPr>
          <w:p>
            <w:pPr>
              <w:ind w:left="80"/>
              <w:spacing w:after="0"/>
              <w:rPr>
                <w:sz w:val="20"/>
                <w:szCs w:val="20"/>
                <w:color w:val="auto"/>
              </w:rPr>
            </w:pPr>
            <w:r>
              <w:rPr>
                <w:rFonts w:ascii="Arial" w:cs="Arial" w:eastAsia="Arial" w:hAnsi="Arial"/>
                <w:sz w:val="16"/>
                <w:szCs w:val="16"/>
                <w:color w:val="auto"/>
              </w:rPr>
              <w:t>independent under SEC regulations and</w:t>
            </w:r>
          </w:p>
        </w:tc>
        <w:tc>
          <w:tcPr>
            <w:tcW w:w="580" w:type="dxa"/>
            <w:vAlign w:val="bottom"/>
          </w:tcPr>
          <w:p>
            <w:pPr>
              <w:spacing w:after="0"/>
              <w:rPr>
                <w:sz w:val="22"/>
                <w:szCs w:val="22"/>
                <w:color w:val="auto"/>
              </w:rPr>
            </w:pPr>
          </w:p>
        </w:tc>
        <w:tc>
          <w:tcPr>
            <w:tcW w:w="3860" w:type="dxa"/>
            <w:vAlign w:val="bottom"/>
            <w:gridSpan w:val="3"/>
          </w:tcPr>
          <w:p>
            <w:pPr>
              <w:ind w:left="280"/>
              <w:spacing w:after="0"/>
              <w:rPr>
                <w:sz w:val="20"/>
                <w:szCs w:val="20"/>
                <w:color w:val="auto"/>
              </w:rPr>
            </w:pPr>
            <w:r>
              <w:rPr>
                <w:rFonts w:ascii="Arial" w:cs="Arial" w:eastAsia="Arial" w:hAnsi="Arial"/>
                <w:sz w:val="16"/>
                <w:szCs w:val="16"/>
                <w:color w:val="auto"/>
              </w:rPr>
              <w:t>mix of experience and perspective.</w:t>
            </w:r>
          </w:p>
        </w:tc>
        <w:tc>
          <w:tcPr>
            <w:tcW w:w="0" w:type="dxa"/>
            <w:vAlign w:val="bottom"/>
          </w:tcPr>
          <w:p>
            <w:pPr>
              <w:spacing w:after="0"/>
              <w:rPr>
                <w:sz w:val="1"/>
                <w:szCs w:val="1"/>
                <w:color w:val="auto"/>
              </w:rPr>
            </w:pPr>
          </w:p>
        </w:tc>
      </w:tr>
      <w:tr>
        <w:trPr>
          <w:trHeight w:val="256"/>
        </w:trPr>
        <w:tc>
          <w:tcPr>
            <w:tcW w:w="1340" w:type="dxa"/>
            <w:vAlign w:val="bottom"/>
            <w:gridSpan w:val="2"/>
          </w:tcPr>
          <w:p>
            <w:pPr>
              <w:spacing w:after="0"/>
              <w:rPr>
                <w:sz w:val="20"/>
                <w:szCs w:val="20"/>
                <w:color w:val="auto"/>
              </w:rPr>
            </w:pPr>
            <w:r>
              <w:rPr>
                <w:rFonts w:ascii="Arial" w:cs="Arial" w:eastAsia="Arial" w:hAnsi="Arial"/>
                <w:sz w:val="16"/>
                <w:szCs w:val="16"/>
                <w:color w:val="auto"/>
              </w:rPr>
              <w:t>race).</w:t>
            </w: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color w:val="auto"/>
              </w:rPr>
              <w:t>NASDAQ standards.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-3547110</wp:posOffset>
            </wp:positionV>
            <wp:extent cx="8255"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6617970" cy="2014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7970" cy="2014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2384425</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00" w:type="dxa"/>
            <w:vAlign w:val="bottom"/>
            <w:shd w:val="clear" w:color="auto" w:fill="80BCE0"/>
          </w:tcPr>
          <w:p>
            <w:pPr>
              <w:ind w:left="100"/>
              <w:spacing w:after="0"/>
              <w:rPr>
                <w:sz w:val="20"/>
                <w:szCs w:val="20"/>
                <w:color w:val="auto"/>
              </w:rPr>
            </w:pPr>
            <w:r>
              <w:rPr>
                <w:rFonts w:ascii="Arial" w:cs="Arial" w:eastAsia="Arial" w:hAnsi="Arial"/>
                <w:sz w:val="16"/>
                <w:szCs w:val="16"/>
                <w:b w:val="1"/>
                <w:bCs w:val="1"/>
                <w:color w:val="FFFFFF"/>
              </w:rPr>
              <w:t>Total Number of Current Directors</w:t>
            </w:r>
          </w:p>
        </w:tc>
        <w:tc>
          <w:tcPr>
            <w:tcW w:w="3700" w:type="dxa"/>
            <w:vAlign w:val="bottom"/>
            <w:shd w:val="clear" w:color="auto" w:fill="80BCE0"/>
          </w:tcPr>
          <w:p>
            <w:pPr>
              <w:spacing w:after="0"/>
              <w:rPr>
                <w:sz w:val="22"/>
                <w:szCs w:val="22"/>
                <w:color w:val="auto"/>
              </w:rPr>
            </w:pPr>
          </w:p>
        </w:tc>
        <w:tc>
          <w:tcPr>
            <w:tcW w:w="1840" w:type="dxa"/>
            <w:vAlign w:val="bottom"/>
            <w:shd w:val="clear" w:color="auto" w:fill="80BCE0"/>
          </w:tcPr>
          <w:p>
            <w:pPr>
              <w:jc w:val="right"/>
              <w:ind w:right="1426"/>
              <w:spacing w:after="0"/>
              <w:rPr>
                <w:sz w:val="20"/>
                <w:szCs w:val="20"/>
                <w:color w:val="auto"/>
              </w:rPr>
            </w:pPr>
            <w:r>
              <w:rPr>
                <w:rFonts w:ascii="Arial" w:cs="Arial" w:eastAsia="Arial" w:hAnsi="Arial"/>
                <w:sz w:val="16"/>
                <w:szCs w:val="16"/>
                <w:b w:val="1"/>
                <w:bCs w:val="1"/>
                <w:color w:val="FFFFFF"/>
              </w:rPr>
              <w:t>4</w:t>
            </w:r>
          </w:p>
        </w:tc>
      </w:tr>
      <w:tr>
        <w:trPr>
          <w:trHeight w:val="210"/>
        </w:trPr>
        <w:tc>
          <w:tcPr>
            <w:tcW w:w="5700" w:type="dxa"/>
            <w:vAlign w:val="bottom"/>
            <w:shd w:val="clear" w:color="auto" w:fill="80BCE0"/>
          </w:tcPr>
          <w:p>
            <w:pPr>
              <w:spacing w:after="0"/>
              <w:rPr>
                <w:sz w:val="18"/>
                <w:szCs w:val="18"/>
                <w:color w:val="auto"/>
              </w:rPr>
            </w:pPr>
          </w:p>
        </w:tc>
        <w:tc>
          <w:tcPr>
            <w:tcW w:w="3700" w:type="dxa"/>
            <w:vAlign w:val="bottom"/>
            <w:shd w:val="clear" w:color="auto" w:fill="80BCE0"/>
          </w:tcPr>
          <w:p>
            <w:pPr>
              <w:spacing w:after="0"/>
              <w:rPr>
                <w:sz w:val="18"/>
                <w:szCs w:val="18"/>
                <w:color w:val="auto"/>
              </w:rPr>
            </w:pPr>
          </w:p>
        </w:tc>
        <w:tc>
          <w:tcPr>
            <w:tcW w:w="1840" w:type="dxa"/>
            <w:vAlign w:val="bottom"/>
            <w:shd w:val="clear" w:color="auto" w:fill="80BCE0"/>
          </w:tcPr>
          <w:p>
            <w:pPr>
              <w:spacing w:after="0"/>
              <w:rPr>
                <w:sz w:val="18"/>
                <w:szCs w:val="18"/>
                <w:color w:val="auto"/>
              </w:rPr>
            </w:pPr>
          </w:p>
        </w:tc>
      </w:tr>
      <w:tr>
        <w:trPr>
          <w:trHeight w:val="214"/>
        </w:trPr>
        <w:tc>
          <w:tcPr>
            <w:tcW w:w="5700" w:type="dxa"/>
            <w:vAlign w:val="bottom"/>
            <w:shd w:val="clear" w:color="auto" w:fill="0079C1"/>
          </w:tcPr>
          <w:p>
            <w:pPr>
              <w:spacing w:after="0"/>
              <w:rPr>
                <w:sz w:val="18"/>
                <w:szCs w:val="18"/>
                <w:color w:val="auto"/>
              </w:rPr>
            </w:pPr>
          </w:p>
        </w:tc>
        <w:tc>
          <w:tcPr>
            <w:tcW w:w="3700" w:type="dxa"/>
            <w:vAlign w:val="bottom"/>
            <w:shd w:val="clear" w:color="auto" w:fill="0079C1"/>
          </w:tcPr>
          <w:p>
            <w:pPr>
              <w:jc w:val="center"/>
              <w:ind w:left="2648"/>
              <w:spacing w:after="0"/>
              <w:rPr>
                <w:sz w:val="20"/>
                <w:szCs w:val="20"/>
                <w:color w:val="auto"/>
              </w:rPr>
            </w:pPr>
            <w:r>
              <w:rPr>
                <w:rFonts w:ascii="Arial" w:cs="Arial" w:eastAsia="Arial" w:hAnsi="Arial"/>
                <w:sz w:val="14"/>
                <w:szCs w:val="14"/>
                <w:b w:val="1"/>
                <w:bCs w:val="1"/>
                <w:color w:val="FFFFFF"/>
              </w:rPr>
              <w:t>Female</w:t>
            </w:r>
          </w:p>
        </w:tc>
        <w:tc>
          <w:tcPr>
            <w:tcW w:w="1840" w:type="dxa"/>
            <w:vAlign w:val="bottom"/>
            <w:shd w:val="clear" w:color="auto" w:fill="0079C1"/>
          </w:tcPr>
          <w:p>
            <w:pPr>
              <w:jc w:val="center"/>
              <w:ind w:left="206"/>
              <w:spacing w:after="0"/>
              <w:rPr>
                <w:sz w:val="20"/>
                <w:szCs w:val="20"/>
                <w:color w:val="auto"/>
              </w:rPr>
            </w:pPr>
            <w:r>
              <w:rPr>
                <w:rFonts w:ascii="Arial" w:cs="Arial" w:eastAsia="Arial" w:hAnsi="Arial"/>
                <w:sz w:val="14"/>
                <w:szCs w:val="14"/>
                <w:b w:val="1"/>
                <w:bCs w:val="1"/>
                <w:color w:val="FFFFFF"/>
              </w:rPr>
              <w:t>Male</w:t>
            </w:r>
          </w:p>
        </w:tc>
      </w:tr>
      <w:tr>
        <w:trPr>
          <w:trHeight w:val="110"/>
        </w:trPr>
        <w:tc>
          <w:tcPr>
            <w:tcW w:w="5700" w:type="dxa"/>
            <w:vAlign w:val="bottom"/>
            <w:shd w:val="clear" w:color="auto" w:fill="0079C1"/>
          </w:tcPr>
          <w:p>
            <w:pPr>
              <w:spacing w:after="0"/>
              <w:rPr>
                <w:sz w:val="9"/>
                <w:szCs w:val="9"/>
                <w:color w:val="auto"/>
              </w:rPr>
            </w:pPr>
          </w:p>
        </w:tc>
        <w:tc>
          <w:tcPr>
            <w:tcW w:w="3700" w:type="dxa"/>
            <w:vAlign w:val="bottom"/>
            <w:shd w:val="clear" w:color="auto" w:fill="0079C1"/>
          </w:tcPr>
          <w:p>
            <w:pPr>
              <w:spacing w:after="0"/>
              <w:rPr>
                <w:sz w:val="9"/>
                <w:szCs w:val="9"/>
                <w:color w:val="auto"/>
              </w:rPr>
            </w:pPr>
          </w:p>
        </w:tc>
        <w:tc>
          <w:tcPr>
            <w:tcW w:w="1840" w:type="dxa"/>
            <w:vAlign w:val="bottom"/>
            <w:shd w:val="clear" w:color="auto" w:fill="0079C1"/>
          </w:tcPr>
          <w:p>
            <w:pPr>
              <w:spacing w:after="0"/>
              <w:rPr>
                <w:sz w:val="9"/>
                <w:szCs w:val="9"/>
                <w:color w:val="auto"/>
              </w:rPr>
            </w:pPr>
          </w:p>
        </w:tc>
      </w:tr>
      <w:tr>
        <w:trPr>
          <w:trHeight w:val="223"/>
        </w:trPr>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Part I: Gender Identity</w:t>
            </w:r>
          </w:p>
        </w:tc>
        <w:tc>
          <w:tcPr>
            <w:tcW w:w="37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r>
      <w:tr>
        <w:trPr>
          <w:trHeight w:val="208"/>
        </w:trPr>
        <w:tc>
          <w:tcPr>
            <w:tcW w:w="5700" w:type="dxa"/>
            <w:vAlign w:val="bottom"/>
          </w:tcPr>
          <w:p>
            <w:pPr>
              <w:ind w:left="100"/>
              <w:spacing w:after="0"/>
              <w:rPr>
                <w:sz w:val="20"/>
                <w:szCs w:val="20"/>
                <w:color w:val="auto"/>
              </w:rPr>
            </w:pPr>
            <w:r>
              <w:rPr>
                <w:rFonts w:ascii="Arial" w:cs="Arial" w:eastAsia="Arial" w:hAnsi="Arial"/>
                <w:sz w:val="14"/>
                <w:szCs w:val="14"/>
                <w:color w:val="auto"/>
              </w:rPr>
              <w:t>Directors</w:t>
            </w:r>
          </w:p>
        </w:tc>
        <w:tc>
          <w:tcPr>
            <w:tcW w:w="3700" w:type="dxa"/>
            <w:vAlign w:val="bottom"/>
          </w:tcPr>
          <w:p>
            <w:pPr>
              <w:jc w:val="center"/>
              <w:ind w:left="2668"/>
              <w:spacing w:after="0"/>
              <w:rPr>
                <w:sz w:val="20"/>
                <w:szCs w:val="20"/>
                <w:color w:val="auto"/>
              </w:rPr>
            </w:pPr>
            <w:r>
              <w:rPr>
                <w:rFonts w:ascii="Arial" w:cs="Arial" w:eastAsia="Arial" w:hAnsi="Arial"/>
                <w:sz w:val="14"/>
                <w:szCs w:val="14"/>
                <w:color w:val="auto"/>
              </w:rPr>
              <w:t>1</w:t>
            </w:r>
          </w:p>
        </w:tc>
        <w:tc>
          <w:tcPr>
            <w:tcW w:w="1840" w:type="dxa"/>
            <w:vAlign w:val="bottom"/>
          </w:tcPr>
          <w:p>
            <w:pPr>
              <w:jc w:val="center"/>
              <w:ind w:left="206"/>
              <w:spacing w:after="0"/>
              <w:rPr>
                <w:sz w:val="20"/>
                <w:szCs w:val="20"/>
                <w:color w:val="auto"/>
              </w:rPr>
            </w:pPr>
            <w:r>
              <w:rPr>
                <w:rFonts w:ascii="Arial" w:cs="Arial" w:eastAsia="Arial" w:hAnsi="Arial"/>
                <w:sz w:val="14"/>
                <w:szCs w:val="14"/>
                <w:color w:val="auto"/>
              </w:rPr>
              <w:t>3</w:t>
            </w:r>
          </w:p>
        </w:tc>
      </w:tr>
      <w:tr>
        <w:trPr>
          <w:trHeight w:val="22"/>
        </w:trPr>
        <w:tc>
          <w:tcPr>
            <w:tcW w:w="5700" w:type="dxa"/>
            <w:vAlign w:val="bottom"/>
            <w:tcBorders>
              <w:bottom w:val="single" w:sz="8" w:color="0079C1"/>
            </w:tcBorders>
          </w:tcPr>
          <w:p>
            <w:pPr>
              <w:spacing w:after="0" w:line="20" w:lineRule="exact"/>
              <w:rPr>
                <w:sz w:val="1"/>
                <w:szCs w:val="1"/>
                <w:color w:val="auto"/>
              </w:rPr>
            </w:pPr>
          </w:p>
        </w:tc>
        <w:tc>
          <w:tcPr>
            <w:tcW w:w="3700" w:type="dxa"/>
            <w:vAlign w:val="bottom"/>
            <w:tcBorders>
              <w:bottom w:val="single" w:sz="8" w:color="0079C1"/>
            </w:tcBorders>
          </w:tcPr>
          <w:p>
            <w:pPr>
              <w:spacing w:after="0" w:line="20" w:lineRule="exact"/>
              <w:rPr>
                <w:sz w:val="1"/>
                <w:szCs w:val="1"/>
                <w:color w:val="auto"/>
              </w:rPr>
            </w:pPr>
          </w:p>
        </w:tc>
        <w:tc>
          <w:tcPr>
            <w:tcW w:w="1840" w:type="dxa"/>
            <w:vAlign w:val="bottom"/>
            <w:tcBorders>
              <w:bottom w:val="single" w:sz="8" w:color="0079C1"/>
            </w:tcBorders>
          </w:tcPr>
          <w:p>
            <w:pPr>
              <w:spacing w:after="0" w:line="20" w:lineRule="exact"/>
              <w:rPr>
                <w:sz w:val="1"/>
                <w:szCs w:val="1"/>
                <w:color w:val="auto"/>
              </w:rPr>
            </w:pPr>
          </w:p>
        </w:tc>
      </w:tr>
      <w:tr>
        <w:trPr>
          <w:trHeight w:val="217"/>
        </w:trPr>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Part II: Demographic Background</w:t>
            </w:r>
          </w:p>
        </w:tc>
        <w:tc>
          <w:tcPr>
            <w:tcW w:w="3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r>
      <w:tr>
        <w:trPr>
          <w:trHeight w:val="208"/>
        </w:trPr>
        <w:tc>
          <w:tcPr>
            <w:tcW w:w="5700" w:type="dxa"/>
            <w:vAlign w:val="bottom"/>
          </w:tcPr>
          <w:p>
            <w:pPr>
              <w:ind w:left="100"/>
              <w:spacing w:after="0"/>
              <w:rPr>
                <w:sz w:val="20"/>
                <w:szCs w:val="20"/>
                <w:color w:val="auto"/>
              </w:rPr>
            </w:pPr>
            <w:r>
              <w:rPr>
                <w:rFonts w:ascii="Arial" w:cs="Arial" w:eastAsia="Arial" w:hAnsi="Arial"/>
                <w:sz w:val="14"/>
                <w:szCs w:val="14"/>
                <w:color w:val="auto"/>
              </w:rPr>
              <w:t>Asian</w:t>
            </w:r>
          </w:p>
        </w:tc>
        <w:tc>
          <w:tcPr>
            <w:tcW w:w="3700" w:type="dxa"/>
            <w:vAlign w:val="bottom"/>
          </w:tcPr>
          <w:p>
            <w:pPr>
              <w:jc w:val="center"/>
              <w:ind w:left="2668"/>
              <w:spacing w:after="0"/>
              <w:rPr>
                <w:sz w:val="20"/>
                <w:szCs w:val="20"/>
                <w:color w:val="auto"/>
              </w:rPr>
            </w:pPr>
            <w:r>
              <w:rPr>
                <w:rFonts w:ascii="Arial" w:cs="Arial" w:eastAsia="Arial" w:hAnsi="Arial"/>
                <w:sz w:val="14"/>
                <w:szCs w:val="14"/>
                <w:color w:val="auto"/>
              </w:rPr>
              <w:t>1</w:t>
            </w:r>
          </w:p>
        </w:tc>
        <w:tc>
          <w:tcPr>
            <w:tcW w:w="1840" w:type="dxa"/>
            <w:vAlign w:val="bottom"/>
          </w:tcPr>
          <w:p>
            <w:pPr>
              <w:jc w:val="center"/>
              <w:ind w:left="206"/>
              <w:spacing w:after="0"/>
              <w:rPr>
                <w:sz w:val="20"/>
                <w:szCs w:val="20"/>
                <w:color w:val="auto"/>
              </w:rPr>
            </w:pPr>
            <w:r>
              <w:rPr>
                <w:rFonts w:ascii="Arial" w:cs="Arial" w:eastAsia="Arial" w:hAnsi="Arial"/>
                <w:sz w:val="14"/>
                <w:szCs w:val="14"/>
                <w:color w:val="auto"/>
              </w:rPr>
              <w:t>2</w:t>
            </w:r>
          </w:p>
        </w:tc>
      </w:tr>
      <w:tr>
        <w:trPr>
          <w:trHeight w:val="22"/>
        </w:trPr>
        <w:tc>
          <w:tcPr>
            <w:tcW w:w="5700" w:type="dxa"/>
            <w:vAlign w:val="bottom"/>
            <w:tcBorders>
              <w:bottom w:val="single" w:sz="8" w:color="0079C1"/>
            </w:tcBorders>
          </w:tcPr>
          <w:p>
            <w:pPr>
              <w:spacing w:after="0" w:line="20" w:lineRule="exact"/>
              <w:rPr>
                <w:sz w:val="1"/>
                <w:szCs w:val="1"/>
                <w:color w:val="auto"/>
              </w:rPr>
            </w:pPr>
          </w:p>
        </w:tc>
        <w:tc>
          <w:tcPr>
            <w:tcW w:w="3700" w:type="dxa"/>
            <w:vAlign w:val="bottom"/>
            <w:tcBorders>
              <w:bottom w:val="single" w:sz="8" w:color="0079C1"/>
            </w:tcBorders>
          </w:tcPr>
          <w:p>
            <w:pPr>
              <w:spacing w:after="0" w:line="20" w:lineRule="exact"/>
              <w:rPr>
                <w:sz w:val="1"/>
                <w:szCs w:val="1"/>
                <w:color w:val="auto"/>
              </w:rPr>
            </w:pPr>
          </w:p>
        </w:tc>
        <w:tc>
          <w:tcPr>
            <w:tcW w:w="1840" w:type="dxa"/>
            <w:vAlign w:val="bottom"/>
            <w:tcBorders>
              <w:bottom w:val="single" w:sz="8" w:color="0079C1"/>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Governance Practices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80" w:type="dxa"/>
            <w:vAlign w:val="bottom"/>
            <w:tcBorders>
              <w:top w:val="single" w:sz="8" w:color="0079C1"/>
              <w:bottom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Elections:</w:t>
            </w:r>
          </w:p>
        </w:tc>
        <w:tc>
          <w:tcPr>
            <w:tcW w:w="6420" w:type="dxa"/>
            <w:vAlign w:val="bottom"/>
            <w:tcBorders>
              <w:top w:val="single" w:sz="8" w:color="0079C1"/>
              <w:bottom w:val="single" w:sz="8" w:color="auto"/>
            </w:tcBorders>
          </w:tcPr>
          <w:p>
            <w:pPr>
              <w:ind w:left="100"/>
              <w:spacing w:after="0"/>
              <w:rPr>
                <w:sz w:val="20"/>
                <w:szCs w:val="20"/>
                <w:color w:val="auto"/>
              </w:rPr>
            </w:pPr>
            <w:r>
              <w:rPr>
                <w:rFonts w:ascii="Arial" w:cs="Arial" w:eastAsia="Arial" w:hAnsi="Arial"/>
                <w:sz w:val="14"/>
                <w:szCs w:val="14"/>
                <w:color w:val="auto"/>
              </w:rPr>
              <w:t>Classified Board</w:t>
            </w:r>
          </w:p>
        </w:tc>
        <w:tc>
          <w:tcPr>
            <w:tcW w:w="3040" w:type="dxa"/>
            <w:vAlign w:val="bottom"/>
            <w:tcBorders>
              <w:top w:val="single" w:sz="8" w:color="0079C1"/>
              <w:bottom w:val="single" w:sz="8" w:color="auto"/>
            </w:tcBorders>
          </w:tcPr>
          <w:p>
            <w:pPr>
              <w:ind w:left="1940"/>
              <w:spacing w:after="0"/>
              <w:rPr>
                <w:sz w:val="20"/>
                <w:szCs w:val="20"/>
                <w:color w:val="auto"/>
              </w:rPr>
            </w:pPr>
            <w:r>
              <w:rPr>
                <w:rFonts w:ascii="Arial" w:cs="Arial" w:eastAsia="Arial" w:hAnsi="Arial"/>
                <w:sz w:val="14"/>
                <w:szCs w:val="14"/>
                <w:color w:val="auto"/>
              </w:rPr>
              <w:t>No</w:t>
            </w:r>
          </w:p>
        </w:tc>
      </w:tr>
      <w:tr>
        <w:trPr>
          <w:trHeight w:val="208"/>
        </w:trPr>
        <w:tc>
          <w:tcPr>
            <w:tcW w:w="1780" w:type="dxa"/>
            <w:vAlign w:val="bottom"/>
            <w:shd w:val="clear" w:color="auto" w:fill="0079C1"/>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Frequency of Director Elections</w:t>
            </w:r>
          </w:p>
        </w:tc>
        <w:tc>
          <w:tcPr>
            <w:tcW w:w="3040" w:type="dxa"/>
            <w:vAlign w:val="bottom"/>
          </w:tcPr>
          <w:p>
            <w:pPr>
              <w:ind w:left="1940"/>
              <w:spacing w:after="0"/>
              <w:rPr>
                <w:sz w:val="20"/>
                <w:szCs w:val="20"/>
                <w:color w:val="auto"/>
              </w:rPr>
            </w:pPr>
            <w:r>
              <w:rPr>
                <w:rFonts w:ascii="Arial" w:cs="Arial" w:eastAsia="Arial" w:hAnsi="Arial"/>
                <w:sz w:val="14"/>
                <w:szCs w:val="14"/>
                <w:color w:val="auto"/>
              </w:rPr>
              <w:t>Annual</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Voting Standard</w:t>
            </w:r>
          </w:p>
        </w:tc>
        <w:tc>
          <w:tcPr>
            <w:tcW w:w="3040" w:type="dxa"/>
            <w:vAlign w:val="bottom"/>
          </w:tcPr>
          <w:p>
            <w:pPr>
              <w:ind w:left="1940"/>
              <w:spacing w:after="0"/>
              <w:rPr>
                <w:sz w:val="20"/>
                <w:szCs w:val="20"/>
                <w:color w:val="auto"/>
              </w:rPr>
            </w:pPr>
            <w:r>
              <w:rPr>
                <w:rFonts w:ascii="Arial" w:cs="Arial" w:eastAsia="Arial" w:hAnsi="Arial"/>
                <w:sz w:val="14"/>
                <w:szCs w:val="14"/>
                <w:color w:val="auto"/>
              </w:rPr>
              <w:t>Plurality</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2"/>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Resignation Policy</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2"/>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Mandatory Retirement Age or Tenure</w:t>
            </w:r>
          </w:p>
        </w:tc>
        <w:tc>
          <w:tcPr>
            <w:tcW w:w="3040" w:type="dxa"/>
            <w:vAlign w:val="bottom"/>
          </w:tcPr>
          <w:p>
            <w:pPr>
              <w:ind w:left="1940"/>
              <w:spacing w:after="0"/>
              <w:rPr>
                <w:sz w:val="20"/>
                <w:szCs w:val="20"/>
                <w:color w:val="auto"/>
              </w:rPr>
            </w:pPr>
            <w:r>
              <w:rPr>
                <w:rFonts w:ascii="Arial" w:cs="Arial" w:eastAsia="Arial" w:hAnsi="Arial"/>
                <w:sz w:val="14"/>
                <w:szCs w:val="14"/>
                <w:color w:val="auto"/>
              </w:rPr>
              <w:t>No</w:t>
            </w:r>
          </w:p>
        </w:tc>
      </w:tr>
      <w:tr>
        <w:trPr>
          <w:trHeight w:val="21"/>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0079C1"/>
            </w:tcBorders>
          </w:tcPr>
          <w:p>
            <w:pPr>
              <w:spacing w:after="0" w:line="20" w:lineRule="exact"/>
              <w:rPr>
                <w:sz w:val="1"/>
                <w:szCs w:val="1"/>
                <w:color w:val="auto"/>
              </w:rPr>
            </w:pPr>
          </w:p>
        </w:tc>
        <w:tc>
          <w:tcPr>
            <w:tcW w:w="3040" w:type="dxa"/>
            <w:vAlign w:val="bottom"/>
            <w:tcBorders>
              <w:bottom w:val="single" w:sz="8" w:color="0079C1"/>
            </w:tcBorders>
          </w:tcPr>
          <w:p>
            <w:pPr>
              <w:spacing w:after="0" w:line="20" w:lineRule="exact"/>
              <w:rPr>
                <w:sz w:val="1"/>
                <w:szCs w:val="1"/>
                <w:color w:val="auto"/>
              </w:rPr>
            </w:pPr>
          </w:p>
        </w:tc>
      </w:tr>
      <w:tr>
        <w:trPr>
          <w:trHeight w:val="217"/>
        </w:trPr>
        <w:tc>
          <w:tcPr>
            <w:tcW w:w="1780" w:type="dxa"/>
            <w:vAlign w:val="bottom"/>
            <w:tcBorders>
              <w:bottom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Chair:</w:t>
            </w:r>
          </w:p>
        </w:tc>
        <w:tc>
          <w:tcPr>
            <w:tcW w:w="6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Separate Chair of the Board and CEO</w:t>
            </w:r>
          </w:p>
        </w:tc>
        <w:tc>
          <w:tcPr>
            <w:tcW w:w="304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No</w:t>
            </w:r>
          </w:p>
        </w:tc>
      </w:tr>
      <w:tr>
        <w:trPr>
          <w:trHeight w:val="208"/>
        </w:trPr>
        <w:tc>
          <w:tcPr>
            <w:tcW w:w="1780" w:type="dxa"/>
            <w:vAlign w:val="bottom"/>
            <w:shd w:val="clear" w:color="auto" w:fill="0079C1"/>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Independent Lead Director</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Robust Responsibilities and Duties Assigned to Independent Chair</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0079C1"/>
            </w:tcBorders>
          </w:tcPr>
          <w:p>
            <w:pPr>
              <w:spacing w:after="0" w:line="20" w:lineRule="exact"/>
              <w:rPr>
                <w:sz w:val="1"/>
                <w:szCs w:val="1"/>
                <w:color w:val="auto"/>
              </w:rPr>
            </w:pPr>
          </w:p>
        </w:tc>
        <w:tc>
          <w:tcPr>
            <w:tcW w:w="3040" w:type="dxa"/>
            <w:vAlign w:val="bottom"/>
            <w:tcBorders>
              <w:bottom w:val="single" w:sz="8" w:color="0079C1"/>
            </w:tcBorders>
          </w:tcPr>
          <w:p>
            <w:pPr>
              <w:spacing w:after="0" w:line="20" w:lineRule="exact"/>
              <w:rPr>
                <w:sz w:val="1"/>
                <w:szCs w:val="1"/>
                <w:color w:val="auto"/>
              </w:rPr>
            </w:pPr>
          </w:p>
        </w:tc>
      </w:tr>
      <w:tr>
        <w:trPr>
          <w:trHeight w:val="217"/>
        </w:trPr>
        <w:tc>
          <w:tcPr>
            <w:tcW w:w="1780" w:type="dxa"/>
            <w:vAlign w:val="bottom"/>
            <w:tcBorders>
              <w:bottom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Meetings:</w:t>
            </w:r>
          </w:p>
        </w:tc>
        <w:tc>
          <w:tcPr>
            <w:tcW w:w="6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Number of Board Meetings Held in 2025</w:t>
            </w:r>
          </w:p>
        </w:tc>
        <w:tc>
          <w:tcPr>
            <w:tcW w:w="304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4</w:t>
            </w:r>
          </w:p>
        </w:tc>
      </w:tr>
      <w:tr>
        <w:trPr>
          <w:trHeight w:val="208"/>
        </w:trPr>
        <w:tc>
          <w:tcPr>
            <w:tcW w:w="1780" w:type="dxa"/>
            <w:vAlign w:val="bottom"/>
            <w:shd w:val="clear" w:color="auto" w:fill="0079C1"/>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Directors Attending Fewer than 75% of Board Meetings in 2025</w:t>
            </w:r>
          </w:p>
        </w:tc>
        <w:tc>
          <w:tcPr>
            <w:tcW w:w="3040" w:type="dxa"/>
            <w:vAlign w:val="bottom"/>
          </w:tcPr>
          <w:p>
            <w:pPr>
              <w:ind w:left="1940"/>
              <w:spacing w:after="0"/>
              <w:rPr>
                <w:sz w:val="20"/>
                <w:szCs w:val="20"/>
                <w:color w:val="auto"/>
              </w:rPr>
            </w:pPr>
            <w:r>
              <w:rPr>
                <w:rFonts w:ascii="Arial" w:cs="Arial" w:eastAsia="Arial" w:hAnsi="Arial"/>
                <w:sz w:val="14"/>
                <w:szCs w:val="14"/>
                <w:color w:val="auto"/>
              </w:rPr>
              <w:t>0</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Independent Directors Meet Without Management Present</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Number of Standing Committee Meetings Held in 2025</w:t>
            </w:r>
          </w:p>
        </w:tc>
        <w:tc>
          <w:tcPr>
            <w:tcW w:w="3040" w:type="dxa"/>
            <w:vAlign w:val="bottom"/>
          </w:tcPr>
          <w:p>
            <w:pPr>
              <w:ind w:left="1940"/>
              <w:spacing w:after="0"/>
              <w:rPr>
                <w:sz w:val="20"/>
                <w:szCs w:val="20"/>
                <w:color w:val="auto"/>
              </w:rPr>
            </w:pPr>
            <w:r>
              <w:rPr>
                <w:rFonts w:ascii="Arial" w:cs="Arial" w:eastAsia="Arial" w:hAnsi="Arial"/>
                <w:sz w:val="14"/>
                <w:szCs w:val="14"/>
                <w:color w:val="auto"/>
              </w:rPr>
              <w:t>7</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Members Attending Fewer than 75% of Committee Meetings in 2025</w:t>
            </w:r>
          </w:p>
        </w:tc>
        <w:tc>
          <w:tcPr>
            <w:tcW w:w="3040" w:type="dxa"/>
            <w:vAlign w:val="bottom"/>
          </w:tcPr>
          <w:p>
            <w:pPr>
              <w:ind w:left="1940"/>
              <w:spacing w:after="0"/>
              <w:rPr>
                <w:sz w:val="20"/>
                <w:szCs w:val="20"/>
                <w:color w:val="auto"/>
              </w:rPr>
            </w:pPr>
            <w:r>
              <w:rPr>
                <w:rFonts w:ascii="Arial" w:cs="Arial" w:eastAsia="Arial" w:hAnsi="Arial"/>
                <w:sz w:val="14"/>
                <w:szCs w:val="14"/>
                <w:color w:val="auto"/>
              </w:rPr>
              <w:t>0</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0079C1"/>
            </w:tcBorders>
          </w:tcPr>
          <w:p>
            <w:pPr>
              <w:spacing w:after="0" w:line="20" w:lineRule="exact"/>
              <w:rPr>
                <w:sz w:val="1"/>
                <w:szCs w:val="1"/>
                <w:color w:val="auto"/>
              </w:rPr>
            </w:pPr>
          </w:p>
        </w:tc>
        <w:tc>
          <w:tcPr>
            <w:tcW w:w="3040" w:type="dxa"/>
            <w:vAlign w:val="bottom"/>
            <w:tcBorders>
              <w:bottom w:val="single" w:sz="8" w:color="0079C1"/>
            </w:tcBorders>
          </w:tcPr>
          <w:p>
            <w:pPr>
              <w:spacing w:after="0" w:line="20" w:lineRule="exact"/>
              <w:rPr>
                <w:sz w:val="1"/>
                <w:szCs w:val="1"/>
                <w:color w:val="auto"/>
              </w:rPr>
            </w:pPr>
          </w:p>
        </w:tc>
      </w:tr>
      <w:tr>
        <w:trPr>
          <w:trHeight w:val="217"/>
        </w:trPr>
        <w:tc>
          <w:tcPr>
            <w:tcW w:w="1780" w:type="dxa"/>
            <w:vAlign w:val="bottom"/>
            <w:tcBorders>
              <w:bottom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Director Status:</w:t>
            </w:r>
          </w:p>
        </w:tc>
        <w:tc>
          <w:tcPr>
            <w:tcW w:w="6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Directors Overboarded per ISS or Glass Lewis Voting Guidelines</w:t>
            </w:r>
          </w:p>
        </w:tc>
        <w:tc>
          <w:tcPr>
            <w:tcW w:w="304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None</w:t>
            </w:r>
          </w:p>
        </w:tc>
      </w:tr>
      <w:tr>
        <w:trPr>
          <w:trHeight w:val="208"/>
        </w:trPr>
        <w:tc>
          <w:tcPr>
            <w:tcW w:w="1780" w:type="dxa"/>
            <w:vAlign w:val="bottom"/>
            <w:shd w:val="clear" w:color="auto" w:fill="0079C1"/>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Standing Board Committee Membership Independence</w:t>
            </w:r>
          </w:p>
        </w:tc>
        <w:tc>
          <w:tcPr>
            <w:tcW w:w="3040" w:type="dxa"/>
            <w:vAlign w:val="bottom"/>
          </w:tcPr>
          <w:p>
            <w:pPr>
              <w:ind w:left="1940"/>
              <w:spacing w:after="0"/>
              <w:rPr>
                <w:sz w:val="20"/>
                <w:szCs w:val="20"/>
                <w:color w:val="auto"/>
              </w:rPr>
            </w:pPr>
            <w:r>
              <w:rPr>
                <w:rFonts w:ascii="Arial" w:cs="Arial" w:eastAsia="Arial" w:hAnsi="Arial"/>
                <w:sz w:val="14"/>
                <w:szCs w:val="14"/>
                <w:color w:val="auto"/>
              </w:rPr>
              <w:t>100%</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Board Oversight of Company Strategy and Risk</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01"/>
        </w:trPr>
        <w:tc>
          <w:tcPr>
            <w:tcW w:w="1780" w:type="dxa"/>
            <w:vAlign w:val="bottom"/>
            <w:shd w:val="clear" w:color="auto" w:fill="0079C1"/>
          </w:tcPr>
          <w:p>
            <w:pPr>
              <w:spacing w:after="0"/>
              <w:rPr>
                <w:sz w:val="17"/>
                <w:szCs w:val="17"/>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Shares Pledged by Directors</w:t>
            </w:r>
          </w:p>
        </w:tc>
        <w:tc>
          <w:tcPr>
            <w:tcW w:w="3040" w:type="dxa"/>
            <w:vAlign w:val="bottom"/>
          </w:tcPr>
          <w:p>
            <w:pPr>
              <w:ind w:left="1940"/>
              <w:spacing w:after="0"/>
              <w:rPr>
                <w:sz w:val="20"/>
                <w:szCs w:val="20"/>
                <w:color w:val="auto"/>
              </w:rPr>
            </w:pPr>
            <w:r>
              <w:rPr>
                <w:rFonts w:ascii="Arial" w:cs="Arial" w:eastAsia="Arial" w:hAnsi="Arial"/>
                <w:sz w:val="14"/>
                <w:szCs w:val="14"/>
                <w:color w:val="auto"/>
              </w:rPr>
              <w:t>None</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0079C1"/>
            </w:tcBorders>
          </w:tcPr>
          <w:p>
            <w:pPr>
              <w:spacing w:after="0" w:line="20" w:lineRule="exact"/>
              <w:rPr>
                <w:sz w:val="1"/>
                <w:szCs w:val="1"/>
                <w:color w:val="auto"/>
              </w:rPr>
            </w:pPr>
          </w:p>
        </w:tc>
        <w:tc>
          <w:tcPr>
            <w:tcW w:w="3040" w:type="dxa"/>
            <w:vAlign w:val="bottom"/>
            <w:tcBorders>
              <w:bottom w:val="single" w:sz="8" w:color="0079C1"/>
            </w:tcBorders>
          </w:tcPr>
          <w:p>
            <w:pPr>
              <w:spacing w:after="0" w:line="20" w:lineRule="exact"/>
              <w:rPr>
                <w:sz w:val="1"/>
                <w:szCs w:val="1"/>
                <w:color w:val="auto"/>
              </w:rPr>
            </w:pPr>
          </w:p>
        </w:tc>
      </w:tr>
      <w:tr>
        <w:trPr>
          <w:trHeight w:val="216"/>
        </w:trPr>
        <w:tc>
          <w:tcPr>
            <w:tcW w:w="1780" w:type="dxa"/>
            <w:vAlign w:val="bottom"/>
            <w:tcBorders>
              <w:bottom w:val="single" w:sz="8" w:color="0079C1"/>
            </w:tcBorders>
            <w:shd w:val="clear" w:color="auto" w:fill="0079C1"/>
          </w:tcPr>
          <w:p>
            <w:pPr>
              <w:ind w:left="100"/>
              <w:spacing w:after="0"/>
              <w:rPr>
                <w:sz w:val="20"/>
                <w:szCs w:val="20"/>
                <w:color w:val="auto"/>
              </w:rPr>
            </w:pPr>
            <w:r>
              <w:rPr>
                <w:rFonts w:ascii="Arial" w:cs="Arial" w:eastAsia="Arial" w:hAnsi="Arial"/>
                <w:sz w:val="14"/>
                <w:szCs w:val="14"/>
                <w:b w:val="1"/>
                <w:bCs w:val="1"/>
                <w:color w:val="FFFFFF"/>
              </w:rPr>
              <w:t>Stockholder Rights:</w:t>
            </w:r>
          </w:p>
        </w:tc>
        <w:tc>
          <w:tcPr>
            <w:tcW w:w="6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Cumulative Voting</w:t>
            </w:r>
          </w:p>
        </w:tc>
        <w:tc>
          <w:tcPr>
            <w:tcW w:w="3040" w:type="dxa"/>
            <w:vAlign w:val="bottom"/>
            <w:tcBorders>
              <w:bottom w:val="single" w:sz="8" w:color="auto"/>
            </w:tcBorders>
          </w:tcPr>
          <w:p>
            <w:pPr>
              <w:ind w:left="1940"/>
              <w:spacing w:after="0"/>
              <w:rPr>
                <w:sz w:val="20"/>
                <w:szCs w:val="20"/>
                <w:color w:val="auto"/>
              </w:rPr>
            </w:pPr>
            <w:r>
              <w:rPr>
                <w:rFonts w:ascii="Arial" w:cs="Arial" w:eastAsia="Arial" w:hAnsi="Arial"/>
                <w:sz w:val="14"/>
                <w:szCs w:val="14"/>
                <w:color w:val="auto"/>
              </w:rPr>
              <w:t>No</w:t>
            </w:r>
          </w:p>
        </w:tc>
      </w:tr>
      <w:tr>
        <w:trPr>
          <w:trHeight w:val="208"/>
        </w:trPr>
        <w:tc>
          <w:tcPr>
            <w:tcW w:w="1780" w:type="dxa"/>
            <w:vAlign w:val="bottom"/>
            <w:shd w:val="clear" w:color="auto" w:fill="0079C1"/>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Proxy Access Bylaw</w:t>
            </w:r>
          </w:p>
        </w:tc>
        <w:tc>
          <w:tcPr>
            <w:tcW w:w="3040" w:type="dxa"/>
            <w:vAlign w:val="bottom"/>
          </w:tcPr>
          <w:p>
            <w:pPr>
              <w:ind w:left="1940"/>
              <w:spacing w:after="0"/>
              <w:rPr>
                <w:sz w:val="20"/>
                <w:szCs w:val="20"/>
                <w:color w:val="auto"/>
              </w:rPr>
            </w:pPr>
            <w:r>
              <w:rPr>
                <w:rFonts w:ascii="Arial" w:cs="Arial" w:eastAsia="Arial" w:hAnsi="Arial"/>
                <w:sz w:val="14"/>
                <w:szCs w:val="14"/>
                <w:color w:val="auto"/>
              </w:rPr>
              <w:t>Yes</w:t>
            </w:r>
          </w:p>
        </w:tc>
      </w:tr>
      <w:tr>
        <w:trPr>
          <w:trHeight w:val="22"/>
        </w:trPr>
        <w:tc>
          <w:tcPr>
            <w:tcW w:w="1780" w:type="dxa"/>
            <w:vAlign w:val="bottom"/>
            <w:tcBorders>
              <w:bottom w:val="single" w:sz="8" w:color="0079C1"/>
            </w:tcBorders>
            <w:shd w:val="clear" w:color="auto" w:fill="0079C1"/>
          </w:tcPr>
          <w:p>
            <w:pPr>
              <w:spacing w:after="0" w:line="20" w:lineRule="exact"/>
              <w:rPr>
                <w:sz w:val="1"/>
                <w:szCs w:val="1"/>
                <w:color w:val="auto"/>
              </w:rPr>
            </w:pPr>
          </w:p>
        </w:tc>
        <w:tc>
          <w:tcPr>
            <w:tcW w:w="6420" w:type="dxa"/>
            <w:vAlign w:val="bottom"/>
            <w:tcBorders>
              <w:bottom w:val="single" w:sz="8" w:color="0079C1"/>
            </w:tcBorders>
          </w:tcPr>
          <w:p>
            <w:pPr>
              <w:spacing w:after="0" w:line="20" w:lineRule="exact"/>
              <w:rPr>
                <w:sz w:val="1"/>
                <w:szCs w:val="1"/>
                <w:color w:val="auto"/>
              </w:rPr>
            </w:pPr>
          </w:p>
        </w:tc>
        <w:tc>
          <w:tcPr>
            <w:tcW w:w="3040" w:type="dxa"/>
            <w:vAlign w:val="bottom"/>
            <w:tcBorders>
              <w:bottom w:val="single" w:sz="8" w:color="0079C1"/>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1315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11315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11315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11315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17" w:lineRule="exact"/>
        <w:rPr>
          <w:sz w:val="20"/>
          <w:szCs w:val="20"/>
          <w:color w:val="auto"/>
        </w:rPr>
      </w:pPr>
    </w:p>
    <w:p>
      <w:pPr>
        <w:ind w:left="960" w:right="620" w:hanging="741"/>
        <w:spacing w:after="0" w:line="286" w:lineRule="auto"/>
        <w:tabs>
          <w:tab w:leader="none" w:pos="960" w:val="left"/>
        </w:tabs>
        <w:numPr>
          <w:ilvl w:val="0"/>
          <w:numId w:val="8"/>
        </w:numPr>
        <w:rPr>
          <w:rFonts w:ascii="Arial" w:cs="Arial" w:eastAsia="Arial" w:hAnsi="Arial"/>
          <w:sz w:val="43"/>
          <w:szCs w:val="43"/>
          <w:color w:val="auto"/>
        </w:rPr>
      </w:pPr>
      <w:r>
        <w:rPr>
          <w:rFonts w:ascii="Arial" w:cs="Arial" w:eastAsia="Arial" w:hAnsi="Arial"/>
          <w:sz w:val="43"/>
          <w:szCs w:val="43"/>
          <w:color w:val="auto"/>
        </w:rPr>
        <w:t>Ratification of Appointment of Independent Auditor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-747395</wp:posOffset>
            </wp:positionV>
            <wp:extent cx="8255" cy="69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206"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auto"/>
        </w:rPr>
        <w:t>We are asking stockholders to ratify the audit committee’s retention of Ernst &amp; Young Hua Ming LLP as our independent registered public accounting firm to examine and report on our consolidated financial statements and internal controls over financial reporting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Participation in the Virtual Annual Meeting</w:t>
      </w:r>
    </w:p>
    <w:p>
      <w:pPr>
        <w:spacing w:after="0" w:line="209"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auto"/>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format allows stockholders to submit questions and comments during the meeting.</w:t>
      </w:r>
    </w:p>
    <w:p>
      <w:pPr>
        <w:spacing w:after="0" w:line="137"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auto"/>
        </w:rPr>
        <w:t>The live audio webcast of the Annual Meeting will be available for listening by the general public, but participation in the Annual Meeting, including voting shares and submitting questions, will be limited to stockholders. To ensure they can participate, stockholders and proxy holders should visit virtualshareholdermeeting.com/ACMR2026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Stockholders can vote their shares and submit questions via the Internet during the Annual Meeting by accessing the Annual Meeting website at virtualshareholdermeeting.com/ACMR2026.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2026 Rules of Conduct and Procedure, a copy of which is attached hereto as Appendix A. Any material changes or updates to the 2026 Rules of Conduct and Procedure will be posted on our website and disclosed in a periodic report to the SEC on Form 8-K.</w:t>
      </w:r>
    </w:p>
    <w:p>
      <w:pPr>
        <w:spacing w:after="0" w:line="132" w:lineRule="exact"/>
        <w:rPr>
          <w:sz w:val="20"/>
          <w:szCs w:val="20"/>
          <w:color w:val="auto"/>
        </w:rPr>
      </w:pPr>
    </w:p>
    <w:p>
      <w:pPr>
        <w:jc w:val="both"/>
        <w:ind w:right="240"/>
        <w:spacing w:after="0" w:line="353" w:lineRule="auto"/>
        <w:rPr>
          <w:sz w:val="20"/>
          <w:szCs w:val="20"/>
          <w:color w:val="auto"/>
        </w:rPr>
      </w:pPr>
      <w:r>
        <w:rPr>
          <w:rFonts w:ascii="Arial" w:cs="Arial" w:eastAsia="Arial" w:hAnsi="Arial"/>
          <w:sz w:val="16"/>
          <w:szCs w:val="16"/>
          <w:color w:val="auto"/>
        </w:rPr>
        <w:t>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virtualshareholdermeeting.com/ACMR2026.</w:t>
      </w:r>
    </w:p>
    <w:p>
      <w:pPr>
        <w:spacing w:after="0" w:line="119" w:lineRule="exact"/>
        <w:rPr>
          <w:sz w:val="20"/>
          <w:szCs w:val="20"/>
          <w:color w:val="auto"/>
        </w:rPr>
      </w:pPr>
    </w:p>
    <w:p>
      <w:pPr>
        <w:jc w:val="both"/>
        <w:ind w:right="60"/>
        <w:spacing w:after="0" w:line="354" w:lineRule="auto"/>
        <w:rPr>
          <w:sz w:val="20"/>
          <w:szCs w:val="20"/>
          <w:color w:val="auto"/>
        </w:rPr>
      </w:pPr>
      <w:r>
        <w:rPr>
          <w:rFonts w:ascii="Arial" w:cs="Arial" w:eastAsia="Arial" w:hAnsi="Arial"/>
          <w:sz w:val="16"/>
          <w:szCs w:val="16"/>
          <w:color w:val="auto"/>
        </w:rPr>
        <w:t>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ir.acmrcsh.com/presentations until our 2027 annual meeting of stockholders.</w:t>
      </w:r>
    </w:p>
    <w:p>
      <w:pPr>
        <w:spacing w:after="0" w:line="131"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color w:val="auto"/>
        </w:rPr>
        <w:t>This audio replay will include each stockholder question addressed during the Annual Meeting. We are utilizing technology from Broadridge Financial Solutions, Inc., or Broadridge, for the virtual meeting. The Broadridge platform is expected to accommodate most, if not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80"/>
        <w:spacing w:after="0" w:line="283" w:lineRule="auto"/>
        <w:rPr>
          <w:sz w:val="20"/>
          <w:szCs w:val="20"/>
          <w:color w:val="auto"/>
        </w:rPr>
      </w:pPr>
      <w:r>
        <w:rPr>
          <w:rFonts w:ascii="Arial" w:cs="Arial" w:eastAsia="Arial" w:hAnsi="Arial"/>
          <w:sz w:val="58"/>
          <w:szCs w:val="58"/>
          <w:color w:val="auto"/>
        </w:rPr>
        <w:t>Questions and Answers About the Annual Meeting</w:t>
      </w:r>
    </w:p>
    <w:p>
      <w:pPr>
        <w:spacing w:after="0" w:line="23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When and where will the Annual Meeting be held?</w:t>
      </w:r>
    </w:p>
    <w:p>
      <w:pPr>
        <w:spacing w:after="0" w:line="248" w:lineRule="exact"/>
        <w:rPr>
          <w:sz w:val="20"/>
          <w:szCs w:val="20"/>
          <w:color w:val="auto"/>
        </w:rPr>
      </w:pPr>
    </w:p>
    <w:p>
      <w:pPr>
        <w:ind w:left="340" w:right="620" w:hanging="332"/>
        <w:spacing w:after="0" w:line="374"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year the Annual Meeting of Stockholders of ACM Research, Inc., which we refer to as the Annual Meeting, will again be held exclusively by webcast at virtualshareholdermeeting.com/ACMR2026, beginning at 7 a.m., Pacific time, on June 10, 2026.</w:t>
      </w:r>
    </w:p>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Who may join the Annual Meeting?</w:t>
      </w:r>
    </w:p>
    <w:p>
      <w:pPr>
        <w:spacing w:after="0" w:line="235" w:lineRule="exact"/>
        <w:rPr>
          <w:sz w:val="20"/>
          <w:szCs w:val="20"/>
          <w:color w:val="auto"/>
        </w:rPr>
      </w:pPr>
    </w:p>
    <w:p>
      <w:pPr>
        <w:ind w:left="340" w:right="260" w:hanging="332"/>
        <w:spacing w:after="0" w:line="353"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live audio webcast of the Annual Meeting will be available for listening by the general public, but participation in the Annual Meeting, including voting shares and submitting questions, will be limited to stockholders. To ensure they can participate, stockholders and proxy holders should visit virtualshareholdermeeting.com/ACMR2026 and enter the 16-digit control number included on their Notice of Internet Availability of Proxy Materials or proxy card.</w:t>
      </w:r>
    </w:p>
    <w:p>
      <w:pPr>
        <w:spacing w:after="0" w:line="119" w:lineRule="exact"/>
        <w:rPr>
          <w:sz w:val="20"/>
          <w:szCs w:val="20"/>
          <w:color w:val="auto"/>
        </w:rPr>
      </w:pPr>
    </w:p>
    <w:p>
      <w:pPr>
        <w:ind w:left="340" w:right="440"/>
        <w:spacing w:after="0" w:line="374" w:lineRule="auto"/>
        <w:rPr>
          <w:sz w:val="20"/>
          <w:szCs w:val="20"/>
          <w:color w:val="auto"/>
        </w:rPr>
      </w:pPr>
      <w:r>
        <w:rPr>
          <w:rFonts w:ascii="Arial" w:cs="Arial" w:eastAsia="Arial" w:hAnsi="Arial"/>
          <w:sz w:val="16"/>
          <w:szCs w:val="16"/>
          <w:color w:val="auto"/>
        </w:rPr>
        <w:t>Online check-in to the Annual Meeting webcast will begin at 6:45 a.m., Pacific time. We encourage you to allow ample time to log in to the meeting webcast and test your computer audio system.</w:t>
      </w:r>
    </w:p>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materials have been prepared for stockholders in connection with the Annual Meeting?</w:t>
      </w:r>
    </w:p>
    <w:p>
      <w:pPr>
        <w:spacing w:after="0" w:line="23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furnishing you and other stockholders of record with the following proxy materials:</w:t>
      </w:r>
    </w:p>
    <w:p>
      <w:pPr>
        <w:spacing w:after="0" w:line="248" w:lineRule="exact"/>
        <w:rPr>
          <w:rFonts w:ascii="Arial" w:cs="Arial" w:eastAsia="Arial" w:hAnsi="Arial"/>
          <w:sz w:val="16"/>
          <w:szCs w:val="16"/>
          <w:color w:val="auto"/>
        </w:rPr>
      </w:pPr>
    </w:p>
    <w:p>
      <w:pPr>
        <w:ind w:left="580" w:right="220" w:hanging="248"/>
        <w:spacing w:after="0" w:line="374" w:lineRule="auto"/>
        <w:tabs>
          <w:tab w:leader="none" w:pos="5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our 2025 Annual Report to Stockholders, which we refer to as the 2025 Annual Report and which includes our Annual Report on Form 10-K for the fiscal year ended December 31, 2025 (including our audited consolidated financial statements for 2025, 2024, and 2023);</w:t>
      </w:r>
    </w:p>
    <w:p>
      <w:pPr>
        <w:spacing w:after="0" w:line="101" w:lineRule="exact"/>
        <w:rPr>
          <w:rFonts w:ascii="Arial" w:cs="Arial" w:eastAsia="Arial" w:hAnsi="Arial"/>
          <w:sz w:val="16"/>
          <w:szCs w:val="16"/>
          <w:color w:val="auto"/>
        </w:rPr>
      </w:pPr>
    </w:p>
    <w:p>
      <w:pPr>
        <w:ind w:left="580" w:right="700" w:hanging="248"/>
        <w:spacing w:after="0" w:line="374" w:lineRule="auto"/>
        <w:tabs>
          <w:tab w:leader="none" w:pos="5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this Proxy Statement for the 2026 Annual Meeting, which we refer to as this Proxy Statement and which also includes a letter from our Chief Executive Officer and President to stockholders, and a Notice of 2026 Annual Meeting of Stockholders; and</w:t>
      </w:r>
    </w:p>
    <w:p>
      <w:pPr>
        <w:spacing w:after="0" w:line="101" w:lineRule="exact"/>
        <w:rPr>
          <w:rFonts w:ascii="Arial" w:cs="Arial" w:eastAsia="Arial" w:hAnsi="Arial"/>
          <w:sz w:val="16"/>
          <w:szCs w:val="16"/>
          <w:color w:val="auto"/>
        </w:rPr>
      </w:pPr>
    </w:p>
    <w:p>
      <w:pPr>
        <w:ind w:left="580" w:right="200" w:hanging="248"/>
        <w:spacing w:after="0" w:line="392" w:lineRule="auto"/>
        <w:tabs>
          <w:tab w:leader="none" w:pos="5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Notice of Internet Availability of Proxy Materials, which we refer to as the Notice of Internet Availability, which includes a control number for use in submitting proxies and accessing the Annual Meeting webcast.</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materials were first mailed or made available to stockholders on or about April 27, 2026.</w:t>
      </w:r>
    </w:p>
    <w:p>
      <w:pPr>
        <w:spacing w:after="0" w:line="235" w:lineRule="exact"/>
        <w:rPr>
          <w:sz w:val="20"/>
          <w:szCs w:val="20"/>
          <w:color w:val="auto"/>
        </w:rPr>
      </w:pPr>
    </w:p>
    <w:p>
      <w:pPr>
        <w:ind w:left="340" w:right="20"/>
        <w:spacing w:after="0" w:line="348" w:lineRule="auto"/>
        <w:rPr>
          <w:sz w:val="20"/>
          <w:szCs w:val="20"/>
          <w:color w:val="auto"/>
        </w:rPr>
      </w:pPr>
      <w:r>
        <w:rPr>
          <w:rFonts w:ascii="Arial" w:cs="Arial" w:eastAsia="Arial" w:hAnsi="Arial"/>
          <w:sz w:val="16"/>
          <w:szCs w:val="16"/>
          <w:color w:val="auto"/>
        </w:rPr>
        <w:t>If you request, in accordance with the instructions provided in the Notice of Internet Availability, a printed set of proxy materials, you will receive by mail, at no charge, printed copies of the 2025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2025 Annual Report and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Why was I mailed a Notice of Internet Availability, rather than a printed set of proxy materials?</w:t>
      </w:r>
    </w:p>
    <w:p>
      <w:pPr>
        <w:spacing w:after="0" w:line="235" w:lineRule="exact"/>
        <w:rPr>
          <w:sz w:val="20"/>
          <w:szCs w:val="20"/>
          <w:color w:val="auto"/>
        </w:rPr>
      </w:pPr>
    </w:p>
    <w:p>
      <w:pPr>
        <w:ind w:left="340" w:right="120" w:hanging="332"/>
        <w:spacing w:after="0" w:line="353"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1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Are the proxy materials available via the Internet?</w:t>
      </w:r>
    </w:p>
    <w:p>
      <w:pPr>
        <w:spacing w:after="0" w:line="235" w:lineRule="exact"/>
        <w:rPr>
          <w:sz w:val="20"/>
          <w:szCs w:val="20"/>
          <w:color w:val="auto"/>
        </w:rPr>
      </w:pPr>
    </w:p>
    <w:p>
      <w:pPr>
        <w:ind w:left="340" w:right="80" w:hanging="332"/>
        <w:spacing w:after="0" w:line="363"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can access and review the proxy materials for the Annual Meeting at ir.acmrcsh.com/corporate-governance/highlights or proxyvote.com. In order to submit your proxies or access the Annual Meeting webcast, however, you will need to refer to the Notice of Internet Availability or proxy card to obtain your 16-digit control number and other personal information needed to vote by proxy or virtually.</w:t>
      </w:r>
    </w:p>
    <w:p>
      <w:pPr>
        <w:spacing w:after="0" w:line="1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is a proxy?</w:t>
      </w:r>
    </w:p>
    <w:p>
      <w:pPr>
        <w:spacing w:after="0" w:line="235" w:lineRule="exact"/>
        <w:rPr>
          <w:sz w:val="20"/>
          <w:szCs w:val="20"/>
          <w:color w:val="auto"/>
        </w:rPr>
      </w:pPr>
    </w:p>
    <w:p>
      <w:pPr>
        <w:ind w:left="340" w:right="220" w:hanging="332"/>
        <w:spacing w:after="0" w:line="374"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101" w:lineRule="exact"/>
        <w:rPr>
          <w:rFonts w:ascii="Arial" w:cs="Arial" w:eastAsia="Arial" w:hAnsi="Arial"/>
          <w:sz w:val="16"/>
          <w:szCs w:val="16"/>
          <w:color w:val="auto"/>
        </w:rPr>
      </w:pPr>
    </w:p>
    <w:p>
      <w:pPr>
        <w:ind w:left="340"/>
        <w:spacing w:after="0" w:line="348" w:lineRule="auto"/>
        <w:rPr>
          <w:rFonts w:ascii="Arial" w:cs="Arial" w:eastAsia="Arial" w:hAnsi="Arial"/>
          <w:sz w:val="16"/>
          <w:szCs w:val="16"/>
          <w:color w:val="auto"/>
        </w:rPr>
      </w:pPr>
      <w:r>
        <w:rPr>
          <w:rFonts w:ascii="Arial" w:cs="Arial" w:eastAsia="Arial" w:hAnsi="Arial"/>
          <w:sz w:val="16"/>
          <w:szCs w:val="16"/>
          <w:color w:val="auto"/>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w:t>
      </w:r>
    </w:p>
    <w:p>
      <w:pPr>
        <w:spacing w:after="0" w:line="12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b w:val="1"/>
          <w:bCs w:val="1"/>
          <w:color w:val="0079C1"/>
        </w:rPr>
      </w:pPr>
      <w:r>
        <w:rPr>
          <w:rFonts w:ascii="Arial" w:cs="Arial" w:eastAsia="Arial" w:hAnsi="Arial"/>
          <w:sz w:val="16"/>
          <w:szCs w:val="16"/>
          <w:b w:val="1"/>
          <w:bCs w:val="1"/>
          <w:color w:val="0079C1"/>
        </w:rPr>
        <w:t>What matters will the stockholders vote on at the Annual Meeting?</w:t>
      </w:r>
    </w:p>
    <w:p>
      <w:pPr>
        <w:spacing w:after="0" w:line="266" w:lineRule="exact"/>
        <w:rPr>
          <w:rFonts w:ascii="Arial" w:cs="Arial" w:eastAsia="Arial" w:hAnsi="Arial"/>
          <w:sz w:val="16"/>
          <w:szCs w:val="16"/>
          <w:b w:val="1"/>
          <w:bCs w:val="1"/>
          <w:color w:val="0079C1"/>
        </w:rPr>
      </w:pPr>
    </w:p>
    <w:p>
      <w:pPr>
        <w:ind w:left="440"/>
        <w:spacing w:after="0"/>
        <w:rPr>
          <w:rFonts w:ascii="Arial" w:cs="Arial" w:eastAsia="Arial" w:hAnsi="Arial"/>
          <w:sz w:val="16"/>
          <w:szCs w:val="16"/>
          <w:b w:val="1"/>
          <w:bCs w:val="1"/>
          <w:color w:val="0079C1"/>
        </w:rPr>
      </w:pPr>
      <w:r>
        <w:rPr>
          <w:rFonts w:ascii="Arial" w:cs="Arial" w:eastAsia="Arial" w:hAnsi="Arial"/>
          <w:sz w:val="14"/>
          <w:szCs w:val="14"/>
          <w:b w:val="1"/>
          <w:bCs w:val="1"/>
          <w:color w:val="FFFFFF"/>
        </w:rPr>
        <w:t>Proposal</w:t>
      </w:r>
    </w:p>
    <w:p>
      <w:pPr>
        <w:spacing w:after="0" w:line="198" w:lineRule="exact"/>
        <w:rPr>
          <w:rFonts w:ascii="Arial" w:cs="Arial" w:eastAsia="Arial" w:hAnsi="Arial"/>
          <w:sz w:val="16"/>
          <w:szCs w:val="16"/>
          <w:b w:val="1"/>
          <w:bCs w:val="1"/>
          <w:color w:val="0079C1"/>
        </w:rPr>
      </w:pPr>
    </w:p>
    <w:p>
      <w:pPr>
        <w:ind w:left="520"/>
        <w:spacing w:after="0"/>
        <w:rPr>
          <w:rFonts w:ascii="Arial" w:cs="Arial" w:eastAsia="Arial" w:hAnsi="Arial"/>
          <w:sz w:val="16"/>
          <w:szCs w:val="16"/>
          <w:b w:val="1"/>
          <w:bCs w:val="1"/>
          <w:color w:val="0079C1"/>
        </w:rPr>
      </w:pPr>
      <w:r>
        <w:rPr>
          <w:rFonts w:ascii="Arial" w:cs="Arial" w:eastAsia="Arial" w:hAnsi="Arial"/>
          <w:sz w:val="43"/>
          <w:szCs w:val="43"/>
          <w:color w:val="auto"/>
        </w:rPr>
        <w:t xml:space="preserve">1 </w:t>
      </w:r>
      <w:r>
        <w:rPr>
          <w:rFonts w:ascii="Arial" w:cs="Arial" w:eastAsia="Arial" w:hAnsi="Arial"/>
          <w:sz w:val="16"/>
          <w:szCs w:val="16"/>
          <w:color w:val="auto"/>
        </w:rPr>
        <w:t>Election of the following four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-553085</wp:posOffset>
            </wp:positionV>
            <wp:extent cx="667766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77660" cy="205740"/>
                    </a:xfrm>
                    <a:prstGeom prst="rect">
                      <a:avLst/>
                    </a:prstGeom>
                    <a:noFill/>
                  </pic:spPr>
                </pic:pic>
              </a:graphicData>
            </a:graphic>
          </wp:anchor>
        </w:drawing>
      </w:r>
    </w:p>
    <w:p>
      <w:pPr>
        <w:spacing w:after="0" w:line="93" w:lineRule="exact"/>
        <w:rPr>
          <w:sz w:val="20"/>
          <w:szCs w:val="20"/>
          <w:color w:val="auto"/>
        </w:rPr>
      </w:pPr>
    </w:p>
    <w:p>
      <w:pPr>
        <w:ind w:left="980"/>
        <w:spacing w:after="0"/>
        <w:tabs>
          <w:tab w:leader="none" w:pos="3440" w:val="left"/>
          <w:tab w:leader="none" w:pos="5900" w:val="left"/>
          <w:tab w:leader="none" w:pos="8380" w:val="left"/>
        </w:tabs>
        <w:rPr>
          <w:sz w:val="20"/>
          <w:szCs w:val="20"/>
          <w:color w:val="auto"/>
        </w:rPr>
      </w:pPr>
      <w:r>
        <w:rPr>
          <w:rFonts w:ascii="Arial" w:cs="Arial" w:eastAsia="Arial" w:hAnsi="Arial"/>
          <w:sz w:val="16"/>
          <w:szCs w:val="16"/>
          <w:b w:val="1"/>
          <w:bCs w:val="1"/>
          <w:color w:val="0079C1"/>
        </w:rPr>
        <w:t>Charles Pappis</w:t>
      </w:r>
      <w:r>
        <w:rPr>
          <w:sz w:val="20"/>
          <w:szCs w:val="20"/>
          <w:color w:val="auto"/>
        </w:rPr>
        <w:tab/>
      </w:r>
      <w:r>
        <w:rPr>
          <w:rFonts w:ascii="Arial" w:cs="Arial" w:eastAsia="Arial" w:hAnsi="Arial"/>
          <w:sz w:val="16"/>
          <w:szCs w:val="16"/>
          <w:b w:val="1"/>
          <w:bCs w:val="1"/>
          <w:color w:val="0079C1"/>
        </w:rPr>
        <w:t>David H. Wang</w:t>
      </w:r>
      <w:r>
        <w:rPr>
          <w:sz w:val="20"/>
          <w:szCs w:val="20"/>
          <w:color w:val="auto"/>
        </w:rPr>
        <w:tab/>
      </w:r>
      <w:r>
        <w:rPr>
          <w:rFonts w:ascii="Arial" w:cs="Arial" w:eastAsia="Arial" w:hAnsi="Arial"/>
          <w:sz w:val="16"/>
          <w:szCs w:val="16"/>
          <w:b w:val="1"/>
          <w:bCs w:val="1"/>
          <w:color w:val="0079C1"/>
        </w:rPr>
        <w:t>Haiping Dun</w:t>
      </w:r>
      <w:r>
        <w:rPr>
          <w:sz w:val="20"/>
          <w:szCs w:val="20"/>
          <w:color w:val="auto"/>
        </w:rPr>
        <w:tab/>
      </w:r>
      <w:r>
        <w:rPr>
          <w:rFonts w:ascii="Arial" w:cs="Arial" w:eastAsia="Arial" w:hAnsi="Arial"/>
          <w:sz w:val="15"/>
          <w:szCs w:val="15"/>
          <w:b w:val="1"/>
          <w:bCs w:val="1"/>
          <w:color w:val="0079C1"/>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158115</wp:posOffset>
            </wp:positionV>
            <wp:extent cx="6677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43" w:lineRule="exact"/>
        <w:rPr>
          <w:sz w:val="20"/>
          <w:szCs w:val="20"/>
          <w:color w:val="auto"/>
        </w:rPr>
      </w:pPr>
    </w:p>
    <w:p>
      <w:pPr>
        <w:ind w:left="980" w:hanging="451"/>
        <w:spacing w:after="0"/>
        <w:tabs>
          <w:tab w:leader="none" w:pos="980" w:val="left"/>
        </w:tabs>
        <w:numPr>
          <w:ilvl w:val="1"/>
          <w:numId w:val="16"/>
        </w:numPr>
        <w:rPr>
          <w:rFonts w:ascii="Arial" w:cs="Arial" w:eastAsia="Arial" w:hAnsi="Arial"/>
          <w:sz w:val="43"/>
          <w:szCs w:val="43"/>
          <w:color w:val="auto"/>
        </w:rPr>
      </w:pPr>
      <w:r>
        <w:rPr>
          <w:rFonts w:ascii="Arial" w:cs="Arial" w:eastAsia="Arial" w:hAnsi="Arial"/>
          <w:sz w:val="16"/>
          <w:szCs w:val="16"/>
          <w:color w:val="auto"/>
        </w:rPr>
        <w:t>Ratification of appointment of independent auditor for 2026</w:t>
      </w:r>
    </w:p>
    <w:p>
      <w:pPr>
        <w:spacing w:after="0" w:line="200" w:lineRule="exact"/>
        <w:rPr>
          <w:rFonts w:ascii="Arial" w:cs="Arial" w:eastAsia="Arial" w:hAnsi="Arial"/>
          <w:sz w:val="43"/>
          <w:szCs w:val="43"/>
          <w:color w:val="auto"/>
        </w:rPr>
      </w:pPr>
    </w:p>
    <w:p>
      <w:pPr>
        <w:spacing w:after="0" w:line="354" w:lineRule="exact"/>
        <w:rPr>
          <w:rFonts w:ascii="Arial" w:cs="Arial" w:eastAsia="Arial" w:hAnsi="Arial"/>
          <w:sz w:val="43"/>
          <w:szCs w:val="43"/>
          <w:color w:val="auto"/>
        </w:rPr>
      </w:pPr>
    </w:p>
    <w:p>
      <w:pPr>
        <w:ind w:left="340" w:hanging="332"/>
        <w:spacing w:after="0"/>
        <w:tabs>
          <w:tab w:leader="none" w:pos="340" w:val="left"/>
        </w:tabs>
        <w:numPr>
          <w:ilvl w:val="0"/>
          <w:numId w:val="16"/>
        </w:numPr>
        <w:rPr>
          <w:rFonts w:ascii="Arial" w:cs="Arial" w:eastAsia="Arial" w:hAnsi="Arial"/>
          <w:sz w:val="16"/>
          <w:szCs w:val="16"/>
          <w:b w:val="1"/>
          <w:bCs w:val="1"/>
          <w:color w:val="0079C1"/>
        </w:rPr>
      </w:pPr>
      <w:r>
        <w:rPr>
          <w:rFonts w:ascii="Arial" w:cs="Arial" w:eastAsia="Arial" w:hAnsi="Arial"/>
          <w:sz w:val="16"/>
          <w:szCs w:val="16"/>
          <w:b w:val="1"/>
          <w:bCs w:val="1"/>
          <w:color w:val="0079C1"/>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-295910</wp:posOffset>
            </wp:positionV>
            <wp:extent cx="6677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15" w:lineRule="exact"/>
        <w:rPr>
          <w:sz w:val="20"/>
          <w:szCs w:val="20"/>
          <w:color w:val="auto"/>
        </w:rPr>
      </w:pPr>
    </w:p>
    <w:p>
      <w:pPr>
        <w:ind w:left="340" w:right="20" w:hanging="332"/>
        <w:spacing w:after="0" w:line="353"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Stockholders of record of Class A and Class B common stock at 5 p.m., Eastern time, on April 13, 2026 the record date, will be entitled to vote at the Annual Meeting. As of the record date, there were outstanding a total of 61,223,064 shares of Class A common stock, each of which will be entitled to one vote on each proposal, and 4,991,808 shares of Class B common stock, each of which will be entitled to twenty votes on each proposal. As a result, up to a total of 161,059,224 votes can be cast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is a stockholder of record?</w:t>
      </w:r>
    </w:p>
    <w:p>
      <w:pPr>
        <w:spacing w:after="0" w:line="235" w:lineRule="exact"/>
        <w:rPr>
          <w:sz w:val="20"/>
          <w:szCs w:val="20"/>
          <w:color w:val="auto"/>
        </w:rPr>
      </w:pPr>
    </w:p>
    <w:p>
      <w:pPr>
        <w:ind w:left="340" w:right="420" w:hanging="332"/>
        <w:spacing w:after="0" w:line="374"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stockholder of record is a stockholder whose ownership of our common stock is reflected directly on the books and records of our transfer agent, Computershare Trust Company, N.A.</w:t>
      </w:r>
    </w:p>
    <w:p>
      <w:pPr>
        <w:spacing w:after="0" w:line="11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does it mean for a broker or other nominee to hold shares in “street name”?</w:t>
      </w:r>
    </w:p>
    <w:p>
      <w:pPr>
        <w:spacing w:after="0" w:line="235" w:lineRule="exact"/>
        <w:rPr>
          <w:sz w:val="20"/>
          <w:szCs w:val="20"/>
          <w:color w:val="auto"/>
        </w:rPr>
      </w:pPr>
    </w:p>
    <w:p>
      <w:pPr>
        <w:ind w:left="340" w:hanging="332"/>
        <w:spacing w:after="0" w:line="348"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124" w:lineRule="exact"/>
        <w:rPr>
          <w:rFonts w:ascii="Arial" w:cs="Arial" w:eastAsia="Arial" w:hAnsi="Arial"/>
          <w:sz w:val="16"/>
          <w:szCs w:val="16"/>
          <w:color w:val="auto"/>
        </w:rPr>
      </w:pPr>
    </w:p>
    <w:p>
      <w:pPr>
        <w:ind w:left="580" w:right="100" w:hanging="248"/>
        <w:spacing w:after="0" w:line="354" w:lineRule="auto"/>
        <w:tabs>
          <w:tab w:leader="none" w:pos="54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2026 (Proposal 2).</w:t>
      </w:r>
    </w:p>
    <w:p>
      <w:pPr>
        <w:spacing w:after="0" w:line="117" w:lineRule="exact"/>
        <w:rPr>
          <w:rFonts w:ascii="Arial" w:cs="Arial" w:eastAsia="Arial" w:hAnsi="Arial"/>
          <w:sz w:val="16"/>
          <w:szCs w:val="16"/>
          <w:color w:val="auto"/>
        </w:rPr>
      </w:pPr>
    </w:p>
    <w:p>
      <w:pPr>
        <w:ind w:left="580" w:right="180" w:hanging="248"/>
        <w:spacing w:after="0" w:line="374" w:lineRule="auto"/>
        <w:tabs>
          <w:tab w:leader="none" w:pos="54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organization generally may not vote on non-routine matters, including Proposal 1. Instead, it will inform the inspector of election that it does not have the authority to vote on those matters. This is referred to as a “broker non-vote.”</w:t>
      </w:r>
    </w:p>
    <w:p>
      <w:pPr>
        <w:spacing w:after="0" w:line="115" w:lineRule="exact"/>
        <w:rPr>
          <w:sz w:val="20"/>
          <w:szCs w:val="20"/>
          <w:color w:val="auto"/>
        </w:rPr>
      </w:pPr>
    </w:p>
    <w:p>
      <w:pPr>
        <w:ind w:left="340" w:right="120"/>
        <w:spacing w:after="0" w:line="374" w:lineRule="auto"/>
        <w:rPr>
          <w:sz w:val="20"/>
          <w:szCs w:val="20"/>
          <w:color w:val="auto"/>
        </w:rPr>
      </w:pPr>
      <w:r>
        <w:rPr>
          <w:rFonts w:ascii="Arial" w:cs="Arial" w:eastAsia="Arial" w:hAnsi="Arial"/>
          <w:sz w:val="16"/>
          <w:szCs w:val="16"/>
          <w:color w:val="auto"/>
        </w:rPr>
        <w:t>For the purpose of determining a quorum, we will treat as present at the Annual Meeting any proxies that are voted on either of the two proposals to be acted upon by the stockholders, including abstentions or proxies containing broker non-votes.</w:t>
      </w:r>
    </w:p>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How do I vote my shares if I do not attend the Annual Meeting?</w:t>
      </w:r>
    </w:p>
    <w:p>
      <w:pPr>
        <w:spacing w:after="0" w:line="23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If you are a stockholder of record</w:t>
      </w:r>
      <w:r>
        <w:rPr>
          <w:rFonts w:ascii="Arial" w:cs="Arial" w:eastAsia="Arial" w:hAnsi="Arial"/>
          <w:sz w:val="16"/>
          <w:szCs w:val="16"/>
          <w:color w:val="auto"/>
        </w:rPr>
        <w:t>, you may vote prior to the Annual Meeting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158115</wp:posOffset>
            </wp:positionV>
            <wp:extent cx="66776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217805</wp:posOffset>
            </wp:positionV>
            <wp:extent cx="24003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5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Via the</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485140</wp:posOffset>
            </wp:positionV>
            <wp:extent cx="16256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500"/>
        <w:spacing w:after="0" w:line="336" w:lineRule="auto"/>
        <w:rPr>
          <w:sz w:val="20"/>
          <w:szCs w:val="20"/>
          <w:color w:val="auto"/>
        </w:rPr>
      </w:pPr>
      <w:r>
        <w:rPr>
          <w:rFonts w:ascii="Arial" w:cs="Arial" w:eastAsia="Arial" w:hAnsi="Arial"/>
          <w:sz w:val="16"/>
          <w:szCs w:val="16"/>
          <w:color w:val="auto"/>
        </w:rPr>
        <w:t>You may vote via the Internet by going to proxyvote.com, in accordance with the voting instructions on the Notice of Internet Availability or proxy card. Internet voting is available 24 hours a day until 11:59 p.m., Eastern time, on June 9, 2026. You will be given the opportunity to confirm that your instructions have been recorded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186690</wp:posOffset>
            </wp:positionV>
            <wp:extent cx="66776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560"/>
            <w:col w:w="8900"/>
          </w:cols>
          <w:pgMar w:left="320" w:top="130" w:right="339" w:bottom="1440" w:gutter="0" w:footer="0" w:header="0"/>
          <w:type w:val="continuous"/>
        </w:sectPr>
      </w:pPr>
    </w:p>
    <w:p>
      <w:pPr>
        <w:spacing w:after="0" w:line="211" w:lineRule="exact"/>
        <w:rPr>
          <w:sz w:val="20"/>
          <w:szCs w:val="20"/>
          <w:color w:val="auto"/>
        </w:rPr>
      </w:pPr>
    </w:p>
    <w:p>
      <w:pPr>
        <w:jc w:val="both"/>
        <w:ind w:left="2340" w:right="680" w:hanging="1214"/>
        <w:spacing w:after="0" w:line="314"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6"/>
          <w:szCs w:val="16"/>
          <w:color w:val="auto"/>
        </w:rPr>
        <w:t>You may vote by calling +1.800.690.6903 and following the instructions provided on the telephone line. Telephone</w:t>
      </w:r>
      <w:r>
        <w:rPr>
          <w:rFonts w:ascii="Arial" w:cs="Arial" w:eastAsia="Arial" w:hAnsi="Arial"/>
          <w:sz w:val="18"/>
          <w:szCs w:val="18"/>
          <w:b w:val="1"/>
          <w:bCs w:val="1"/>
          <w:color w:val="auto"/>
        </w:rPr>
        <w:t xml:space="preserve"> </w:t>
      </w:r>
      <w:r>
        <w:rPr>
          <w:rFonts w:ascii="Arial" w:cs="Arial" w:eastAsia="Arial" w:hAnsi="Arial"/>
          <w:sz w:val="16"/>
          <w:szCs w:val="16"/>
          <w:color w:val="auto"/>
        </w:rPr>
        <w:t>voting is available 24 hours a day until 11:59 p.m., Eastern time, on June 9, 2026. Easy-to-follow voice prompts will allow you to vote your shares and confirm that your instructions have been recorded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209550</wp:posOffset>
            </wp:positionV>
            <wp:extent cx="66776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269875</wp:posOffset>
            </wp:positionV>
            <wp:extent cx="28257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340" w:right="580" w:hanging="1214"/>
        <w:spacing w:after="0" w:line="356" w:lineRule="auto"/>
        <w:tabs>
          <w:tab w:leader="none" w:pos="2320" w:val="left"/>
        </w:tabs>
        <w:rPr>
          <w:sz w:val="20"/>
          <w:szCs w:val="20"/>
          <w:color w:val="auto"/>
        </w:rPr>
      </w:pPr>
      <w:r>
        <w:rPr>
          <w:rFonts w:ascii="Arial" w:cs="Arial" w:eastAsia="Arial" w:hAnsi="Arial"/>
          <w:sz w:val="18"/>
          <w:szCs w:val="18"/>
          <w:b w:val="1"/>
          <w:bCs w:val="1"/>
          <w:color w:val="auto"/>
        </w:rPr>
        <w:t>By Mail</w:t>
      </w:r>
      <w:r>
        <w:rPr>
          <w:sz w:val="20"/>
          <w:szCs w:val="20"/>
          <w:color w:val="auto"/>
        </w:rPr>
        <w:tab/>
      </w:r>
      <w:r>
        <w:rPr>
          <w:rFonts w:ascii="Arial" w:cs="Arial" w:eastAsia="Arial" w:hAnsi="Arial"/>
          <w:sz w:val="16"/>
          <w:szCs w:val="16"/>
          <w:color w:val="auto"/>
        </w:rPr>
        <w:t>If you obtain a proxy card by mail, you may vote by returning the completed and signed proxy card in a postage-paid return envelope that will be provided with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145415</wp:posOffset>
            </wp:positionV>
            <wp:extent cx="6677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7115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right="200"/>
        <w:spacing w:after="0" w:line="374" w:lineRule="auto"/>
        <w:rPr>
          <w:sz w:val="20"/>
          <w:szCs w:val="20"/>
          <w:color w:val="auto"/>
        </w:rPr>
      </w:pPr>
      <w:r>
        <w:rPr>
          <w:rFonts w:ascii="Arial" w:cs="Arial" w:eastAsia="Arial" w:hAnsi="Arial"/>
          <w:sz w:val="16"/>
          <w:szCs w:val="16"/>
          <w:b w:val="1"/>
          <w:bCs w:val="1"/>
          <w:color w:val="auto"/>
        </w:rPr>
        <w:t xml:space="preserve">If you hold shares in street name, </w:t>
      </w:r>
      <w:r>
        <w:rPr>
          <w:rFonts w:ascii="Arial" w:cs="Arial" w:eastAsia="Arial" w:hAnsi="Arial"/>
          <w:sz w:val="16"/>
          <w:szCs w:val="16"/>
          <w:color w:val="auto"/>
        </w:rPr>
        <w:t>you may vote by following the voting instructions provided by your bank, broker or other nominee. In general, you</w:t>
      </w:r>
      <w:r>
        <w:rPr>
          <w:rFonts w:ascii="Arial" w:cs="Arial" w:eastAsia="Arial" w:hAnsi="Arial"/>
          <w:sz w:val="16"/>
          <w:szCs w:val="16"/>
          <w:b w:val="1"/>
          <w:bCs w:val="1"/>
          <w:color w:val="auto"/>
        </w:rPr>
        <w:t xml:space="preserve"> </w:t>
      </w:r>
      <w:r>
        <w:rPr>
          <w:rFonts w:ascii="Arial" w:cs="Arial" w:eastAsia="Arial" w:hAnsi="Arial"/>
          <w:sz w:val="16"/>
          <w:szCs w:val="16"/>
          <w:color w:val="auto"/>
        </w:rPr>
        <w:t>may vote prior to the Annual Meeting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73660</wp:posOffset>
            </wp:positionV>
            <wp:extent cx="66776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133350</wp:posOffset>
            </wp:positionV>
            <wp:extent cx="24003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18"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Via the</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416560</wp:posOffset>
            </wp:positionV>
            <wp:extent cx="16256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500"/>
        <w:spacing w:after="0" w:line="319" w:lineRule="auto"/>
        <w:rPr>
          <w:sz w:val="20"/>
          <w:szCs w:val="20"/>
          <w:color w:val="auto"/>
        </w:rPr>
      </w:pPr>
      <w:r>
        <w:rPr>
          <w:rFonts w:ascii="Arial" w:cs="Arial" w:eastAsia="Arial" w:hAnsi="Arial"/>
          <w:sz w:val="16"/>
          <w:szCs w:val="16"/>
          <w:color w:val="auto"/>
        </w:rPr>
        <w:t>You may vote via the Internet by going to proxyvote.com, in accordance with the voting instructions on the Notice of Internet Availability or proxy card. Internet voting is available 24 hours a day until 11:59 p.m., Eastern time, on June 9, 2026. You will be given the opportunity to confirm that your instructions have been recorded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151765</wp:posOffset>
            </wp:positionV>
            <wp:extent cx="66776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560"/>
            <w:col w:w="8900"/>
          </w:cols>
          <w:pgMar w:left="320" w:top="130" w:right="339" w:bottom="1440" w:gutter="0" w:footer="0" w:header="0"/>
          <w:type w:val="continuous"/>
        </w:sectPr>
      </w:pPr>
    </w:p>
    <w:p>
      <w:pPr>
        <w:spacing w:after="0" w:line="155" w:lineRule="exact"/>
        <w:rPr>
          <w:sz w:val="20"/>
          <w:szCs w:val="20"/>
          <w:color w:val="auto"/>
        </w:rPr>
      </w:pPr>
    </w:p>
    <w:p>
      <w:pPr>
        <w:jc w:val="both"/>
        <w:ind w:left="2340" w:right="680" w:hanging="1214"/>
        <w:spacing w:after="0" w:line="289"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6"/>
          <w:szCs w:val="16"/>
          <w:color w:val="auto"/>
        </w:rPr>
        <w:t>You may vote by calling +1.800.690.6903 and following the instructions provided on the telephone line. Telephone</w:t>
      </w:r>
      <w:r>
        <w:rPr>
          <w:rFonts w:ascii="Arial" w:cs="Arial" w:eastAsia="Arial" w:hAnsi="Arial"/>
          <w:sz w:val="18"/>
          <w:szCs w:val="18"/>
          <w:b w:val="1"/>
          <w:bCs w:val="1"/>
          <w:color w:val="auto"/>
        </w:rPr>
        <w:t xml:space="preserve"> </w:t>
      </w:r>
      <w:r>
        <w:rPr>
          <w:rFonts w:ascii="Arial" w:cs="Arial" w:eastAsia="Arial" w:hAnsi="Arial"/>
          <w:sz w:val="16"/>
          <w:szCs w:val="16"/>
          <w:color w:val="auto"/>
        </w:rPr>
        <w:t>voting is available 24 hours a day until 11:59 p.m., Eastern time, on June 9, 2026. Easy-to-follow voice prompts will allow you to vote your shares and confirm that your instructions have been recorded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180340</wp:posOffset>
            </wp:positionV>
            <wp:extent cx="66776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your information, voting via the Internet is the least expensive to ACM, followed by telephone voting, with voting by mail being the most expensive.</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Can I vote at the Annual Meeting?</w:t>
      </w:r>
    </w:p>
    <w:p>
      <w:pPr>
        <w:spacing w:after="0" w:line="235" w:lineRule="exact"/>
        <w:rPr>
          <w:sz w:val="20"/>
          <w:szCs w:val="20"/>
          <w:color w:val="auto"/>
        </w:rPr>
      </w:pPr>
    </w:p>
    <w:p>
      <w:pPr>
        <w:ind w:left="340" w:right="320" w:hanging="332"/>
        <w:spacing w:after="0" w:line="392" w:lineRule="auto"/>
        <w:tabs>
          <w:tab w:leader="none" w:pos="3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8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Can I ask questions at the Annual Meeting?</w:t>
      </w:r>
    </w:p>
    <w:p>
      <w:pPr>
        <w:spacing w:after="0" w:line="235" w:lineRule="exact"/>
        <w:rPr>
          <w:sz w:val="20"/>
          <w:szCs w:val="20"/>
          <w:color w:val="auto"/>
        </w:rPr>
      </w:pPr>
    </w:p>
    <w:p>
      <w:pPr>
        <w:ind w:left="340" w:right="60" w:hanging="332"/>
        <w:spacing w:after="0" w:line="341" w:lineRule="auto"/>
        <w:tabs>
          <w:tab w:leader="none" w:pos="3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may submit questions via the Internet during the Annual Meeting by participating in the webcast at virtualshareholdermeeting.com/ACMR2026. We will answer any timely submitted questions on a matter to be voted on at the Annual 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2026 Rules of Conduct and Procedure, a copy of which is attached as Appendix A to this Proxy Statement.</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Why is the Annual Meeting being conducted as a virtual meeting?</w:t>
      </w:r>
    </w:p>
    <w:p>
      <w:pPr>
        <w:spacing w:after="0" w:line="235" w:lineRule="exact"/>
        <w:rPr>
          <w:sz w:val="20"/>
          <w:szCs w:val="20"/>
          <w:color w:val="auto"/>
        </w:rPr>
      </w:pPr>
    </w:p>
    <w:p>
      <w:pPr>
        <w:ind w:left="340" w:right="160" w:hanging="332"/>
        <w:spacing w:after="0" w:line="348"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w:t>
      </w:r>
    </w:p>
    <w:p>
      <w:pPr>
        <w:spacing w:after="0" w:line="124" w:lineRule="exact"/>
        <w:rPr>
          <w:rFonts w:ascii="Arial" w:cs="Arial" w:eastAsia="Arial" w:hAnsi="Arial"/>
          <w:sz w:val="16"/>
          <w:szCs w:val="16"/>
          <w:color w:val="auto"/>
        </w:rPr>
      </w:pPr>
    </w:p>
    <w:p>
      <w:pPr>
        <w:ind w:left="340" w:right="20"/>
        <w:spacing w:after="0" w:line="347" w:lineRule="auto"/>
        <w:rPr>
          <w:rFonts w:ascii="Arial" w:cs="Arial" w:eastAsia="Arial" w:hAnsi="Arial"/>
          <w:sz w:val="16"/>
          <w:szCs w:val="16"/>
          <w:color w:val="auto"/>
        </w:rPr>
      </w:pPr>
      <w:r>
        <w:rPr>
          <w:rFonts w:ascii="Arial" w:cs="Arial" w:eastAsia="Arial" w:hAnsi="Arial"/>
          <w:sz w:val="16"/>
          <w:szCs w:val="16"/>
          <w:color w:val="auto"/>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If I am unable to participate in the live audio webcast of the Annual Meeting, may I listen at a later date?</w:t>
      </w:r>
    </w:p>
    <w:p>
      <w:pPr>
        <w:spacing w:after="0" w:line="235" w:lineRule="exact"/>
        <w:rPr>
          <w:sz w:val="20"/>
          <w:szCs w:val="20"/>
          <w:color w:val="auto"/>
        </w:rPr>
      </w:pPr>
    </w:p>
    <w:p>
      <w:pPr>
        <w:ind w:left="340" w:right="260" w:hanging="332"/>
        <w:spacing w:after="0" w:line="363" w:lineRule="auto"/>
        <w:tabs>
          <w:tab w:leader="none" w:pos="33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audio replay of the Annual Meeting will be posted and publicly available at ir.acmrcsh.com/presentations following the Annual Meeting and will remain publicly available until our next annual meeting of stockholders in 2026. This audio replay will cover the entire Annual Meeting, including each stockholder question addressed during the Annual Meeting.</w:t>
      </w:r>
    </w:p>
    <w:p>
      <w:pPr>
        <w:spacing w:after="0" w:line="1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May I change my vote or revoke my proxy?</w:t>
      </w:r>
    </w:p>
    <w:p>
      <w:pPr>
        <w:spacing w:after="0" w:line="235" w:lineRule="exact"/>
        <w:rPr>
          <w:sz w:val="20"/>
          <w:szCs w:val="20"/>
          <w:color w:val="auto"/>
        </w:rPr>
      </w:pPr>
    </w:p>
    <w:p>
      <w:pPr>
        <w:ind w:left="340" w:right="20" w:hanging="332"/>
        <w:spacing w:after="0" w:line="374" w:lineRule="auto"/>
        <w:tabs>
          <w:tab w:leader="none" w:pos="3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you are a stockholder of record and previously delivered a proxy, you may subsequently change or revoke your proxy at any time before it is exercised by:</w:t>
      </w:r>
    </w:p>
    <w:p>
      <w:pPr>
        <w:spacing w:after="0" w:line="101" w:lineRule="exact"/>
        <w:rPr>
          <w:rFonts w:ascii="Arial" w:cs="Arial" w:eastAsia="Arial" w:hAnsi="Arial"/>
          <w:sz w:val="16"/>
          <w:szCs w:val="16"/>
          <w:color w:val="auto"/>
        </w:rPr>
      </w:pPr>
    </w:p>
    <w:p>
      <w:pPr>
        <w:ind w:left="540" w:hanging="208"/>
        <w:spacing w:after="0"/>
        <w:tabs>
          <w:tab w:leader="none" w:pos="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voting via the Internet or telephone at a later time;</w:t>
      </w:r>
    </w:p>
    <w:p>
      <w:pPr>
        <w:spacing w:after="0" w:line="248" w:lineRule="exact"/>
        <w:rPr>
          <w:rFonts w:ascii="Arial" w:cs="Arial" w:eastAsia="Arial" w:hAnsi="Arial"/>
          <w:sz w:val="16"/>
          <w:szCs w:val="16"/>
          <w:color w:val="auto"/>
        </w:rPr>
      </w:pPr>
    </w:p>
    <w:p>
      <w:pPr>
        <w:ind w:left="540" w:hanging="208"/>
        <w:spacing w:after="0"/>
        <w:tabs>
          <w:tab w:leader="none" w:pos="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submitting a completed and signed proxy card with a later date; or</w:t>
      </w:r>
    </w:p>
    <w:p>
      <w:pPr>
        <w:spacing w:after="0" w:line="234" w:lineRule="exact"/>
        <w:rPr>
          <w:rFonts w:ascii="Arial" w:cs="Arial" w:eastAsia="Arial" w:hAnsi="Arial"/>
          <w:sz w:val="16"/>
          <w:szCs w:val="16"/>
          <w:color w:val="auto"/>
        </w:rPr>
      </w:pPr>
    </w:p>
    <w:p>
      <w:pPr>
        <w:ind w:left="540" w:hanging="208"/>
        <w:spacing w:after="0"/>
        <w:tabs>
          <w:tab w:leader="none" w:pos="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voting via the Internet at the Annual Meeting.</w:t>
      </w:r>
    </w:p>
    <w:p>
      <w:pPr>
        <w:spacing w:after="0" w:line="235" w:lineRule="exact"/>
        <w:rPr>
          <w:sz w:val="20"/>
          <w:szCs w:val="20"/>
          <w:color w:val="auto"/>
        </w:rPr>
      </w:pPr>
    </w:p>
    <w:p>
      <w:pPr>
        <w:ind w:left="340" w:right="260"/>
        <w:spacing w:after="0" w:line="374" w:lineRule="auto"/>
        <w:rPr>
          <w:sz w:val="20"/>
          <w:szCs w:val="20"/>
          <w:color w:val="auto"/>
        </w:rPr>
      </w:pPr>
      <w:r>
        <w:rPr>
          <w:rFonts w:ascii="Arial" w:cs="Arial" w:eastAsia="Arial" w:hAnsi="Arial"/>
          <w:sz w:val="16"/>
          <w:szCs w:val="16"/>
          <w:color w:val="auto"/>
        </w:rPr>
        <w:t>If you are a beneficial owner of shares held in street name, you should contact your bank, broker or other nominee for instructions as to whether, and how, you can change or revoke your proxy.</w:t>
      </w:r>
    </w:p>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happens if I do not give specific voting instructions?</w:t>
      </w:r>
    </w:p>
    <w:p>
      <w:pPr>
        <w:spacing w:after="0" w:line="235" w:lineRule="exact"/>
        <w:rPr>
          <w:sz w:val="20"/>
          <w:szCs w:val="20"/>
          <w:color w:val="auto"/>
        </w:rPr>
      </w:pPr>
    </w:p>
    <w:p>
      <w:pPr>
        <w:ind w:left="340" w:right="280" w:hanging="332"/>
        <w:spacing w:after="0" w:line="363"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p>
      <w:pPr>
        <w:spacing w:after="0" w:line="110" w:lineRule="exact"/>
        <w:rPr>
          <w:rFonts w:ascii="Arial" w:cs="Arial" w:eastAsia="Arial" w:hAnsi="Arial"/>
          <w:sz w:val="16"/>
          <w:szCs w:val="16"/>
          <w:color w:val="auto"/>
        </w:rPr>
      </w:pPr>
    </w:p>
    <w:p>
      <w:pPr>
        <w:ind w:left="340" w:right="40"/>
        <w:spacing w:after="0" w:line="348" w:lineRule="auto"/>
        <w:rPr>
          <w:rFonts w:ascii="Arial" w:cs="Arial" w:eastAsia="Arial" w:hAnsi="Arial"/>
          <w:sz w:val="16"/>
          <w:szCs w:val="16"/>
          <w:color w:val="auto"/>
        </w:rPr>
      </w:pPr>
      <w:r>
        <w:rPr>
          <w:rFonts w:ascii="Arial" w:cs="Arial" w:eastAsia="Arial" w:hAnsi="Arial"/>
          <w:sz w:val="16"/>
          <w:szCs w:val="16"/>
          <w:color w:val="auto"/>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2026 (Proposal 2). If the organization does not receive instructions from you on how to vote your shares on Proposal 1, your shares will be subject to a broker non-vote and no vote will be cast on those matters. See “Q. What does it mean for a broker or other nominee to hold shares in ‘street name’?” above.”</w:t>
      </w:r>
    </w:p>
    <w:p>
      <w:pPr>
        <w:spacing w:after="0" w:line="12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should I do if, during check-in or the meeting, I have technical difficulties or trouble accessing the virtual meeting website?</w:t>
      </w:r>
    </w:p>
    <w:p>
      <w:pPr>
        <w:spacing w:after="0" w:line="235" w:lineRule="exact"/>
        <w:rPr>
          <w:sz w:val="20"/>
          <w:szCs w:val="20"/>
          <w:color w:val="auto"/>
        </w:rPr>
      </w:pPr>
    </w:p>
    <w:p>
      <w:pPr>
        <w:ind w:left="340" w:right="120" w:hanging="332"/>
        <w:spacing w:after="0" w:line="353"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proxyvote.com.</w:t>
      </w:r>
    </w:p>
    <w:p>
      <w:pPr>
        <w:spacing w:after="0" w:line="1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0079C1"/>
        </w:rPr>
        <w:t>Q:</w:t>
        <w:tab/>
        <w:t>What if other matters are presented at the Annual Meeting?</w:t>
      </w:r>
    </w:p>
    <w:p>
      <w:pPr>
        <w:spacing w:after="0" w:line="235" w:lineRule="exact"/>
        <w:rPr>
          <w:sz w:val="20"/>
          <w:szCs w:val="20"/>
          <w:color w:val="auto"/>
        </w:rPr>
      </w:pPr>
    </w:p>
    <w:p>
      <w:pPr>
        <w:ind w:left="340" w:right="140" w:hanging="332"/>
        <w:spacing w:after="0" w:line="354"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are not currently aware of any other matters to be presented for consideration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Vote Required for</w:t>
      </w:r>
    </w:p>
    <w:p>
      <w:pPr>
        <w:spacing w:after="0" w:line="80" w:lineRule="exact"/>
        <w:rPr>
          <w:sz w:val="20"/>
          <w:szCs w:val="20"/>
          <w:color w:val="auto"/>
        </w:rPr>
      </w:pPr>
    </w:p>
    <w:p>
      <w:pPr>
        <w:spacing w:after="0"/>
        <w:rPr>
          <w:sz w:val="20"/>
          <w:szCs w:val="20"/>
          <w:color w:val="auto"/>
        </w:rPr>
      </w:pPr>
      <w:r>
        <w:rPr>
          <w:rFonts w:ascii="Arial" w:cs="Arial" w:eastAsia="Arial" w:hAnsi="Arial"/>
          <w:sz w:val="58"/>
          <w:szCs w:val="58"/>
          <w:color w:val="auto"/>
        </w:rPr>
        <w:t>Election or Approval</w:t>
      </w: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Introduction</w:t>
      </w:r>
    </w:p>
    <w:p>
      <w:pPr>
        <w:spacing w:after="0" w:line="222"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color w:val="auto"/>
        </w:rPr>
        <w:t>Our only voting securities are the outstanding shares of Class A and Class B common stock, which we refer to collectively as common stock. As of the record date, which is 5 p.m., Eastern time, on April 13, 2026, there were outstanding 61,223,064 shares of Class A common stock, each of which will be entitled to one vote on each proposal, and 4,991,808 shares of Class B common stock, each of which will be entitled to twenty votes on each proposal. Based on the number of votes for each share of Class A and Class B common stock, up to a total of 161,059,224 votes can be cast on each proposal.</w:t>
      </w:r>
    </w:p>
    <w:p>
      <w:pPr>
        <w:spacing w:after="0" w:line="137" w:lineRule="exact"/>
        <w:rPr>
          <w:sz w:val="20"/>
          <w:szCs w:val="20"/>
          <w:color w:val="auto"/>
        </w:rPr>
      </w:pPr>
    </w:p>
    <w:p>
      <w:pPr>
        <w:ind w:right="80"/>
        <w:spacing w:after="0" w:line="351" w:lineRule="auto"/>
        <w:rPr>
          <w:sz w:val="20"/>
          <w:szCs w:val="20"/>
          <w:color w:val="auto"/>
        </w:rPr>
      </w:pPr>
      <w:r>
        <w:rPr>
          <w:rFonts w:ascii="Arial" w:cs="Arial" w:eastAsia="Arial" w:hAnsi="Arial"/>
          <w:sz w:val="16"/>
          <w:szCs w:val="16"/>
          <w:color w:val="auto"/>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381" w:lineRule="exact"/>
        <w:rPr>
          <w:sz w:val="20"/>
          <w:szCs w:val="20"/>
          <w:color w:val="auto"/>
        </w:rPr>
      </w:pPr>
    </w:p>
    <w:p>
      <w:pPr>
        <w:ind w:left="960" w:hanging="741"/>
        <w:spacing w:after="0"/>
        <w:tabs>
          <w:tab w:leader="none" w:pos="960" w:val="left"/>
        </w:tabs>
        <w:numPr>
          <w:ilvl w:val="0"/>
          <w:numId w:val="29"/>
        </w:numPr>
        <w:rPr>
          <w:rFonts w:ascii="Arial" w:cs="Arial" w:eastAsia="Arial" w:hAnsi="Arial"/>
          <w:sz w:val="43"/>
          <w:szCs w:val="43"/>
          <w:color w:val="auto"/>
        </w:rPr>
      </w:pPr>
      <w:r>
        <w:rPr>
          <w:rFonts w:ascii="Arial" w:cs="Arial" w:eastAsia="Arial" w:hAnsi="Arial"/>
          <w:sz w:val="43"/>
          <w:szCs w:val="43"/>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-313055</wp:posOffset>
            </wp:positionV>
            <wp:extent cx="825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360045"/>
                    </a:xfrm>
                    <a:prstGeom prst="rect">
                      <a:avLst/>
                    </a:prstGeom>
                    <a:noFill/>
                  </pic:spPr>
                </pic:pic>
              </a:graphicData>
            </a:graphic>
          </wp:anchor>
        </w:drawing>
      </w:r>
    </w:p>
    <w:p>
      <w:pPr>
        <w:spacing w:after="0" w:line="377" w:lineRule="exact"/>
        <w:rPr>
          <w:sz w:val="20"/>
          <w:szCs w:val="20"/>
          <w:color w:val="auto"/>
        </w:rPr>
      </w:pPr>
    </w:p>
    <w:p>
      <w:pPr>
        <w:ind w:right="60"/>
        <w:spacing w:after="0" w:line="343" w:lineRule="auto"/>
        <w:rPr>
          <w:sz w:val="20"/>
          <w:szCs w:val="20"/>
          <w:color w:val="auto"/>
        </w:rPr>
      </w:pPr>
      <w:r>
        <w:rPr>
          <w:rFonts w:ascii="Arial" w:cs="Arial" w:eastAsia="Arial" w:hAnsi="Arial"/>
          <w:sz w:val="16"/>
          <w:szCs w:val="16"/>
          <w:color w:val="auto"/>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131" w:lineRule="exact"/>
        <w:rPr>
          <w:sz w:val="20"/>
          <w:szCs w:val="20"/>
          <w:color w:val="auto"/>
        </w:rPr>
      </w:pPr>
    </w:p>
    <w:p>
      <w:pPr>
        <w:ind w:right="20"/>
        <w:spacing w:after="0" w:line="354" w:lineRule="auto"/>
        <w:rPr>
          <w:sz w:val="20"/>
          <w:szCs w:val="20"/>
          <w:color w:val="auto"/>
        </w:rPr>
      </w:pPr>
      <w:r>
        <w:rPr>
          <w:rFonts w:ascii="Arial" w:cs="Arial" w:eastAsia="Arial" w:hAnsi="Arial"/>
          <w:sz w:val="16"/>
          <w:szCs w:val="16"/>
          <w:color w:val="auto"/>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60" w:right="620" w:hanging="741"/>
        <w:spacing w:after="0" w:line="286" w:lineRule="auto"/>
        <w:tabs>
          <w:tab w:leader="none" w:pos="960" w:val="left"/>
        </w:tabs>
        <w:numPr>
          <w:ilvl w:val="0"/>
          <w:numId w:val="30"/>
        </w:numPr>
        <w:rPr>
          <w:rFonts w:ascii="Arial" w:cs="Arial" w:eastAsia="Arial" w:hAnsi="Arial"/>
          <w:sz w:val="43"/>
          <w:szCs w:val="43"/>
          <w:color w:val="auto"/>
        </w:rPr>
      </w:pPr>
      <w:r>
        <w:rPr>
          <w:rFonts w:ascii="Arial" w:cs="Arial" w:eastAsia="Arial" w:hAnsi="Arial"/>
          <w:sz w:val="43"/>
          <w:szCs w:val="43"/>
          <w:color w:val="auto"/>
        </w:rPr>
        <w:t>Ratification of Appointment of Independent Auditor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-747395</wp:posOffset>
            </wp:positionV>
            <wp:extent cx="8255" cy="694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219" w:lineRule="exact"/>
        <w:rPr>
          <w:sz w:val="20"/>
          <w:szCs w:val="20"/>
          <w:color w:val="auto"/>
        </w:rPr>
      </w:pPr>
    </w:p>
    <w:p>
      <w:pPr>
        <w:jc w:val="both"/>
        <w:ind w:right="200"/>
        <w:spacing w:after="0" w:line="347" w:lineRule="auto"/>
        <w:rPr>
          <w:sz w:val="20"/>
          <w:szCs w:val="20"/>
          <w:color w:val="auto"/>
        </w:rPr>
      </w:pPr>
      <w:r>
        <w:rPr>
          <w:rFonts w:ascii="Arial" w:cs="Arial" w:eastAsia="Arial" w:hAnsi="Arial"/>
          <w:sz w:val="16"/>
          <w:szCs w:val="16"/>
          <w:color w:val="auto"/>
        </w:rPr>
        <w:t>The ratification of Ernst &amp; Young Hua Ming LLP as our independent auditor for the year ending December 31, 2026 must be approved by affirmative votes constituting a majority of the votes entitled to be voted and present virtually or represented by proxy at the Annual Meeting. Abstentions will count as votes against this proposal, because shares with respect to which the stockholder abstains will be deemed present and entitled to vote. Because this proposal is considered a routine matter, discretionary votes by brokers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15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Corporate Governance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Board of Directors Overview</w:t>
      </w:r>
    </w:p>
    <w:p>
      <w:pPr>
        <w:spacing w:after="0" w:line="222" w:lineRule="exact"/>
        <w:rPr>
          <w:sz w:val="20"/>
          <w:szCs w:val="20"/>
          <w:color w:val="auto"/>
        </w:rPr>
      </w:pPr>
    </w:p>
    <w:p>
      <w:pPr>
        <w:ind w:right="420"/>
        <w:spacing w:after="0" w:line="374" w:lineRule="auto"/>
        <w:rPr>
          <w:sz w:val="20"/>
          <w:szCs w:val="20"/>
          <w:color w:val="auto"/>
        </w:rPr>
      </w:pPr>
      <w:r>
        <w:rPr>
          <w:rFonts w:ascii="Arial" w:cs="Arial" w:eastAsia="Arial" w:hAnsi="Arial"/>
          <w:sz w:val="16"/>
          <w:szCs w:val="16"/>
          <w:color w:val="auto"/>
        </w:rPr>
        <w:t>Under our bylaws and the Delaware General Corporation Law, our business and affairs are managed by or under the direction of the board of directors, which selectively delegates responsibilities to its standing committees.</w:t>
      </w:r>
    </w:p>
    <w:p>
      <w:pPr>
        <w:spacing w:after="0" w:line="102"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The board has adopted and operates under Governance Guidelines that reflect our current governance practices in accordance with applicable statutory and regulatory requirements, including those of the SEC and Nasdaq. The Governance Guidelines are available on our website at https://ir.acmrcsh.com/corporate-governance/highlights. Under the Governance Guidelines, we expect directors to regularly attend meetings of the board and of all committees on which they serve and to review the materials sent to them in advance of those meetings. We expect director nominees for election at each annual meeting of stockholders to participate in the Annual Meeting. All of our current directors attended our 2025 Annual Meeting of Stockholders.</w:t>
      </w:r>
    </w:p>
    <w:p>
      <w:pPr>
        <w:spacing w:after="0" w:line="124"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four meetings in 2025. All of the directors attended at least 75% of the total number of board meetings held in 2025.</w:t>
      </w:r>
    </w:p>
    <w:p>
      <w:pPr>
        <w:spacing w:after="0" w:line="137" w:lineRule="exact"/>
        <w:rPr>
          <w:sz w:val="20"/>
          <w:szCs w:val="20"/>
          <w:color w:val="auto"/>
        </w:rPr>
      </w:pPr>
    </w:p>
    <w:p>
      <w:pPr>
        <w:ind w:right="600"/>
        <w:spacing w:after="0" w:line="374" w:lineRule="auto"/>
        <w:rPr>
          <w:sz w:val="20"/>
          <w:szCs w:val="20"/>
          <w:color w:val="auto"/>
        </w:rPr>
      </w:pPr>
      <w:r>
        <w:rPr>
          <w:rFonts w:ascii="Arial" w:cs="Arial" w:eastAsia="Arial" w:hAnsi="Arial"/>
          <w:sz w:val="16"/>
          <w:szCs w:val="16"/>
          <w:color w:val="auto"/>
        </w:rPr>
        <w:t>The Governance Guidelines provide that the board will meet in executive session at least twice a year without management in attendance. The Lead Director presides at each executive session.</w:t>
      </w:r>
    </w:p>
    <w:p>
      <w:pPr>
        <w:spacing w:after="0" w:line="102" w:lineRule="exact"/>
        <w:rPr>
          <w:sz w:val="20"/>
          <w:szCs w:val="20"/>
          <w:color w:val="auto"/>
        </w:rPr>
      </w:pPr>
    </w:p>
    <w:p>
      <w:pPr>
        <w:jc w:val="both"/>
        <w:ind w:right="340"/>
        <w:spacing w:after="0" w:line="354" w:lineRule="auto"/>
        <w:rPr>
          <w:sz w:val="20"/>
          <w:szCs w:val="20"/>
          <w:color w:val="auto"/>
        </w:rPr>
      </w:pPr>
      <w:r>
        <w:rPr>
          <w:rFonts w:ascii="Arial" w:cs="Arial" w:eastAsia="Arial" w:hAnsi="Arial"/>
          <w:sz w:val="16"/>
          <w:szCs w:val="16"/>
          <w:color w:val="auto"/>
        </w:rPr>
        <w:t>The board maintains an audit committee, a compensation committee, and a nominating and governance committee. The board has adopted charters for each of the committees, and those charters are to be reviewed annually by the committees and the board. Our website https://ir.acmrcsh.com/corporate-governance/highlights provides access to the following :</w:t>
      </w:r>
    </w:p>
    <w:p>
      <w:pPr>
        <w:spacing w:after="0" w:line="131"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charter,</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compensation committee charter,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nominating and governance committee charter.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functions and responsibilities of the committees are described in the sections below.</w:t>
      </w:r>
    </w:p>
    <w:p>
      <w:pPr>
        <w:spacing w:after="0" w:line="235"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119"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auto"/>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15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Independence of Directors</w:t>
      </w:r>
    </w:p>
    <w:p>
      <w:pPr>
        <w:spacing w:after="0" w:line="209" w:lineRule="exact"/>
        <w:rPr>
          <w:sz w:val="20"/>
          <w:szCs w:val="20"/>
          <w:color w:val="auto"/>
        </w:rPr>
      </w:pPr>
    </w:p>
    <w:p>
      <w:pPr>
        <w:ind w:right="600"/>
        <w:spacing w:after="0" w:line="392" w:lineRule="auto"/>
        <w:rPr>
          <w:sz w:val="20"/>
          <w:szCs w:val="20"/>
          <w:color w:val="auto"/>
        </w:rPr>
      </w:pPr>
      <w:r>
        <w:rPr>
          <w:rFonts w:ascii="Arial" w:cs="Arial" w:eastAsia="Arial" w:hAnsi="Arial"/>
          <w:sz w:val="16"/>
          <w:szCs w:val="16"/>
          <w:color w:val="auto"/>
        </w:rPr>
        <w:t>The board of directors must consist of a majority of independent directors not only under the requirements of Nasdaq but also under the Governance Guidelines.</w:t>
      </w:r>
    </w:p>
    <w:p>
      <w:pPr>
        <w:spacing w:after="0" w:line="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27" w:lineRule="exact"/>
        <w:rPr>
          <w:sz w:val="20"/>
          <w:szCs w:val="20"/>
          <w:color w:val="auto"/>
        </w:rPr>
      </w:pPr>
    </w:p>
    <w:p>
      <w:pPr>
        <w:spacing w:after="0" w:line="346" w:lineRule="auto"/>
        <w:rPr>
          <w:sz w:val="20"/>
          <w:szCs w:val="20"/>
          <w:color w:val="auto"/>
        </w:rPr>
      </w:pPr>
      <w:r>
        <w:rPr>
          <w:rFonts w:ascii="Arial" w:cs="Arial" w:eastAsia="Arial" w:hAnsi="Arial"/>
          <w:sz w:val="16"/>
          <w:szCs w:val="16"/>
          <w:color w:val="auto"/>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23"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https://ir.acmrcsh.com/corporate-governance/highlights. These categorical standards require that, to be independent, a director may not have a material relationship with ACM. Even if a director meets all categorical standards for independence, the board reviews other relationships with ACM in order to conclude that each independent director has no material relationship with ACM either directly or indirectly.</w:t>
      </w:r>
    </w:p>
    <w:p>
      <w:pPr>
        <w:spacing w:after="0" w:line="124" w:lineRule="exact"/>
        <w:rPr>
          <w:sz w:val="20"/>
          <w:szCs w:val="20"/>
          <w:color w:val="auto"/>
        </w:rPr>
      </w:pPr>
    </w:p>
    <w:p>
      <w:pPr>
        <w:ind w:right="80"/>
        <w:spacing w:after="0" w:line="252" w:lineRule="exact"/>
        <w:rPr>
          <w:sz w:val="20"/>
          <w:szCs w:val="20"/>
          <w:color w:val="auto"/>
        </w:rPr>
      </w:pPr>
      <w:r>
        <w:rPr>
          <w:rFonts w:ascii="Arial" w:cs="Arial" w:eastAsia="Arial" w:hAnsi="Arial"/>
          <w:sz w:val="16"/>
          <w:szCs w:val="16"/>
          <w:color w:val="auto"/>
        </w:rPr>
        <w:t>Based upon information requested from and provided by each director nominee concerning the director nominee’s background, employment and affiliations, including family relationships, the board has determined that each of Haiping Dun, Charles Pappis, and Tracy Liu qualify as independent directors in accordance with the rules of Nasdaq and Rules 10C-1 and 10A-3 under the Securities Exchange Act. Our former director Chenming Hu, whose term on the board expired at our 2025 Annual Meeting of Stockholders on June 12, 2025, also qualified as an independent director in accordance with the rules of Nasdaq and Rules 10C</w:t>
      </w:r>
      <w:r>
        <w:rPr>
          <w:rFonts w:ascii="MS PGothic" w:cs="MS PGothic" w:eastAsia="MS PGothic" w:hAnsi="MS PGothic"/>
          <w:sz w:val="16"/>
          <w:szCs w:val="16"/>
          <w:color w:val="auto"/>
        </w:rPr>
        <w:t>‐</w:t>
      </w:r>
      <w:r>
        <w:rPr>
          <w:rFonts w:ascii="Arial" w:cs="Arial" w:eastAsia="Arial" w:hAnsi="Arial"/>
          <w:sz w:val="16"/>
          <w:szCs w:val="16"/>
          <w:color w:val="auto"/>
        </w:rPr>
        <w:t>1 and 10A</w:t>
      </w:r>
      <w:r>
        <w:rPr>
          <w:rFonts w:ascii="MS PGothic" w:cs="MS PGothic" w:eastAsia="MS PGothic" w:hAnsi="MS PGothic"/>
          <w:sz w:val="16"/>
          <w:szCs w:val="16"/>
          <w:color w:val="auto"/>
        </w:rPr>
        <w:t>‐</w:t>
      </w:r>
      <w:r>
        <w:rPr>
          <w:rFonts w:ascii="Arial" w:cs="Arial" w:eastAsia="Arial" w:hAnsi="Arial"/>
          <w:sz w:val="16"/>
          <w:szCs w:val="16"/>
          <w:color w:val="auto"/>
        </w:rPr>
        <w:t>3 under the Securities Exchange Act, during his board service. The independent members of the board hold separate regularly scheduled executive session meetings at which only independent directors are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115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Code of Business Conduct</w:t>
      </w:r>
    </w:p>
    <w:p>
      <w:pPr>
        <w:spacing w:after="0" w:line="209"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We have a Code of Business Conduct applicable to all of our directors, officers and employees, and those of our subsidiaries. We have posted the Code of Business Conduct on our website at https://ir.acmrcsh.com/corporate-governance/highlights.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119" w:lineRule="exact"/>
        <w:rPr>
          <w:sz w:val="20"/>
          <w:szCs w:val="20"/>
          <w:color w:val="auto"/>
        </w:rPr>
      </w:pPr>
    </w:p>
    <w:p>
      <w:pPr>
        <w:ind w:right="40"/>
        <w:spacing w:after="0" w:line="363" w:lineRule="auto"/>
        <w:rPr>
          <w:sz w:val="20"/>
          <w:szCs w:val="20"/>
          <w:color w:val="auto"/>
        </w:rPr>
      </w:pPr>
      <w:r>
        <w:rPr>
          <w:rFonts w:ascii="Arial" w:cs="Arial" w:eastAsia="Arial" w:hAnsi="Arial"/>
          <w:sz w:val="16"/>
          <w:szCs w:val="16"/>
          <w:color w:val="auto"/>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https://ir.acmrcsh.com/corporate-governance/highlights.</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Employee, Officer and Director Hedging</w:t>
      </w:r>
    </w:p>
    <w:p>
      <w:pPr>
        <w:spacing w:after="0" w:line="209" w:lineRule="exact"/>
        <w:rPr>
          <w:sz w:val="20"/>
          <w:szCs w:val="20"/>
          <w:color w:val="auto"/>
        </w:rPr>
      </w:pPr>
    </w:p>
    <w:p>
      <w:pPr>
        <w:ind w:right="80"/>
        <w:spacing w:after="0" w:line="353" w:lineRule="auto"/>
        <w:rPr>
          <w:sz w:val="20"/>
          <w:szCs w:val="20"/>
          <w:color w:val="auto"/>
        </w:rPr>
      </w:pPr>
      <w:r>
        <w:rPr>
          <w:rFonts w:ascii="Arial" w:cs="Arial" w:eastAsia="Arial" w:hAnsi="Arial"/>
          <w:sz w:val="16"/>
          <w:szCs w:val="16"/>
          <w:color w:val="auto"/>
        </w:rPr>
        <w:t>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our website at https://ir.acmrcsh.com/corporate-governance/highlights.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Board Oversight of Risk</w:t>
      </w:r>
    </w:p>
    <w:p>
      <w:pPr>
        <w:spacing w:after="0" w:line="209" w:lineRule="exact"/>
        <w:rPr>
          <w:sz w:val="20"/>
          <w:szCs w:val="20"/>
          <w:color w:val="auto"/>
        </w:rPr>
      </w:pPr>
    </w:p>
    <w:p>
      <w:pPr>
        <w:ind w:right="180"/>
        <w:spacing w:after="0" w:line="348" w:lineRule="auto"/>
        <w:rPr>
          <w:sz w:val="20"/>
          <w:szCs w:val="20"/>
          <w:color w:val="auto"/>
        </w:rPr>
      </w:pPr>
      <w:r>
        <w:rPr>
          <w:rFonts w:ascii="Arial" w:cs="Arial" w:eastAsia="Arial" w:hAnsi="Arial"/>
          <w:sz w:val="16"/>
          <w:szCs w:val="16"/>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24" w:lineRule="exact"/>
        <w:rPr>
          <w:sz w:val="20"/>
          <w:szCs w:val="20"/>
          <w:color w:val="auto"/>
        </w:rPr>
      </w:pPr>
    </w:p>
    <w:p>
      <w:pPr>
        <w:spacing w:after="0" w:line="344" w:lineRule="auto"/>
        <w:rPr>
          <w:sz w:val="20"/>
          <w:szCs w:val="20"/>
          <w:color w:val="auto"/>
        </w:rPr>
      </w:pPr>
      <w:r>
        <w:rPr>
          <w:rFonts w:ascii="Arial" w:cs="Arial" w:eastAsia="Arial" w:hAnsi="Arial"/>
          <w:sz w:val="16"/>
          <w:szCs w:val="16"/>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the board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Board Leadership Structure</w:t>
      </w:r>
    </w:p>
    <w:p>
      <w:pPr>
        <w:spacing w:after="0" w:line="209"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our business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spacing w:after="0" w:line="125" w:lineRule="exact"/>
        <w:rPr>
          <w:sz w:val="20"/>
          <w:szCs w:val="20"/>
          <w:color w:val="auto"/>
        </w:rPr>
      </w:pPr>
    </w:p>
    <w:p>
      <w:pPr>
        <w:ind w:right="560"/>
        <w:spacing w:after="0" w:line="374" w:lineRule="auto"/>
        <w:rPr>
          <w:sz w:val="20"/>
          <w:szCs w:val="20"/>
          <w:color w:val="auto"/>
        </w:rPr>
      </w:pPr>
      <w:r>
        <w:rPr>
          <w:rFonts w:ascii="Arial" w:cs="Arial" w:eastAsia="Arial" w:hAnsi="Arial"/>
          <w:sz w:val="16"/>
          <w:szCs w:val="16"/>
          <w:color w:val="auto"/>
        </w:rPr>
        <w:t>The board has concluded that our current leadership structure is appropriate at this time. The board will continue to periodically review our leadership structure, however, and may make such changes in the future as it deems appropriate.</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Audit Committee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the audit committee include:</w:t>
      </w:r>
    </w:p>
    <w:p>
      <w:pPr>
        <w:spacing w:after="0" w:line="235"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26" w:lineRule="exact"/>
        <w:rPr>
          <w:rFonts w:ascii="Arial" w:cs="Arial" w:eastAsia="Arial" w:hAnsi="Arial"/>
          <w:sz w:val="16"/>
          <w:szCs w:val="16"/>
          <w:color w:val="auto"/>
        </w:rPr>
      </w:pPr>
    </w:p>
    <w:p>
      <w:pPr>
        <w:ind w:left="260" w:right="800" w:hanging="252"/>
        <w:spacing w:after="0" w:line="374" w:lineRule="auto"/>
        <w:tabs>
          <w:tab w:leader="none" w:pos="2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and discussing with management and the registered public accounting firm our annual and quarterly financial statements and related disclosures;</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and our disclosure controls and procedures;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meeting independently with our registered public accounting firm and management;</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furnishing the audit committee report required by SEC rules;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approving and overseeing certain related-party transactions;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and reassessing the adequacy of our conflict of interest policy; and</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overseeing our risk assessment and risk management policies.</w:t>
      </w:r>
    </w:p>
    <w:p>
      <w:pPr>
        <w:spacing w:after="0" w:line="235" w:lineRule="exact"/>
        <w:rPr>
          <w:sz w:val="20"/>
          <w:szCs w:val="20"/>
          <w:color w:val="auto"/>
        </w:rPr>
      </w:pPr>
    </w:p>
    <w:p>
      <w:pPr>
        <w:ind w:right="640"/>
        <w:spacing w:after="0" w:line="374" w:lineRule="auto"/>
        <w:rPr>
          <w:sz w:val="20"/>
          <w:szCs w:val="20"/>
          <w:color w:val="auto"/>
        </w:rPr>
      </w:pPr>
      <w:r>
        <w:rPr>
          <w:rFonts w:ascii="Arial" w:cs="Arial" w:eastAsia="Arial" w:hAnsi="Arial"/>
          <w:sz w:val="16"/>
          <w:szCs w:val="16"/>
          <w:color w:val="auto"/>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02" w:lineRule="exact"/>
        <w:rPr>
          <w:sz w:val="20"/>
          <w:szCs w:val="20"/>
          <w:color w:val="auto"/>
        </w:rPr>
      </w:pPr>
    </w:p>
    <w:p>
      <w:pPr>
        <w:ind w:right="300"/>
        <w:spacing w:after="0" w:line="348" w:lineRule="auto"/>
        <w:rPr>
          <w:sz w:val="20"/>
          <w:szCs w:val="20"/>
          <w:color w:val="auto"/>
        </w:rPr>
      </w:pPr>
      <w:r>
        <w:rPr>
          <w:rFonts w:ascii="Arial" w:cs="Arial" w:eastAsia="Arial" w:hAnsi="Arial"/>
          <w:sz w:val="16"/>
          <w:szCs w:val="16"/>
          <w:color w:val="auto"/>
        </w:rPr>
        <w:t>The current members of the audit committee are Tracy Liu, who serves as chair, Haiping Dun and Charles Pappis. Ms. Liu, Dr. Dun, and Mr. Pappis are standing for re-election at the Annual Meeting. The board has determined that each of the current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The board has also determined that Ms. Liu is an audit committee financial expert in accordance with the standards of the SEC.</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held five meetings in 2025. All members attended at least 75% of the total number of audit committee meetings held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15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Nominating and Governance Committee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the nominating and governance committee include:</w:t>
      </w:r>
    </w:p>
    <w:p>
      <w:pPr>
        <w:spacing w:after="0" w:line="248" w:lineRule="exact"/>
        <w:rPr>
          <w:sz w:val="20"/>
          <w:szCs w:val="20"/>
          <w:color w:val="auto"/>
        </w:rPr>
      </w:pPr>
    </w:p>
    <w:p>
      <w:pPr>
        <w:ind w:left="260" w:right="340" w:hanging="252"/>
        <w:spacing w:after="0" w:line="369" w:lineRule="auto"/>
        <w:tabs>
          <w:tab w:leader="none" w:pos="2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the board of directors and our stockholders concerning nominees for election to the board, to each of the board’s committees and as committee chairs;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annually reviewing the performance and effectiveness of the board and developing and overseeing a performance evaluation process;</w:t>
      </w:r>
    </w:p>
    <w:p>
      <w:pPr>
        <w:spacing w:after="0" w:line="126" w:lineRule="exact"/>
        <w:rPr>
          <w:rFonts w:ascii="Arial" w:cs="Arial" w:eastAsia="Arial" w:hAnsi="Arial"/>
          <w:sz w:val="16"/>
          <w:szCs w:val="16"/>
          <w:color w:val="auto"/>
        </w:rPr>
      </w:pPr>
    </w:p>
    <w:p>
      <w:pPr>
        <w:ind w:left="260" w:right="200" w:hanging="252"/>
        <w:spacing w:after="0" w:line="374" w:lineRule="auto"/>
        <w:tabs>
          <w:tab w:leader="none" w:pos="2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annually evaluating the performance of management, the board and each board committee against their duties and responsibilities relating to corporate governance;</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annually evaluating adequacy of our corporate governance structure, policies and procedures;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providing reports to the board regarding the committee’s nominations for election to the board and its committees.</w:t>
      </w:r>
    </w:p>
    <w:p>
      <w:pPr>
        <w:spacing w:after="0" w:line="235" w:lineRule="exact"/>
        <w:rPr>
          <w:sz w:val="20"/>
          <w:szCs w:val="20"/>
          <w:color w:val="auto"/>
        </w:rPr>
      </w:pPr>
    </w:p>
    <w:p>
      <w:pPr>
        <w:ind w:right="380"/>
        <w:spacing w:after="0" w:line="354" w:lineRule="auto"/>
        <w:rPr>
          <w:sz w:val="20"/>
          <w:szCs w:val="20"/>
          <w:color w:val="auto"/>
        </w:rPr>
      </w:pPr>
      <w:r>
        <w:rPr>
          <w:rFonts w:ascii="Arial" w:cs="Arial" w:eastAsia="Arial" w:hAnsi="Arial"/>
          <w:sz w:val="16"/>
          <w:szCs w:val="16"/>
          <w:color w:val="auto"/>
        </w:rPr>
        <w:t>The current members of the nominating and governance committee are Charles Pappis, who serves as chair, and Tracy Liu. Mr. Pappis and Ms. Liu are standing for re-election at the Annual Meeting. The board has determined that each of Mr. Pappis and Ms. Liu is independent, as defined in the listing standards of Nasdaq.</w:t>
      </w:r>
    </w:p>
    <w:p>
      <w:pPr>
        <w:spacing w:after="0" w:line="117" w:lineRule="exact"/>
        <w:rPr>
          <w:sz w:val="20"/>
          <w:szCs w:val="20"/>
          <w:color w:val="auto"/>
        </w:rPr>
      </w:pPr>
    </w:p>
    <w:p>
      <w:pPr>
        <w:ind w:right="160"/>
        <w:spacing w:after="0" w:line="363" w:lineRule="auto"/>
        <w:rPr>
          <w:sz w:val="20"/>
          <w:szCs w:val="20"/>
          <w:color w:val="auto"/>
        </w:rPr>
      </w:pPr>
      <w:r>
        <w:rPr>
          <w:rFonts w:ascii="Arial" w:cs="Arial" w:eastAsia="Arial" w:hAnsi="Arial"/>
          <w:sz w:val="16"/>
          <w:szCs w:val="16"/>
          <w:color w:val="auto"/>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2025, which was attended by both of the members.</w:t>
      </w:r>
    </w:p>
    <w:p>
      <w:pPr>
        <w:spacing w:after="0" w:line="110"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auto"/>
        </w:rPr>
        <w:t>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https://ir.acmrcsh.com/corporate-governance/highlights.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15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Compensation Committee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the compensation committee include:</w:t>
      </w:r>
    </w:p>
    <w:p>
      <w:pPr>
        <w:spacing w:after="0" w:line="248" w:lineRule="exact"/>
        <w:rPr>
          <w:sz w:val="20"/>
          <w:szCs w:val="20"/>
          <w:color w:val="auto"/>
        </w:rPr>
      </w:pPr>
    </w:p>
    <w:p>
      <w:pPr>
        <w:ind w:left="260" w:right="540" w:hanging="252"/>
        <w:spacing w:after="0" w:line="369" w:lineRule="auto"/>
        <w:tabs>
          <w:tab w:leader="none" w:pos="2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together with the Lead Director, evaluating the performance of our Chief Executive Officer and determining our Chief Executive Officer’s salary and contingent compensation based on his or her performance and other relevant criteria;</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together with the Lead Director, identifying the corporate and individual objectives governing the Chief Executive Officer’s compensation;</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together with the Lead Director, approving the compensation of our other executive officers;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making recommendations to the board with respect to director compensation;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and approving the terms of certain material agreements;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overseeing and administering our equity incentive plans and employee benefit plans;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preparing the annual compensation committee report required by SEC rules; and</w:t>
      </w:r>
    </w:p>
    <w:p>
      <w:pPr>
        <w:spacing w:after="0" w:line="126" w:lineRule="exact"/>
        <w:rPr>
          <w:rFonts w:ascii="Arial" w:cs="Arial" w:eastAsia="Arial" w:hAnsi="Arial"/>
          <w:sz w:val="16"/>
          <w:szCs w:val="16"/>
          <w:color w:val="auto"/>
        </w:rPr>
      </w:pPr>
    </w:p>
    <w:p>
      <w:pPr>
        <w:ind w:left="260" w:hanging="252"/>
        <w:spacing w:after="0" w:line="374" w:lineRule="auto"/>
        <w:tabs>
          <w:tab w:leader="none" w:pos="2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02" w:lineRule="exact"/>
        <w:rPr>
          <w:sz w:val="20"/>
          <w:szCs w:val="20"/>
          <w:color w:val="auto"/>
        </w:rPr>
      </w:pPr>
    </w:p>
    <w:p>
      <w:pPr>
        <w:jc w:val="both"/>
        <w:spacing w:after="0" w:line="363" w:lineRule="auto"/>
        <w:rPr>
          <w:sz w:val="20"/>
          <w:szCs w:val="20"/>
          <w:color w:val="auto"/>
        </w:rPr>
      </w:pPr>
      <w:r>
        <w:rPr>
          <w:rFonts w:ascii="Arial" w:cs="Arial" w:eastAsia="Arial" w:hAnsi="Arial"/>
          <w:sz w:val="16"/>
          <w:szCs w:val="16"/>
          <w:color w:val="auto"/>
        </w:rPr>
        <w:t>The current members of the compensation committee are Tracy Liu and Haiping Dun, who serves as chair.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w:t>
      </w:r>
    </w:p>
    <w:p>
      <w:pPr>
        <w:spacing w:after="0" w:line="110"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The compensation committee held one meeting in 2025, which was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Compensation Committee Interlocks and Insider Participation</w:t>
      </w:r>
    </w:p>
    <w:p>
      <w:pPr>
        <w:spacing w:after="0" w:line="209"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During 2025,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0"/>
        <w:spacing w:after="0" w:line="292" w:lineRule="auto"/>
        <w:rPr>
          <w:sz w:val="20"/>
          <w:szCs w:val="20"/>
          <w:color w:val="auto"/>
        </w:rPr>
      </w:pPr>
      <w:r>
        <w:rPr>
          <w:rFonts w:ascii="Arial" w:cs="Arial" w:eastAsia="Arial" w:hAnsi="Arial"/>
          <w:sz w:val="57"/>
          <w:szCs w:val="57"/>
          <w:color w:val="auto"/>
        </w:rPr>
        <w:t>Certain Relationships and Related-Person Transactions</w:t>
      </w:r>
    </w:p>
    <w:p>
      <w:pPr>
        <w:spacing w:after="0" w:line="212" w:lineRule="exact"/>
        <w:rPr>
          <w:sz w:val="20"/>
          <w:szCs w:val="20"/>
          <w:color w:val="auto"/>
        </w:rPr>
      </w:pPr>
    </w:p>
    <w:p>
      <w:pPr>
        <w:jc w:val="both"/>
        <w:ind w:right="500"/>
        <w:spacing w:after="0" w:line="363" w:lineRule="auto"/>
        <w:rPr>
          <w:sz w:val="20"/>
          <w:szCs w:val="20"/>
          <w:color w:val="auto"/>
        </w:rPr>
      </w:pPr>
      <w:r>
        <w:rPr>
          <w:rFonts w:ascii="Arial" w:cs="Arial" w:eastAsia="Arial" w:hAnsi="Arial"/>
          <w:sz w:val="16"/>
          <w:szCs w:val="16"/>
          <w:color w:val="auto"/>
        </w:rPr>
        <w:t>In October 2017 the board of directors adopted a Conflict of Interest Policy applicable to all directors, officers and employees of our Company and our subsidiaries. We have posted the Conflict of Interest Policy on our website at https://ir.acmrcsh.com/corporate-governance/highlights. We will post any amendments to the Conflict of Interest Policy on our website.</w:t>
      </w:r>
    </w:p>
    <w:p>
      <w:pPr>
        <w:spacing w:after="0" w:line="1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Conflict of Interest Policy requires each director and executive officer, including their immediate family members, to provide written notice of any potential related-party transaction, which is defined in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 Pursuant to its charter, the audit committee is also responsible for reviewing, approving and overseeing related-party transactions that meet the requirement of Item 404 of Regulation S-K.</w:t>
      </w:r>
    </w:p>
    <w:p>
      <w:pPr>
        <w:spacing w:after="0" w:line="127" w:lineRule="exact"/>
        <w:rPr>
          <w:sz w:val="20"/>
          <w:szCs w:val="20"/>
          <w:color w:val="auto"/>
        </w:rPr>
      </w:pPr>
    </w:p>
    <w:p>
      <w:pPr>
        <w:jc w:val="both"/>
        <w:ind w:right="260"/>
        <w:spacing w:after="0" w:line="354" w:lineRule="auto"/>
        <w:rPr>
          <w:sz w:val="20"/>
          <w:szCs w:val="20"/>
          <w:color w:val="auto"/>
        </w:rPr>
      </w:pPr>
      <w:r>
        <w:rPr>
          <w:rFonts w:ascii="Arial" w:cs="Arial" w:eastAsia="Arial" w:hAnsi="Arial"/>
          <w:sz w:val="16"/>
          <w:szCs w:val="16"/>
          <w:color w:val="auto"/>
        </w:rPr>
        <w:t>Since January 1, 2025, we have not been a party to any transactions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Director and Executive Compensation and Indemnification Agreements</w:t>
      </w:r>
    </w:p>
    <w:p>
      <w:pPr>
        <w:spacing w:after="0" w:line="209"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auto"/>
        </w:rPr>
        <w:t>Please see “Director Compensation,” “Executive Compensation” and “Compensation Discussion and Analysis” for discussion of the compensation of our non-employee directors and certain of our executive officers.</w:t>
      </w:r>
    </w:p>
    <w:p>
      <w:pPr>
        <w:spacing w:after="0" w:line="102"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We have entered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executive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Director Compensation</w:t>
      </w:r>
    </w:p>
    <w:p>
      <w:pPr>
        <w:spacing w:after="0" w:line="200" w:lineRule="exact"/>
        <w:rPr>
          <w:sz w:val="20"/>
          <w:szCs w:val="20"/>
          <w:color w:val="auto"/>
        </w:rPr>
      </w:pPr>
    </w:p>
    <w:p>
      <w:pPr>
        <w:spacing w:after="0" w:line="252"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auto"/>
        </w:rPr>
        <w:t>Our director compensation program is intended to enhance our ability to attract, retain and motivate non-employee directors of exceptional ability and to promote the common interest of directors and stockholders in enhancing the value of the common stock. The program addresses the time, effort, expertise, and accountability required of active board membership. The board of directors reviews director compensation periodically based on recommendations by the compensation committee.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Directors may be reimbursed for reasonable out-of-pocket expenses incurred in attending board and committee meetings.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Fiscal Year 2025</w:t>
      </w:r>
    </w:p>
    <w:p>
      <w:pPr>
        <w:spacing w:after="0" w:line="222" w:lineRule="exact"/>
        <w:rPr>
          <w:sz w:val="20"/>
          <w:szCs w:val="20"/>
          <w:color w:val="auto"/>
        </w:rPr>
      </w:pPr>
    </w:p>
    <w:p>
      <w:pPr>
        <w:ind w:right="180"/>
        <w:spacing w:after="0" w:line="344" w:lineRule="auto"/>
        <w:rPr>
          <w:sz w:val="20"/>
          <w:szCs w:val="20"/>
          <w:color w:val="auto"/>
        </w:rPr>
      </w:pPr>
      <w:r>
        <w:rPr>
          <w:rFonts w:ascii="Arial" w:cs="Arial" w:eastAsia="Arial" w:hAnsi="Arial"/>
          <w:sz w:val="16"/>
          <w:szCs w:val="16"/>
          <w:color w:val="auto"/>
        </w:rPr>
        <w:t>In July 2025, the board adopted a director compensation policy with respect to compensation payable to our non-employee directors for 2025. The 2025 director compensation policy was adopted by the board in the form, and with the terms, recommended by the compensation committee. In making its recommendation, the compensation committee reviewed and considered competitive market data prepared by the compensation committee’s independent compensation consultant in 2023. The compensation committee determined that it was not necessary to engage an independent compensation consultant for fiscal 2025 director compensation decisions. In reaching this decision, the compensation committee considered that the compensation framework established with the benefit of Aon’s comprehensive review in 2023 remained appropriate and continued to serve as a sound foundation for the compensation committee’s compensation decisions.</w:t>
      </w:r>
    </w:p>
    <w:p>
      <w:pPr>
        <w:spacing w:after="0" w:line="125" w:lineRule="exact"/>
        <w:rPr>
          <w:sz w:val="20"/>
          <w:szCs w:val="20"/>
          <w:color w:val="auto"/>
        </w:rPr>
      </w:pPr>
    </w:p>
    <w:p>
      <w:pPr>
        <w:ind w:right="100"/>
        <w:spacing w:after="0" w:line="354" w:lineRule="auto"/>
        <w:rPr>
          <w:sz w:val="20"/>
          <w:szCs w:val="20"/>
          <w:color w:val="auto"/>
        </w:rPr>
      </w:pPr>
      <w:r>
        <w:rPr>
          <w:rFonts w:ascii="Arial" w:cs="Arial" w:eastAsia="Arial" w:hAnsi="Arial"/>
          <w:sz w:val="16"/>
          <w:szCs w:val="16"/>
          <w:color w:val="auto"/>
        </w:rPr>
        <w:t>Under the 2025 director compensation policy, each non-employee director was generally eligible to receive compensation for board and committee service consisting of annual cash retainers and stock options covering Class A common stock. For 2025, each of our non-employee directors was entitled to annual retainers (subject to proration for actual days served in 2025) per the following schedule, which remained unchanged from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Annual Cash Retainers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20" w:type="dxa"/>
            <w:vAlign w:val="bottom"/>
            <w:shd w:val="clear" w:color="auto" w:fill="0079C1"/>
          </w:tcPr>
          <w:p>
            <w:pPr>
              <w:spacing w:after="0"/>
              <w:rPr>
                <w:sz w:val="16"/>
                <w:szCs w:val="16"/>
                <w:color w:val="auto"/>
              </w:rPr>
            </w:pPr>
          </w:p>
        </w:tc>
        <w:tc>
          <w:tcPr>
            <w:tcW w:w="4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Retainer</w:t>
            </w:r>
          </w:p>
        </w:tc>
      </w:tr>
      <w:tr>
        <w:trPr>
          <w:trHeight w:val="196"/>
        </w:trPr>
        <w:tc>
          <w:tcPr>
            <w:tcW w:w="722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Position</w:t>
            </w:r>
          </w:p>
        </w:tc>
        <w:tc>
          <w:tcPr>
            <w:tcW w:w="4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7220" w:type="dxa"/>
            <w:vAlign w:val="bottom"/>
            <w:shd w:val="clear" w:color="auto" w:fill="0079C1"/>
          </w:tcPr>
          <w:p>
            <w:pPr>
              <w:spacing w:after="0"/>
              <w:rPr>
                <w:sz w:val="9"/>
                <w:szCs w:val="9"/>
                <w:color w:val="auto"/>
              </w:rPr>
            </w:pPr>
          </w:p>
        </w:tc>
        <w:tc>
          <w:tcPr>
            <w:tcW w:w="4020" w:type="dxa"/>
            <w:vAlign w:val="bottom"/>
            <w:shd w:val="clear" w:color="auto" w:fill="0079C1"/>
          </w:tcPr>
          <w:p>
            <w:pPr>
              <w:spacing w:after="0"/>
              <w:rPr>
                <w:sz w:val="9"/>
                <w:szCs w:val="9"/>
                <w:color w:val="auto"/>
              </w:rPr>
            </w:pPr>
          </w:p>
        </w:tc>
      </w:tr>
      <w:tr>
        <w:trPr>
          <w:trHeight w:val="235"/>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Lead Director</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37,000</w:t>
            </w:r>
          </w:p>
        </w:tc>
      </w:tr>
      <w:tr>
        <w:trPr>
          <w:trHeight w:val="49"/>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Other Directors</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27,750</w:t>
            </w:r>
          </w:p>
        </w:tc>
      </w:tr>
      <w:tr>
        <w:trPr>
          <w:trHeight w:val="49"/>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Audit Committee Chair</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9,000</w:t>
            </w:r>
          </w:p>
        </w:tc>
      </w:tr>
      <w:tr>
        <w:trPr>
          <w:trHeight w:val="48"/>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Other Audit Committee Members</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6,000</w:t>
            </w:r>
          </w:p>
        </w:tc>
      </w:tr>
      <w:tr>
        <w:trPr>
          <w:trHeight w:val="49"/>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Compensation Committee Chair</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9,000</w:t>
            </w:r>
          </w:p>
        </w:tc>
      </w:tr>
      <w:tr>
        <w:trPr>
          <w:trHeight w:val="49"/>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Other Compensation Committee Members</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6,000</w:t>
            </w:r>
          </w:p>
        </w:tc>
      </w:tr>
      <w:tr>
        <w:trPr>
          <w:trHeight w:val="49"/>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Nominating and Governance Committee Chair</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9,000</w:t>
            </w:r>
          </w:p>
        </w:tc>
      </w:tr>
      <w:tr>
        <w:trPr>
          <w:trHeight w:val="48"/>
        </w:trPr>
        <w:tc>
          <w:tcPr>
            <w:tcW w:w="72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28"/>
        </w:trPr>
        <w:tc>
          <w:tcPr>
            <w:tcW w:w="7220" w:type="dxa"/>
            <w:vAlign w:val="bottom"/>
          </w:tcPr>
          <w:p>
            <w:pPr>
              <w:ind w:left="100"/>
              <w:spacing w:after="0"/>
              <w:rPr>
                <w:sz w:val="20"/>
                <w:szCs w:val="20"/>
                <w:color w:val="auto"/>
              </w:rPr>
            </w:pPr>
            <w:r>
              <w:rPr>
                <w:rFonts w:ascii="Arial" w:cs="Arial" w:eastAsia="Arial" w:hAnsi="Arial"/>
                <w:sz w:val="14"/>
                <w:szCs w:val="14"/>
                <w:b w:val="1"/>
                <w:bCs w:val="1"/>
                <w:color w:val="auto"/>
              </w:rPr>
              <w:t>Other Nominating and Governance Committee Members</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6,000</w:t>
            </w:r>
          </w:p>
        </w:tc>
      </w:tr>
      <w:tr>
        <w:trPr>
          <w:trHeight w:val="49"/>
        </w:trPr>
        <w:tc>
          <w:tcPr>
            <w:tcW w:w="7220" w:type="dxa"/>
            <w:vAlign w:val="bottom"/>
            <w:tcBorders>
              <w:bottom w:val="single" w:sz="8" w:color="0079C1"/>
            </w:tcBorders>
          </w:tcPr>
          <w:p>
            <w:pPr>
              <w:spacing w:after="0"/>
              <w:rPr>
                <w:sz w:val="4"/>
                <w:szCs w:val="4"/>
                <w:color w:val="auto"/>
              </w:rPr>
            </w:pPr>
          </w:p>
        </w:tc>
        <w:tc>
          <w:tcPr>
            <w:tcW w:w="4020" w:type="dxa"/>
            <w:vAlign w:val="bottom"/>
            <w:tcBorders>
              <w:bottom w:val="single" w:sz="8" w:color="0079C1"/>
            </w:tcBorders>
          </w:tcPr>
          <w:p>
            <w:pPr>
              <w:spacing w:after="0"/>
              <w:rPr>
                <w:sz w:val="4"/>
                <w:szCs w:val="4"/>
                <w:color w:val="auto"/>
              </w:rPr>
            </w:pPr>
          </w:p>
        </w:tc>
      </w:tr>
    </w:tbl>
    <w:p>
      <w:pPr>
        <w:spacing w:after="0" w:line="32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auto"/>
        </w:rPr>
        <w:t>As in 2024, pursuant to the 2025 director compensation policy, each non-employee director of ACM Research elected at our 2025 Annual Meeting of Stockholders was granted a non-qualified stock option to acquire 20,000 shares of Class A common stock at a price equal to the closing price of Class A common stock on the grant date, which was $24.93 per share (the “Annual Options”). Each Annual Option vests, subject to continued board service, in full immediately prior to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151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The following table shows the total compensation for non-employee directors during 2025. David Wang, the only executive officer who served as a member of the board during 2025, did not receive any additional compensation for such service as a director. Mr. Wang’s compensation for his service as an employee is discussed in the executive compensation disclosures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Director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shd w:val="clear" w:color="auto" w:fill="0079C1"/>
          </w:tcPr>
          <w:p>
            <w:pPr>
              <w:spacing w:after="0"/>
              <w:rPr>
                <w:sz w:val="16"/>
                <w:szCs w:val="16"/>
                <w:color w:val="auto"/>
              </w:rPr>
            </w:pPr>
          </w:p>
        </w:tc>
        <w:tc>
          <w:tcPr>
            <w:tcW w:w="348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Fees</w:t>
            </w:r>
          </w:p>
        </w:tc>
        <w:tc>
          <w:tcPr>
            <w:tcW w:w="130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79C1"/>
          </w:tcPr>
          <w:p>
            <w:pPr>
              <w:jc w:val="right"/>
              <w:ind w:right="328"/>
              <w:spacing w:after="0"/>
              <w:rPr>
                <w:sz w:val="20"/>
                <w:szCs w:val="20"/>
                <w:color w:val="auto"/>
              </w:rPr>
            </w:pPr>
            <w:r>
              <w:rPr>
                <w:rFonts w:ascii="Arial" w:cs="Arial" w:eastAsia="Arial" w:hAnsi="Arial"/>
                <w:sz w:val="14"/>
                <w:szCs w:val="14"/>
                <w:b w:val="1"/>
                <w:bCs w:val="1"/>
                <w:color w:val="FFFFFF"/>
              </w:rPr>
              <w:t>All Other</w:t>
            </w:r>
          </w:p>
        </w:tc>
        <w:tc>
          <w:tcPr>
            <w:tcW w:w="1120" w:type="dxa"/>
            <w:vAlign w:val="bottom"/>
            <w:vMerge w:val="restart"/>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3740" w:type="dxa"/>
            <w:vAlign w:val="bottom"/>
            <w:shd w:val="clear" w:color="auto" w:fill="0079C1"/>
          </w:tcPr>
          <w:p>
            <w:pPr>
              <w:spacing w:after="0"/>
              <w:rPr>
                <w:sz w:val="14"/>
                <w:szCs w:val="14"/>
                <w:color w:val="auto"/>
              </w:rPr>
            </w:pPr>
          </w:p>
        </w:tc>
        <w:tc>
          <w:tcPr>
            <w:tcW w:w="348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Paid in Cash</w:t>
            </w:r>
          </w:p>
        </w:tc>
        <w:tc>
          <w:tcPr>
            <w:tcW w:w="130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Awards</w:t>
            </w:r>
          </w:p>
        </w:tc>
        <w:tc>
          <w:tcPr>
            <w:tcW w:w="1600" w:type="dxa"/>
            <w:vAlign w:val="bottom"/>
            <w:shd w:val="clear" w:color="auto" w:fill="0079C1"/>
          </w:tcPr>
          <w:p>
            <w:pPr>
              <w:jc w:val="right"/>
              <w:ind w:right="328"/>
              <w:spacing w:after="0"/>
              <w:rPr>
                <w:sz w:val="20"/>
                <w:szCs w:val="20"/>
                <w:color w:val="auto"/>
              </w:rPr>
            </w:pPr>
            <w:r>
              <w:rPr>
                <w:rFonts w:ascii="Arial" w:cs="Arial" w:eastAsia="Arial" w:hAnsi="Arial"/>
                <w:sz w:val="14"/>
                <w:szCs w:val="14"/>
                <w:b w:val="1"/>
                <w:bCs w:val="1"/>
                <w:color w:val="FFFFFF"/>
              </w:rPr>
              <w:t>Compensation</w:t>
            </w:r>
          </w:p>
        </w:tc>
        <w:tc>
          <w:tcPr>
            <w:tcW w:w="1120" w:type="dxa"/>
            <w:vAlign w:val="bottom"/>
            <w:vMerge w:val="continue"/>
            <w:shd w:val="clear" w:color="auto" w:fill="0079C1"/>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Director</w:t>
            </w:r>
          </w:p>
        </w:tc>
        <w:tc>
          <w:tcPr>
            <w:tcW w:w="348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30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600" w:type="dxa"/>
            <w:vAlign w:val="bottom"/>
            <w:shd w:val="clear" w:color="auto" w:fill="0079C1"/>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4"/>
        </w:trPr>
        <w:tc>
          <w:tcPr>
            <w:tcW w:w="3740" w:type="dxa"/>
            <w:vAlign w:val="bottom"/>
            <w:shd w:val="clear" w:color="auto" w:fill="0079C1"/>
          </w:tcPr>
          <w:p>
            <w:pPr>
              <w:spacing w:after="0"/>
              <w:rPr>
                <w:sz w:val="8"/>
                <w:szCs w:val="8"/>
                <w:color w:val="auto"/>
              </w:rPr>
            </w:pPr>
          </w:p>
        </w:tc>
        <w:tc>
          <w:tcPr>
            <w:tcW w:w="3480" w:type="dxa"/>
            <w:vAlign w:val="bottom"/>
            <w:shd w:val="clear" w:color="auto" w:fill="0079C1"/>
          </w:tcPr>
          <w:p>
            <w:pPr>
              <w:spacing w:after="0"/>
              <w:rPr>
                <w:sz w:val="8"/>
                <w:szCs w:val="8"/>
                <w:color w:val="auto"/>
              </w:rPr>
            </w:pPr>
          </w:p>
        </w:tc>
        <w:tc>
          <w:tcPr>
            <w:tcW w:w="1300" w:type="dxa"/>
            <w:vAlign w:val="bottom"/>
            <w:shd w:val="clear" w:color="auto" w:fill="0079C1"/>
          </w:tcPr>
          <w:p>
            <w:pPr>
              <w:spacing w:after="0"/>
              <w:rPr>
                <w:sz w:val="8"/>
                <w:szCs w:val="8"/>
                <w:color w:val="auto"/>
              </w:rPr>
            </w:pPr>
          </w:p>
        </w:tc>
        <w:tc>
          <w:tcPr>
            <w:tcW w:w="1600" w:type="dxa"/>
            <w:vAlign w:val="bottom"/>
            <w:shd w:val="clear" w:color="auto" w:fill="0079C1"/>
          </w:tcPr>
          <w:p>
            <w:pPr>
              <w:spacing w:after="0"/>
              <w:rPr>
                <w:sz w:val="8"/>
                <w:szCs w:val="8"/>
                <w:color w:val="auto"/>
              </w:rPr>
            </w:pPr>
          </w:p>
        </w:tc>
        <w:tc>
          <w:tcPr>
            <w:tcW w:w="1120" w:type="dxa"/>
            <w:vAlign w:val="bottom"/>
            <w:shd w:val="clear" w:color="auto" w:fill="0079C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Haiping Dun</w:t>
            </w:r>
            <w:r>
              <w:rPr>
                <w:rFonts w:ascii="Arial" w:cs="Arial" w:eastAsia="Arial" w:hAnsi="Arial"/>
                <w:sz w:val="9"/>
                <w:szCs w:val="9"/>
                <w:b w:val="1"/>
                <w:bCs w:val="1"/>
                <w:color w:val="auto"/>
              </w:rPr>
              <w:t>(3)</w:t>
            </w:r>
          </w:p>
        </w:tc>
        <w:tc>
          <w:tcPr>
            <w:tcW w:w="3480" w:type="dxa"/>
            <w:vAlign w:val="bottom"/>
          </w:tcPr>
          <w:p>
            <w:pPr>
              <w:jc w:val="right"/>
              <w:ind w:right="528"/>
              <w:spacing w:after="0"/>
              <w:rPr>
                <w:sz w:val="20"/>
                <w:szCs w:val="20"/>
                <w:color w:val="auto"/>
              </w:rPr>
            </w:pPr>
            <w:r>
              <w:rPr>
                <w:rFonts w:ascii="Arial" w:cs="Arial" w:eastAsia="Arial" w:hAnsi="Arial"/>
                <w:sz w:val="14"/>
                <w:szCs w:val="14"/>
                <w:color w:val="auto"/>
              </w:rPr>
              <w:t>34,667</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350,720</w:t>
            </w:r>
          </w:p>
        </w:tc>
        <w:tc>
          <w:tcPr>
            <w:tcW w:w="160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385,387</w:t>
            </w: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Chenming C. Hu</w:t>
            </w:r>
            <w:r>
              <w:rPr>
                <w:rFonts w:ascii="Arial" w:cs="Arial" w:eastAsia="Arial" w:hAnsi="Arial"/>
                <w:sz w:val="9"/>
                <w:szCs w:val="9"/>
                <w:b w:val="1"/>
                <w:bCs w:val="1"/>
                <w:color w:val="auto"/>
              </w:rPr>
              <w:t>(3)</w:t>
            </w:r>
          </w:p>
        </w:tc>
        <w:tc>
          <w:tcPr>
            <w:tcW w:w="3480" w:type="dxa"/>
            <w:vAlign w:val="bottom"/>
          </w:tcPr>
          <w:p>
            <w:pPr>
              <w:jc w:val="right"/>
              <w:ind w:right="528"/>
              <w:spacing w:after="0"/>
              <w:rPr>
                <w:sz w:val="20"/>
                <w:szCs w:val="20"/>
                <w:color w:val="auto"/>
              </w:rPr>
            </w:pPr>
            <w:r>
              <w:rPr>
                <w:rFonts w:ascii="Arial" w:cs="Arial" w:eastAsia="Arial" w:hAnsi="Arial"/>
                <w:sz w:val="14"/>
                <w:szCs w:val="14"/>
                <w:color w:val="auto"/>
              </w:rPr>
              <w:t>21,438</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21,438</w:t>
            </w:r>
          </w:p>
        </w:tc>
        <w:tc>
          <w:tcPr>
            <w:tcW w:w="0" w:type="dxa"/>
            <w:vAlign w:val="bottom"/>
          </w:tcPr>
          <w:p>
            <w:pPr>
              <w:spacing w:after="0"/>
              <w:rPr>
                <w:sz w:val="1"/>
                <w:szCs w:val="1"/>
                <w:color w:val="auto"/>
              </w:rPr>
            </w:pPr>
          </w:p>
        </w:tc>
      </w:tr>
      <w:tr>
        <w:trPr>
          <w:trHeight w:val="49"/>
        </w:trPr>
        <w:tc>
          <w:tcPr>
            <w:tcW w:w="37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Tracy Liu</w:t>
            </w:r>
            <w:r>
              <w:rPr>
                <w:rFonts w:ascii="Arial" w:cs="Arial" w:eastAsia="Arial" w:hAnsi="Arial"/>
                <w:sz w:val="9"/>
                <w:szCs w:val="9"/>
                <w:b w:val="1"/>
                <w:bCs w:val="1"/>
                <w:color w:val="auto"/>
              </w:rPr>
              <w:t>(3)</w:t>
            </w:r>
          </w:p>
        </w:tc>
        <w:tc>
          <w:tcPr>
            <w:tcW w:w="3480" w:type="dxa"/>
            <w:vAlign w:val="bottom"/>
          </w:tcPr>
          <w:p>
            <w:pPr>
              <w:jc w:val="right"/>
              <w:ind w:right="528"/>
              <w:spacing w:after="0"/>
              <w:rPr>
                <w:sz w:val="20"/>
                <w:szCs w:val="20"/>
                <w:color w:val="auto"/>
              </w:rPr>
            </w:pPr>
            <w:r>
              <w:rPr>
                <w:rFonts w:ascii="Arial" w:cs="Arial" w:eastAsia="Arial" w:hAnsi="Arial"/>
                <w:sz w:val="14"/>
                <w:szCs w:val="14"/>
                <w:color w:val="auto"/>
              </w:rPr>
              <w:t>32,500</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350,720</w:t>
            </w:r>
          </w:p>
        </w:tc>
        <w:tc>
          <w:tcPr>
            <w:tcW w:w="160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383,220</w:t>
            </w: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Charlie Pappis</w:t>
            </w:r>
            <w:r>
              <w:rPr>
                <w:rFonts w:ascii="Arial" w:cs="Arial" w:eastAsia="Arial" w:hAnsi="Arial"/>
                <w:sz w:val="9"/>
                <w:szCs w:val="9"/>
                <w:b w:val="1"/>
                <w:bCs w:val="1"/>
                <w:color w:val="auto"/>
              </w:rPr>
              <w:t>(3)</w:t>
            </w:r>
          </w:p>
        </w:tc>
        <w:tc>
          <w:tcPr>
            <w:tcW w:w="3480" w:type="dxa"/>
            <w:vAlign w:val="bottom"/>
          </w:tcPr>
          <w:p>
            <w:pPr>
              <w:jc w:val="right"/>
              <w:ind w:right="528"/>
              <w:spacing w:after="0"/>
              <w:rPr>
                <w:sz w:val="20"/>
                <w:szCs w:val="20"/>
                <w:color w:val="auto"/>
              </w:rPr>
            </w:pPr>
            <w:r>
              <w:rPr>
                <w:rFonts w:ascii="Arial" w:cs="Arial" w:eastAsia="Arial" w:hAnsi="Arial"/>
                <w:sz w:val="14"/>
                <w:szCs w:val="14"/>
                <w:color w:val="auto"/>
              </w:rPr>
              <w:t>12,000</w:t>
            </w:r>
          </w:p>
        </w:tc>
        <w:tc>
          <w:tcPr>
            <w:tcW w:w="1300" w:type="dxa"/>
            <w:vAlign w:val="bottom"/>
          </w:tcPr>
          <w:p>
            <w:pPr>
              <w:jc w:val="right"/>
              <w:ind w:right="488"/>
              <w:spacing w:after="0"/>
              <w:rPr>
                <w:sz w:val="20"/>
                <w:szCs w:val="20"/>
                <w:color w:val="auto"/>
              </w:rPr>
            </w:pPr>
            <w:r>
              <w:rPr>
                <w:rFonts w:ascii="Arial" w:cs="Arial" w:eastAsia="Arial" w:hAnsi="Arial"/>
                <w:sz w:val="14"/>
                <w:szCs w:val="14"/>
                <w:color w:val="auto"/>
              </w:rPr>
              <w:t>556,929</w:t>
            </w:r>
          </w:p>
        </w:tc>
        <w:tc>
          <w:tcPr>
            <w:tcW w:w="1600" w:type="dxa"/>
            <w:vAlign w:val="bottom"/>
          </w:tcPr>
          <w:p>
            <w:pPr>
              <w:ind w:left="7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568,929</w:t>
            </w:r>
          </w:p>
        </w:tc>
        <w:tc>
          <w:tcPr>
            <w:tcW w:w="0" w:type="dxa"/>
            <w:vAlign w:val="bottom"/>
          </w:tcPr>
          <w:p>
            <w:pPr>
              <w:spacing w:after="0"/>
              <w:rPr>
                <w:sz w:val="1"/>
                <w:szCs w:val="1"/>
                <w:color w:val="auto"/>
              </w:rPr>
            </w:pPr>
          </w:p>
        </w:tc>
      </w:tr>
      <w:tr>
        <w:trPr>
          <w:trHeight w:val="48"/>
        </w:trPr>
        <w:tc>
          <w:tcPr>
            <w:tcW w:w="3740" w:type="dxa"/>
            <w:vAlign w:val="bottom"/>
            <w:tcBorders>
              <w:bottom w:val="single" w:sz="8" w:color="0079C1"/>
            </w:tcBorders>
          </w:tcPr>
          <w:p>
            <w:pPr>
              <w:spacing w:after="0"/>
              <w:rPr>
                <w:sz w:val="4"/>
                <w:szCs w:val="4"/>
                <w:color w:val="auto"/>
              </w:rPr>
            </w:pPr>
          </w:p>
        </w:tc>
        <w:tc>
          <w:tcPr>
            <w:tcW w:w="3480" w:type="dxa"/>
            <w:vAlign w:val="bottom"/>
            <w:tcBorders>
              <w:bottom w:val="single" w:sz="8" w:color="0079C1"/>
            </w:tcBorders>
          </w:tcPr>
          <w:p>
            <w:pPr>
              <w:spacing w:after="0"/>
              <w:rPr>
                <w:sz w:val="4"/>
                <w:szCs w:val="4"/>
                <w:color w:val="auto"/>
              </w:rPr>
            </w:pPr>
          </w:p>
        </w:tc>
        <w:tc>
          <w:tcPr>
            <w:tcW w:w="1300" w:type="dxa"/>
            <w:vAlign w:val="bottom"/>
            <w:tcBorders>
              <w:bottom w:val="single" w:sz="8" w:color="0079C1"/>
            </w:tcBorders>
          </w:tcPr>
          <w:p>
            <w:pPr>
              <w:spacing w:after="0"/>
              <w:rPr>
                <w:sz w:val="4"/>
                <w:szCs w:val="4"/>
                <w:color w:val="auto"/>
              </w:rPr>
            </w:pPr>
          </w:p>
        </w:tc>
        <w:tc>
          <w:tcPr>
            <w:tcW w:w="1600" w:type="dxa"/>
            <w:vAlign w:val="bottom"/>
            <w:tcBorders>
              <w:bottom w:val="single" w:sz="8" w:color="0079C1"/>
            </w:tcBorders>
          </w:tcPr>
          <w:p>
            <w:pPr>
              <w:spacing w:after="0"/>
              <w:rPr>
                <w:sz w:val="4"/>
                <w:szCs w:val="4"/>
                <w:color w:val="auto"/>
              </w:rPr>
            </w:pPr>
          </w:p>
        </w:tc>
        <w:tc>
          <w:tcPr>
            <w:tcW w:w="1120" w:type="dxa"/>
            <w:vAlign w:val="bottom"/>
            <w:tcBorders>
              <w:bottom w:val="single" w:sz="8" w:color="0079C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180" w:hanging="252"/>
        <w:spacing w:after="0" w:line="343" w:lineRule="auto"/>
        <w:tabs>
          <w:tab w:leader="none" w:pos="258"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annual cash retainers paid in arrears to, or earned by, our non-employee directors in 2025. Where a director joined or departed the Board mid-year, or a director’s committee assignments changed during 2025, the applicable retainers were prorated to reflect the director's actual period of service. Due to a change in director payment schedule, certain fees will be paid in 2026 for 2025 service.</w:t>
      </w:r>
    </w:p>
    <w:p>
      <w:pPr>
        <w:spacing w:after="0" w:line="11" w:lineRule="exact"/>
        <w:rPr>
          <w:rFonts w:ascii="Arial" w:cs="Arial" w:eastAsia="Arial" w:hAnsi="Arial"/>
          <w:sz w:val="14"/>
          <w:szCs w:val="14"/>
          <w:color w:val="auto"/>
        </w:rPr>
      </w:pPr>
    </w:p>
    <w:p>
      <w:pPr>
        <w:ind w:left="260" w:right="40" w:hanging="252"/>
        <w:spacing w:after="0" w:line="327" w:lineRule="auto"/>
        <w:tabs>
          <w:tab w:leader="none" w:pos="25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shown represent the aggregate grant date fair value, determined in accordance with Financial Accounting Standards Board Accounting Standards Codification Topic 718, Compensation—Stock Compensation, excluding the effect of estimated forfeitures, of non-qualified stock options granted (i) to all directors (other than Dr. Hu, whose board service concluded at the 2025 Annual Meeting of Stockholders on June 12, 2025) on August 12, 2025 to acquire, subject to vesting, a total of 20,000 shares and (ii) to Mr. Pappis on March 15, 2025, to acquire, subject to vesting, a total of 10,000 shares. Each Annual Option vests, subject to continued board service, in full immediately prior to the 2026 Annual Meeting. The option granted to Mr. Pappis vested, subject to continued board service, in full immediately prior to the 2025 Annual Meeting of Stockholders. For assumptions made in valuing these awards and related information, see Note 2 to our consolidated financial statements included in our Annual Report on Form 10-K for the fiscal year ended December 31, 2025. As of December 31, 2025, (a) Dr. Dun held unexercised stock options for 32,500 shares of Class A common stock, (b) Dr. Hu held unexercised stock options for 145,000 shares of Class A common stock, (c) Ms. Liu held unexercised stock options for 32,500 shares of Class A common stock, and (d) Mr. Pappis unexercised stock options for 20,000 shares of Class A common stock.</w:t>
      </w:r>
    </w:p>
    <w:p>
      <w:pPr>
        <w:spacing w:after="0" w:line="23" w:lineRule="exact"/>
        <w:rPr>
          <w:rFonts w:ascii="Arial" w:cs="Arial" w:eastAsia="Arial" w:hAnsi="Arial"/>
          <w:sz w:val="14"/>
          <w:szCs w:val="14"/>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Chair of a board committee during 2025.</w:t>
      </w:r>
    </w:p>
    <w:p>
      <w:pPr>
        <w:spacing w:after="0" w:line="212" w:lineRule="exact"/>
        <w:rPr>
          <w:sz w:val="20"/>
          <w:szCs w:val="20"/>
          <w:color w:val="auto"/>
        </w:rPr>
      </w:pPr>
    </w:p>
    <w:p>
      <w:pPr>
        <w:ind w:right="160"/>
        <w:spacing w:after="0" w:line="346" w:lineRule="auto"/>
        <w:rPr>
          <w:sz w:val="20"/>
          <w:szCs w:val="20"/>
          <w:color w:val="auto"/>
        </w:rPr>
      </w:pPr>
      <w:r>
        <w:rPr>
          <w:rFonts w:ascii="Arial" w:cs="Arial" w:eastAsia="Arial" w:hAnsi="Arial"/>
          <w:sz w:val="16"/>
          <w:szCs w:val="16"/>
          <w:color w:val="auto"/>
        </w:rPr>
        <w:t>Under our Restated Insider Trading Policy, directors,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Director Indemnification Agreements</w:t>
      </w:r>
    </w:p>
    <w:p>
      <w:pPr>
        <w:spacing w:after="0" w:line="209" w:lineRule="exact"/>
        <w:rPr>
          <w:sz w:val="20"/>
          <w:szCs w:val="20"/>
          <w:color w:val="auto"/>
        </w:rPr>
      </w:pPr>
    </w:p>
    <w:p>
      <w:pPr>
        <w:ind w:right="360"/>
        <w:spacing w:after="0" w:line="392" w:lineRule="auto"/>
        <w:rPr>
          <w:sz w:val="20"/>
          <w:szCs w:val="20"/>
          <w:color w:val="auto"/>
        </w:rPr>
      </w:pPr>
      <w:r>
        <w:rPr>
          <w:rFonts w:ascii="Arial" w:cs="Arial" w:eastAsia="Arial" w:hAnsi="Arial"/>
          <w:sz w:val="16"/>
          <w:szCs w:val="16"/>
          <w:color w:val="auto"/>
        </w:rPr>
        <w:t>We have entered into indemnification agreements with our directors. Please see “Certain Relationships and Related-Person Transactions—Director and Executive Compensation and Indemnification Agreements” above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Proposal 1</w:t>
      </w:r>
    </w:p>
    <w:p>
      <w:pPr>
        <w:spacing w:after="0" w:line="80" w:lineRule="exact"/>
        <w:rPr>
          <w:sz w:val="20"/>
          <w:szCs w:val="20"/>
          <w:color w:val="auto"/>
        </w:rPr>
      </w:pPr>
    </w:p>
    <w:p>
      <w:pPr>
        <w:spacing w:after="0"/>
        <w:rPr>
          <w:sz w:val="20"/>
          <w:szCs w:val="20"/>
          <w:color w:val="auto"/>
        </w:rPr>
      </w:pPr>
      <w:r>
        <w:rPr>
          <w:rFonts w:ascii="Arial" w:cs="Arial" w:eastAsia="Arial" w:hAnsi="Arial"/>
          <w:sz w:val="58"/>
          <w:szCs w:val="58"/>
          <w:color w:val="auto"/>
        </w:rPr>
        <w:t>Election of Directors</w:t>
      </w:r>
    </w:p>
    <w:p>
      <w:pPr>
        <w:spacing w:after="0" w:line="394"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auto"/>
        </w:rPr>
        <w:t>At the Annual Meeting, stockholders will elect the entire board of directors to serve for the ensuing year and until their successors are elected and qualified. The board has designated as nominees for election the four persons named below, all of whom currently serve as directors. Shares of common stock that are voted as recommended by the board will be voted in favor of the election as directors of the nominees named below.</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Director Qualifications</w:t>
      </w:r>
    </w:p>
    <w:p>
      <w:pPr>
        <w:spacing w:after="0" w:line="209" w:lineRule="exact"/>
        <w:rPr>
          <w:sz w:val="20"/>
          <w:szCs w:val="20"/>
          <w:color w:val="auto"/>
        </w:rPr>
      </w:pPr>
    </w:p>
    <w:p>
      <w:pPr>
        <w:ind w:right="120"/>
        <w:spacing w:after="0" w:line="344" w:lineRule="auto"/>
        <w:rPr>
          <w:sz w:val="20"/>
          <w:szCs w:val="20"/>
          <w:color w:val="auto"/>
        </w:rPr>
      </w:pPr>
      <w:r>
        <w:rPr>
          <w:rFonts w:ascii="Arial" w:cs="Arial" w:eastAsia="Arial" w:hAnsi="Arial"/>
          <w:sz w:val="16"/>
          <w:szCs w:val="16"/>
          <w:color w:val="auto"/>
        </w:rPr>
        <w:t>The board of directors has determined that, as a whole, it must have the right mix of characteristics, skills and diversity to provide effective oversight of our Company. The nominating and governance committee has adopted Qualifications for Nomination to the board, a copy of which is posted on our website at https://ir.acmrcsh.com/corporate-governance/highlights.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139"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 of the highest ethical character and share our values as reflected in our Code of Conduct;</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 highly accomplished in his or her field, with superior credentials and recognition;</w:t>
      </w:r>
    </w:p>
    <w:p>
      <w:pPr>
        <w:spacing w:after="0" w:line="126" w:lineRule="exact"/>
        <w:rPr>
          <w:rFonts w:ascii="Arial" w:cs="Arial" w:eastAsia="Arial" w:hAnsi="Arial"/>
          <w:sz w:val="16"/>
          <w:szCs w:val="16"/>
          <w:color w:val="auto"/>
        </w:rPr>
      </w:pPr>
    </w:p>
    <w:p>
      <w:pPr>
        <w:ind w:left="260" w:right="180" w:hanging="252"/>
        <w:spacing w:after="0" w:line="369" w:lineRule="auto"/>
        <w:tabs>
          <w:tab w:leader="none" w:pos="2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have sound business judgment, be able to work effectively with others, have sufficient time to devote to our affairs, and be free from conflicts of interest; and</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 independent of any particular constituency and able to represent all of our stockholders.</w:t>
      </w:r>
    </w:p>
    <w:p>
      <w:pPr>
        <w:spacing w:after="0" w:line="248" w:lineRule="exact"/>
        <w:rPr>
          <w:sz w:val="20"/>
          <w:szCs w:val="20"/>
          <w:color w:val="auto"/>
        </w:rPr>
      </w:pPr>
    </w:p>
    <w:p>
      <w:pPr>
        <w:ind w:right="160"/>
        <w:spacing w:after="0" w:line="344" w:lineRule="auto"/>
        <w:rPr>
          <w:sz w:val="20"/>
          <w:szCs w:val="20"/>
          <w:color w:val="auto"/>
        </w:rPr>
      </w:pPr>
      <w:r>
        <w:rPr>
          <w:rFonts w:ascii="Arial" w:cs="Arial" w:eastAsia="Arial" w:hAnsi="Arial"/>
          <w:sz w:val="16"/>
          <w:szCs w:val="16"/>
          <w:color w:val="auto"/>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Director Skills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w:t>
            </w:r>
          </w:p>
        </w:tc>
        <w:tc>
          <w:tcPr>
            <w:tcW w:w="2580" w:type="dxa"/>
            <w:vAlign w:val="bottom"/>
            <w:shd w:val="clear" w:color="auto" w:fill="0079C1"/>
          </w:tcPr>
          <w:p>
            <w:pPr>
              <w:jc w:val="center"/>
              <w:ind w:left="956"/>
              <w:spacing w:after="0"/>
              <w:rPr>
                <w:sz w:val="20"/>
                <w:szCs w:val="20"/>
                <w:color w:val="auto"/>
              </w:rPr>
            </w:pPr>
            <w:r>
              <w:rPr>
                <w:rFonts w:ascii="Arial" w:cs="Arial" w:eastAsia="Arial" w:hAnsi="Arial"/>
                <w:sz w:val="14"/>
                <w:szCs w:val="14"/>
                <w:b w:val="1"/>
                <w:bCs w:val="1"/>
                <w:color w:val="FFFFFF"/>
              </w:rPr>
              <w:t>Finance</w:t>
            </w:r>
          </w:p>
        </w:tc>
        <w:tc>
          <w:tcPr>
            <w:tcW w:w="144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Global</w:t>
            </w:r>
          </w:p>
        </w:tc>
        <w:tc>
          <w:tcPr>
            <w:tcW w:w="148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Industry</w:t>
            </w:r>
          </w:p>
        </w:tc>
        <w:tc>
          <w:tcPr>
            <w:tcW w:w="154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Innovation</w:t>
            </w:r>
          </w:p>
        </w:tc>
        <w:tc>
          <w:tcPr>
            <w:tcW w:w="1500" w:type="dxa"/>
            <w:vAlign w:val="bottom"/>
            <w:shd w:val="clear" w:color="auto" w:fill="0079C1"/>
          </w:tcPr>
          <w:p>
            <w:pPr>
              <w:jc w:val="center"/>
              <w:spacing w:after="0"/>
              <w:rPr>
                <w:sz w:val="20"/>
                <w:szCs w:val="20"/>
                <w:color w:val="auto"/>
              </w:rPr>
            </w:pPr>
            <w:r>
              <w:rPr>
                <w:rFonts w:ascii="Arial" w:cs="Arial" w:eastAsia="Arial" w:hAnsi="Arial"/>
                <w:sz w:val="14"/>
                <w:szCs w:val="14"/>
                <w:b w:val="1"/>
                <w:bCs w:val="1"/>
                <w:color w:val="FFFFFF"/>
              </w:rPr>
              <w:t>Leadership</w:t>
            </w:r>
          </w:p>
        </w:tc>
      </w:tr>
      <w:tr>
        <w:trPr>
          <w:trHeight w:val="108"/>
        </w:trPr>
        <w:tc>
          <w:tcPr>
            <w:tcW w:w="2700" w:type="dxa"/>
            <w:vAlign w:val="bottom"/>
            <w:shd w:val="clear" w:color="auto" w:fill="0079C1"/>
          </w:tcPr>
          <w:p>
            <w:pPr>
              <w:spacing w:after="0"/>
              <w:rPr>
                <w:sz w:val="9"/>
                <w:szCs w:val="9"/>
                <w:color w:val="auto"/>
              </w:rPr>
            </w:pPr>
          </w:p>
        </w:tc>
        <w:tc>
          <w:tcPr>
            <w:tcW w:w="2580" w:type="dxa"/>
            <w:vAlign w:val="bottom"/>
            <w:shd w:val="clear" w:color="auto" w:fill="0079C1"/>
          </w:tcPr>
          <w:p>
            <w:pPr>
              <w:spacing w:after="0"/>
              <w:rPr>
                <w:sz w:val="9"/>
                <w:szCs w:val="9"/>
                <w:color w:val="auto"/>
              </w:rPr>
            </w:pPr>
          </w:p>
        </w:tc>
        <w:tc>
          <w:tcPr>
            <w:tcW w:w="1440" w:type="dxa"/>
            <w:vAlign w:val="bottom"/>
            <w:shd w:val="clear" w:color="auto" w:fill="0079C1"/>
          </w:tcPr>
          <w:p>
            <w:pPr>
              <w:spacing w:after="0"/>
              <w:rPr>
                <w:sz w:val="9"/>
                <w:szCs w:val="9"/>
                <w:color w:val="auto"/>
              </w:rPr>
            </w:pPr>
          </w:p>
        </w:tc>
        <w:tc>
          <w:tcPr>
            <w:tcW w:w="1480" w:type="dxa"/>
            <w:vAlign w:val="bottom"/>
            <w:shd w:val="clear" w:color="auto" w:fill="0079C1"/>
          </w:tcPr>
          <w:p>
            <w:pPr>
              <w:spacing w:after="0"/>
              <w:rPr>
                <w:sz w:val="9"/>
                <w:szCs w:val="9"/>
                <w:color w:val="auto"/>
              </w:rPr>
            </w:pPr>
          </w:p>
        </w:tc>
        <w:tc>
          <w:tcPr>
            <w:tcW w:w="1540" w:type="dxa"/>
            <w:vAlign w:val="bottom"/>
            <w:shd w:val="clear" w:color="auto" w:fill="0079C1"/>
          </w:tcPr>
          <w:p>
            <w:pPr>
              <w:spacing w:after="0"/>
              <w:rPr>
                <w:sz w:val="9"/>
                <w:szCs w:val="9"/>
                <w:color w:val="auto"/>
              </w:rPr>
            </w:pPr>
          </w:p>
        </w:tc>
        <w:tc>
          <w:tcPr>
            <w:tcW w:w="1500" w:type="dxa"/>
            <w:vAlign w:val="bottom"/>
            <w:shd w:val="clear" w:color="auto" w:fill="0079C1"/>
          </w:tcPr>
          <w:p>
            <w:pPr>
              <w:spacing w:after="0"/>
              <w:rPr>
                <w:sz w:val="9"/>
                <w:szCs w:val="9"/>
                <w:color w:val="auto"/>
              </w:rPr>
            </w:pPr>
          </w:p>
        </w:tc>
      </w:tr>
      <w:tr>
        <w:trPr>
          <w:trHeight w:val="228"/>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David H. Wang</w:t>
            </w:r>
          </w:p>
        </w:tc>
        <w:tc>
          <w:tcPr>
            <w:tcW w:w="25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8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4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r>
      <w:tr>
        <w:trPr>
          <w:trHeight w:val="43"/>
        </w:trPr>
        <w:tc>
          <w:tcPr>
            <w:tcW w:w="27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1"/>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Haiping Dun</w:t>
            </w:r>
          </w:p>
        </w:tc>
        <w:tc>
          <w:tcPr>
            <w:tcW w:w="25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8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4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r>
      <w:tr>
        <w:trPr>
          <w:trHeight w:val="43"/>
        </w:trPr>
        <w:tc>
          <w:tcPr>
            <w:tcW w:w="27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1"/>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Charles Pappis</w:t>
            </w:r>
          </w:p>
        </w:tc>
        <w:tc>
          <w:tcPr>
            <w:tcW w:w="2580" w:type="dxa"/>
            <w:vAlign w:val="bottom"/>
          </w:tcPr>
          <w:p>
            <w:pPr>
              <w:jc w:val="center"/>
              <w:ind w:left="976"/>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8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4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c>
          <w:tcPr>
            <w:tcW w:w="15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r>
      <w:tr>
        <w:trPr>
          <w:trHeight w:val="43"/>
        </w:trPr>
        <w:tc>
          <w:tcPr>
            <w:tcW w:w="27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1"/>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Tracy Liu</w:t>
            </w:r>
          </w:p>
        </w:tc>
        <w:tc>
          <w:tcPr>
            <w:tcW w:w="2580" w:type="dxa"/>
            <w:vAlign w:val="bottom"/>
          </w:tcPr>
          <w:p>
            <w:pPr>
              <w:jc w:val="center"/>
              <w:ind w:left="976"/>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40" w:type="dxa"/>
            <w:vAlign w:val="bottom"/>
          </w:tcPr>
          <w:p>
            <w:pPr>
              <w:jc w:val="center"/>
              <w:spacing w:after="0"/>
              <w:rPr>
                <w:sz w:val="20"/>
                <w:szCs w:val="20"/>
                <w:color w:val="auto"/>
              </w:rPr>
            </w:pPr>
            <w:r>
              <w:rPr>
                <w:rFonts w:ascii="Wingdings" w:cs="Wingdings" w:eastAsia="Wingdings" w:hAnsi="Wingdings"/>
                <w:sz w:val="18"/>
                <w:szCs w:val="18"/>
                <w:b w:val="1"/>
                <w:bCs w:val="1"/>
                <w:color w:val="auto"/>
                <w:w w:val="88"/>
                <w:shd w:val="clear" w:color="auto" w:fill="0079C1"/>
              </w:rPr>
              <w:t>l</w:t>
            </w: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Wingdings" w:cs="Wingdings" w:eastAsia="Wingdings" w:hAnsi="Wingdings"/>
                <w:sz w:val="18"/>
                <w:szCs w:val="18"/>
                <w:b w:val="1"/>
                <w:bCs w:val="1"/>
                <w:color w:val="auto"/>
                <w:shd w:val="clear" w:color="auto" w:fill="0079C1"/>
              </w:rPr>
              <w:t>l</w:t>
            </w:r>
          </w:p>
        </w:tc>
      </w:tr>
      <w:tr>
        <w:trPr>
          <w:trHeight w:val="43"/>
        </w:trPr>
        <w:tc>
          <w:tcPr>
            <w:tcW w:w="2700" w:type="dxa"/>
            <w:vAlign w:val="bottom"/>
            <w:tcBorders>
              <w:bottom w:val="single" w:sz="8" w:color="0079C1"/>
            </w:tcBorders>
          </w:tcPr>
          <w:p>
            <w:pPr>
              <w:spacing w:after="0"/>
              <w:rPr>
                <w:sz w:val="3"/>
                <w:szCs w:val="3"/>
                <w:color w:val="auto"/>
              </w:rPr>
            </w:pPr>
          </w:p>
        </w:tc>
        <w:tc>
          <w:tcPr>
            <w:tcW w:w="2580" w:type="dxa"/>
            <w:vAlign w:val="bottom"/>
            <w:tcBorders>
              <w:bottom w:val="single" w:sz="8" w:color="0079C1"/>
            </w:tcBorders>
          </w:tcPr>
          <w:p>
            <w:pPr>
              <w:spacing w:after="0"/>
              <w:rPr>
                <w:sz w:val="3"/>
                <w:szCs w:val="3"/>
                <w:color w:val="auto"/>
              </w:rPr>
            </w:pPr>
          </w:p>
        </w:tc>
        <w:tc>
          <w:tcPr>
            <w:tcW w:w="1440" w:type="dxa"/>
            <w:vAlign w:val="bottom"/>
            <w:tcBorders>
              <w:bottom w:val="single" w:sz="8" w:color="0079C1"/>
            </w:tcBorders>
          </w:tcPr>
          <w:p>
            <w:pPr>
              <w:spacing w:after="0"/>
              <w:rPr>
                <w:sz w:val="3"/>
                <w:szCs w:val="3"/>
                <w:color w:val="auto"/>
              </w:rPr>
            </w:pPr>
          </w:p>
        </w:tc>
        <w:tc>
          <w:tcPr>
            <w:tcW w:w="1480" w:type="dxa"/>
            <w:vAlign w:val="bottom"/>
            <w:tcBorders>
              <w:bottom w:val="single" w:sz="8" w:color="0079C1"/>
            </w:tcBorders>
          </w:tcPr>
          <w:p>
            <w:pPr>
              <w:spacing w:after="0"/>
              <w:rPr>
                <w:sz w:val="3"/>
                <w:szCs w:val="3"/>
                <w:color w:val="auto"/>
              </w:rPr>
            </w:pPr>
          </w:p>
        </w:tc>
        <w:tc>
          <w:tcPr>
            <w:tcW w:w="1540" w:type="dxa"/>
            <w:vAlign w:val="bottom"/>
            <w:tcBorders>
              <w:bottom w:val="single" w:sz="8" w:color="0079C1"/>
            </w:tcBorders>
          </w:tcPr>
          <w:p>
            <w:pPr>
              <w:spacing w:after="0"/>
              <w:rPr>
                <w:sz w:val="3"/>
                <w:szCs w:val="3"/>
                <w:color w:val="auto"/>
              </w:rPr>
            </w:pPr>
          </w:p>
        </w:tc>
        <w:tc>
          <w:tcPr>
            <w:tcW w:w="1500" w:type="dxa"/>
            <w:vAlign w:val="bottom"/>
            <w:tcBorders>
              <w:bottom w:val="single" w:sz="8" w:color="0079C1"/>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15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Identifying and Evaluating Nominees for Directors</w:t>
      </w:r>
    </w:p>
    <w:p>
      <w:pPr>
        <w:spacing w:after="0" w:line="20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color w:val="auto"/>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bylaws include a procedure that stockholders must follow in order to nominate a person for election as a director at an annual meeting of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Bylaws require that timely notice of the nomination in proper written form, including all required information, be provided to the Corporate Secretary.</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Information Concerning Nominees for Election as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appearing in the following table sets forth, for each nominee for election as a director, as of April 13, 2026:</w:t>
      </w:r>
    </w:p>
    <w:p>
      <w:pPr>
        <w:spacing w:after="0" w:line="248"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nominee’s professional experience for at least the past five years;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year in which the nominee first became one of our directors;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committee of the board of directors on which the nominee currently serves;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nominee’s age as of the record date for the Annual Meeting;</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relevant skills the nominee possesses that qualify him or her for nomination to the board; and</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directorships held by each nominee presently and at any time during the past five years at any public company or registered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158115</wp:posOffset>
            </wp:positionV>
            <wp:extent cx="857250" cy="1148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0" cy="1148715"/>
                    </a:xfrm>
                    <a:prstGeom prst="rect">
                      <a:avLst/>
                    </a:prstGeom>
                    <a:noFill/>
                  </pic:spPr>
                </pic:pic>
              </a:graphicData>
            </a:graphic>
          </wp:anchor>
        </w:drawing>
      </w: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0079C1"/>
        </w:rPr>
        <w:t>Professional Experience</w:t>
      </w:r>
    </w:p>
    <w:p>
      <w:pPr>
        <w:spacing w:after="0" w:line="113" w:lineRule="exact"/>
        <w:rPr>
          <w:sz w:val="20"/>
          <w:szCs w:val="20"/>
          <w:color w:val="auto"/>
        </w:rPr>
      </w:pPr>
    </w:p>
    <w:p>
      <w:pPr>
        <w:ind w:left="3260" w:hanging="210"/>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Founder, Chief Executive Officer, President and one of our directors since 1998.</w:t>
      </w:r>
    </w:p>
    <w:p>
      <w:pPr>
        <w:spacing w:after="0" w:line="126" w:lineRule="exact"/>
        <w:rPr>
          <w:rFonts w:ascii="Arial" w:cs="Arial" w:eastAsia="Arial" w:hAnsi="Arial"/>
          <w:sz w:val="16"/>
          <w:szCs w:val="16"/>
          <w:color w:val="auto"/>
        </w:rPr>
      </w:pPr>
    </w:p>
    <w:p>
      <w:pPr>
        <w:ind w:left="3260" w:hanging="210"/>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Inventor of stress-free Cu polishing technology.</w:t>
      </w:r>
    </w:p>
    <w:p>
      <w:pPr>
        <w:spacing w:after="0" w:line="126" w:lineRule="exact"/>
        <w:rPr>
          <w:rFonts w:ascii="Arial" w:cs="Arial" w:eastAsia="Arial" w:hAnsi="Arial"/>
          <w:sz w:val="16"/>
          <w:szCs w:val="16"/>
          <w:color w:val="auto"/>
        </w:rPr>
      </w:pPr>
    </w:p>
    <w:p>
      <w:pPr>
        <w:ind w:left="3260" w:hanging="210"/>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Holds more than 100 patents in semiconductor equipment and process technology.</w:t>
      </w:r>
    </w:p>
    <w:p>
      <w:pPr>
        <w:spacing w:after="0" w:line="221"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0079C1"/>
        </w:rPr>
        <w:t>Education</w:t>
      </w:r>
    </w:p>
    <w:p>
      <w:pPr>
        <w:spacing w:after="0" w:line="113" w:lineRule="exact"/>
        <w:rPr>
          <w:sz w:val="20"/>
          <w:szCs w:val="20"/>
          <w:color w:val="auto"/>
        </w:rPr>
      </w:pPr>
    </w:p>
    <w:p>
      <w:pPr>
        <w:ind w:left="3300" w:right="40" w:hanging="250"/>
        <w:spacing w:after="0" w:line="324" w:lineRule="auto"/>
        <w:tabs>
          <w:tab w:leader="none" w:pos="32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Received a Ph.D. and Master of Engineering in Precision Engineering from Osaka University and a Bachelor of Science in Precision Instruments from Tsinghua University.</w:t>
      </w:r>
    </w:p>
    <w:p>
      <w:pPr>
        <w:sectPr>
          <w:pgSz w:w="11900" w:h="16838" w:orient="portrait"/>
          <w:cols w:equalWidth="0" w:num="1">
            <w:col w:w="11240"/>
          </w:cols>
          <w:pgMar w:left="320" w:top="130" w:right="339" w:bottom="1440" w:gutter="0" w:footer="0" w:header="0"/>
        </w:sectPr>
      </w:pPr>
    </w:p>
    <w:p>
      <w:pPr>
        <w:ind w:left="20"/>
        <w:spacing w:after="0"/>
        <w:rPr>
          <w:sz w:val="20"/>
          <w:szCs w:val="20"/>
          <w:color w:val="auto"/>
        </w:rPr>
      </w:pPr>
      <w:r>
        <w:rPr>
          <w:rFonts w:ascii="Arial" w:cs="Arial" w:eastAsia="Arial" w:hAnsi="Arial"/>
          <w:sz w:val="32"/>
          <w:szCs w:val="32"/>
          <w:b w:val="1"/>
          <w:bCs w:val="1"/>
          <w:color w:val="0079C1"/>
        </w:rPr>
        <w:t>David H. Wang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Relevant Skills</w:t>
      </w:r>
    </w:p>
    <w:p>
      <w:pPr>
        <w:spacing w:after="0" w:line="113" w:lineRule="exact"/>
        <w:rPr>
          <w:sz w:val="20"/>
          <w:szCs w:val="20"/>
          <w:color w:val="auto"/>
        </w:rPr>
      </w:pPr>
    </w:p>
    <w:p>
      <w:pPr>
        <w:sectPr>
          <w:pgSz w:w="11900" w:h="16838" w:orient="portrait"/>
          <w:cols w:equalWidth="0" w:num="2">
            <w:col w:w="2340" w:space="720"/>
            <w:col w:w="8180"/>
          </w:cols>
          <w:pgMar w:left="320" w:top="130"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0079C1"/>
              </w:rPr>
              <w:t>Age: 64</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880" w:type="dxa"/>
            <w:vAlign w:val="bottom"/>
          </w:tcPr>
          <w:p>
            <w:pPr>
              <w:ind w:left="80"/>
              <w:spacing w:after="0"/>
              <w:rPr>
                <w:sz w:val="20"/>
                <w:szCs w:val="20"/>
                <w:color w:val="auto"/>
              </w:rPr>
            </w:pPr>
            <w:r>
              <w:rPr>
                <w:rFonts w:ascii="Arial" w:cs="Arial" w:eastAsia="Arial" w:hAnsi="Arial"/>
                <w:sz w:val="16"/>
                <w:szCs w:val="16"/>
                <w:color w:val="auto"/>
              </w:rPr>
              <w:t>Industry</w:t>
            </w:r>
          </w:p>
        </w:tc>
        <w:tc>
          <w:tcPr>
            <w:tcW w:w="0" w:type="dxa"/>
            <w:vAlign w:val="bottom"/>
          </w:tcPr>
          <w:p>
            <w:pPr>
              <w:spacing w:after="0"/>
              <w:rPr>
                <w:sz w:val="1"/>
                <w:szCs w:val="1"/>
                <w:color w:val="auto"/>
              </w:rPr>
            </w:pPr>
          </w:p>
        </w:tc>
      </w:tr>
      <w:tr>
        <w:trPr>
          <w:trHeight w:val="183"/>
        </w:trPr>
        <w:tc>
          <w:tcPr>
            <w:tcW w:w="2520" w:type="dxa"/>
            <w:vAlign w:val="bottom"/>
            <w:vMerge w:val="continue"/>
          </w:tcPr>
          <w:p>
            <w:pPr>
              <w:spacing w:after="0"/>
              <w:rPr>
                <w:sz w:val="15"/>
                <w:szCs w:val="15"/>
                <w:color w:val="auto"/>
              </w:rPr>
            </w:pPr>
          </w:p>
        </w:tc>
        <w:tc>
          <w:tcPr>
            <w:tcW w:w="6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ind w:left="80"/>
              <w:spacing w:after="0"/>
              <w:rPr>
                <w:sz w:val="20"/>
                <w:szCs w:val="20"/>
                <w:color w:val="auto"/>
              </w:rPr>
            </w:pPr>
            <w:r>
              <w:rPr>
                <w:rFonts w:ascii="Arial" w:cs="Arial" w:eastAsia="Arial" w:hAnsi="Arial"/>
                <w:sz w:val="16"/>
                <w:szCs w:val="16"/>
                <w:color w:val="auto"/>
              </w:rPr>
              <w:t>Innovation</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b w:val="1"/>
                <w:bCs w:val="1"/>
                <w:color w:val="0079C1"/>
              </w:rPr>
              <w:t>ACM Board Service</w:t>
            </w:r>
          </w:p>
        </w:tc>
        <w:tc>
          <w:tcPr>
            <w:tcW w:w="6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ind w:left="80"/>
              <w:spacing w:after="0"/>
              <w:rPr>
                <w:sz w:val="20"/>
                <w:szCs w:val="20"/>
                <w:color w:val="auto"/>
              </w:rPr>
            </w:pPr>
            <w:r>
              <w:rPr>
                <w:rFonts w:ascii="Arial" w:cs="Arial" w:eastAsia="Arial" w:hAnsi="Arial"/>
                <w:sz w:val="16"/>
                <w:szCs w:val="16"/>
                <w:color w:val="auto"/>
                <w:w w:val="98"/>
              </w:rPr>
              <w:t>Leadership</w:t>
            </w:r>
          </w:p>
        </w:tc>
        <w:tc>
          <w:tcPr>
            <w:tcW w:w="0" w:type="dxa"/>
            <w:vAlign w:val="bottom"/>
          </w:tcPr>
          <w:p>
            <w:pPr>
              <w:spacing w:after="0"/>
              <w:rPr>
                <w:sz w:val="1"/>
                <w:szCs w:val="1"/>
                <w:color w:val="auto"/>
              </w:rPr>
            </w:pPr>
          </w:p>
        </w:tc>
      </w:tr>
      <w:tr>
        <w:trPr>
          <w:trHeight w:val="6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0079C1"/>
              </w:rPr>
              <w:t>•  Tenure: 28 years (1998)</w:t>
            </w: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520" w:type="dxa"/>
            <w:vAlign w:val="bottom"/>
            <w:vMerge w:val="continue"/>
          </w:tcPr>
          <w:p>
            <w:pPr>
              <w:spacing w:after="0"/>
              <w:rPr>
                <w:sz w:val="14"/>
                <w:szCs w:val="14"/>
                <w:color w:val="auto"/>
              </w:rPr>
            </w:pPr>
          </w:p>
        </w:tc>
        <w:tc>
          <w:tcPr>
            <w:tcW w:w="6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ind w:left="80"/>
              <w:spacing w:after="0"/>
              <w:rPr>
                <w:sz w:val="20"/>
                <w:szCs w:val="20"/>
                <w:color w:val="auto"/>
              </w:rPr>
            </w:pPr>
            <w:r>
              <w:rPr>
                <w:rFonts w:ascii="Arial" w:cs="Arial" w:eastAsia="Arial" w:hAnsi="Arial"/>
                <w:sz w:val="16"/>
                <w:szCs w:val="16"/>
                <w:color w:val="auto"/>
              </w:rPr>
              <w:t>Global</w:t>
            </w:r>
          </w:p>
        </w:tc>
        <w:tc>
          <w:tcPr>
            <w:tcW w:w="0" w:type="dxa"/>
            <w:vAlign w:val="bottom"/>
          </w:tcPr>
          <w:p>
            <w:pPr>
              <w:spacing w:after="0"/>
              <w:rPr>
                <w:sz w:val="1"/>
                <w:szCs w:val="1"/>
                <w:color w:val="auto"/>
              </w:rPr>
            </w:pPr>
          </w:p>
        </w:tc>
      </w:tr>
      <w:tr>
        <w:trPr>
          <w:trHeight w:val="154"/>
        </w:trPr>
        <w:tc>
          <w:tcPr>
            <w:tcW w:w="25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151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760"/>
        <w:spacing w:after="0"/>
        <w:tabs>
          <w:tab w:leader="none" w:pos="1940" w:val="left"/>
          <w:tab w:leader="none" w:pos="140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929005</wp:posOffset>
            </wp:positionV>
            <wp:extent cx="857250" cy="1148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85725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0079C1"/>
        </w:rPr>
        <w:t>Haiping Dun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Age: 76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ACM Board Service</w:t>
      </w:r>
    </w:p>
    <w:p>
      <w:pPr>
        <w:spacing w:after="0" w:line="46" w:lineRule="exact"/>
        <w:rPr>
          <w:sz w:val="20"/>
          <w:szCs w:val="20"/>
          <w:color w:val="auto"/>
        </w:rPr>
      </w:pPr>
    </w:p>
    <w:p>
      <w:pPr>
        <w:ind w:left="220" w:hanging="214"/>
        <w:spacing w:after="0"/>
        <w:tabs>
          <w:tab w:leader="none" w:pos="220" w:val="left"/>
        </w:tabs>
        <w:numPr>
          <w:ilvl w:val="0"/>
          <w:numId w:val="40"/>
        </w:numPr>
        <w:rPr>
          <w:rFonts w:ascii="Arial" w:cs="Arial" w:eastAsia="Arial" w:hAnsi="Arial"/>
          <w:sz w:val="16"/>
          <w:szCs w:val="16"/>
          <w:b w:val="1"/>
          <w:bCs w:val="1"/>
          <w:color w:val="0079C1"/>
        </w:rPr>
      </w:pPr>
      <w:r>
        <w:rPr>
          <w:rFonts w:ascii="Arial" w:cs="Arial" w:eastAsia="Arial" w:hAnsi="Arial"/>
          <w:sz w:val="16"/>
          <w:szCs w:val="16"/>
          <w:b w:val="1"/>
          <w:bCs w:val="1"/>
          <w:color w:val="0079C1"/>
        </w:rPr>
        <w:t>Tenure: 23 years (2003)</w:t>
      </w:r>
    </w:p>
    <w:p>
      <w:pPr>
        <w:spacing w:after="0" w:line="207" w:lineRule="exact"/>
        <w:rPr>
          <w:rFonts w:ascii="Arial" w:cs="Arial" w:eastAsia="Arial" w:hAnsi="Arial"/>
          <w:sz w:val="16"/>
          <w:szCs w:val="16"/>
          <w:b w:val="1"/>
          <w:bCs w:val="1"/>
          <w:color w:val="0079C1"/>
        </w:rPr>
      </w:pPr>
    </w:p>
    <w:p>
      <w:pPr>
        <w:ind w:left="220" w:hanging="214"/>
        <w:spacing w:after="0"/>
        <w:tabs>
          <w:tab w:leader="none" w:pos="220" w:val="left"/>
        </w:tabs>
        <w:numPr>
          <w:ilvl w:val="0"/>
          <w:numId w:val="40"/>
        </w:numPr>
        <w:rPr>
          <w:rFonts w:ascii="Arial" w:cs="Arial" w:eastAsia="Arial" w:hAnsi="Arial"/>
          <w:sz w:val="16"/>
          <w:szCs w:val="16"/>
          <w:b w:val="1"/>
          <w:bCs w:val="1"/>
          <w:color w:val="0079C1"/>
        </w:rPr>
      </w:pPr>
      <w:r>
        <w:rPr>
          <w:rFonts w:ascii="Arial" w:cs="Arial" w:eastAsia="Arial" w:hAnsi="Arial"/>
          <w:sz w:val="16"/>
          <w:szCs w:val="16"/>
          <w:b w:val="1"/>
          <w:bCs w:val="1"/>
          <w:color w:val="0079C1"/>
        </w:rPr>
        <w:t>Committees:</w:t>
      </w:r>
    </w:p>
    <w:p>
      <w:pPr>
        <w:spacing w:after="0" w:line="99" w:lineRule="exact"/>
        <w:rPr>
          <w:rFonts w:ascii="Arial" w:cs="Arial" w:eastAsia="Arial" w:hAnsi="Arial"/>
          <w:sz w:val="16"/>
          <w:szCs w:val="16"/>
          <w:b w:val="1"/>
          <w:bCs w:val="1"/>
          <w:color w:val="0079C1"/>
        </w:rPr>
      </w:pPr>
    </w:p>
    <w:p>
      <w:pPr>
        <w:ind w:left="480" w:hanging="231"/>
        <w:spacing w:after="0"/>
        <w:tabs>
          <w:tab w:leader="none" w:pos="480" w:val="left"/>
        </w:tabs>
        <w:numPr>
          <w:ilvl w:val="1"/>
          <w:numId w:val="40"/>
        </w:numPr>
        <w:rPr>
          <w:rFonts w:ascii="Arial" w:cs="Arial" w:eastAsia="Arial" w:hAnsi="Arial"/>
          <w:sz w:val="16"/>
          <w:szCs w:val="16"/>
          <w:b w:val="1"/>
          <w:bCs w:val="1"/>
          <w:color w:val="0079C1"/>
        </w:rPr>
      </w:pPr>
      <w:r>
        <w:rPr>
          <w:rFonts w:ascii="Arial" w:cs="Arial" w:eastAsia="Arial" w:hAnsi="Arial"/>
          <w:sz w:val="16"/>
          <w:szCs w:val="16"/>
          <w:b w:val="1"/>
          <w:bCs w:val="1"/>
          <w:color w:val="0079C1"/>
        </w:rPr>
        <w:t>Audit</w:t>
      </w:r>
    </w:p>
    <w:p>
      <w:pPr>
        <w:spacing w:after="0" w:line="45" w:lineRule="exact"/>
        <w:rPr>
          <w:rFonts w:ascii="Arial" w:cs="Arial" w:eastAsia="Arial" w:hAnsi="Arial"/>
          <w:sz w:val="16"/>
          <w:szCs w:val="16"/>
          <w:b w:val="1"/>
          <w:bCs w:val="1"/>
          <w:color w:val="0079C1"/>
        </w:rPr>
      </w:pPr>
    </w:p>
    <w:p>
      <w:pPr>
        <w:ind w:left="480" w:hanging="231"/>
        <w:spacing w:after="0"/>
        <w:tabs>
          <w:tab w:leader="none" w:pos="480" w:val="left"/>
        </w:tabs>
        <w:numPr>
          <w:ilvl w:val="1"/>
          <w:numId w:val="40"/>
        </w:numPr>
        <w:rPr>
          <w:rFonts w:ascii="Arial" w:cs="Arial" w:eastAsia="Arial" w:hAnsi="Arial"/>
          <w:sz w:val="16"/>
          <w:szCs w:val="16"/>
          <w:b w:val="1"/>
          <w:bCs w:val="1"/>
          <w:color w:val="0079C1"/>
        </w:rPr>
      </w:pPr>
      <w:r>
        <w:rPr>
          <w:rFonts w:ascii="Arial" w:cs="Arial" w:eastAsia="Arial" w:hAnsi="Arial"/>
          <w:sz w:val="16"/>
          <w:szCs w:val="16"/>
          <w:b w:val="1"/>
          <w:bCs w:val="1"/>
          <w:color w:val="0079C1"/>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831215" cy="11226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21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0079C1"/>
        </w:rPr>
        <w:t>Charles Pappis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Age: 65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Independent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ACM Board Service</w:t>
      </w:r>
    </w:p>
    <w:p>
      <w:pPr>
        <w:spacing w:after="0" w:line="46" w:lineRule="exact"/>
        <w:rPr>
          <w:sz w:val="20"/>
          <w:szCs w:val="20"/>
          <w:color w:val="auto"/>
        </w:rPr>
      </w:pPr>
    </w:p>
    <w:p>
      <w:pPr>
        <w:ind w:left="220" w:hanging="214"/>
        <w:spacing w:after="0"/>
        <w:tabs>
          <w:tab w:leader="none" w:pos="220" w:val="left"/>
        </w:tabs>
        <w:numPr>
          <w:ilvl w:val="0"/>
          <w:numId w:val="41"/>
        </w:numPr>
        <w:rPr>
          <w:rFonts w:ascii="Arial" w:cs="Arial" w:eastAsia="Arial" w:hAnsi="Arial"/>
          <w:sz w:val="16"/>
          <w:szCs w:val="16"/>
          <w:b w:val="1"/>
          <w:bCs w:val="1"/>
          <w:color w:val="0079C1"/>
        </w:rPr>
      </w:pPr>
      <w:r>
        <w:rPr>
          <w:rFonts w:ascii="Arial" w:cs="Arial" w:eastAsia="Arial" w:hAnsi="Arial"/>
          <w:sz w:val="16"/>
          <w:szCs w:val="16"/>
          <w:b w:val="1"/>
          <w:bCs w:val="1"/>
          <w:color w:val="0079C1"/>
        </w:rPr>
        <w:t>Tenure: 1 years (2025)</w:t>
      </w:r>
    </w:p>
    <w:p>
      <w:pPr>
        <w:spacing w:after="0" w:line="207" w:lineRule="exact"/>
        <w:rPr>
          <w:rFonts w:ascii="Arial" w:cs="Arial" w:eastAsia="Arial" w:hAnsi="Arial"/>
          <w:sz w:val="16"/>
          <w:szCs w:val="16"/>
          <w:b w:val="1"/>
          <w:bCs w:val="1"/>
          <w:color w:val="0079C1"/>
        </w:rPr>
      </w:pPr>
    </w:p>
    <w:p>
      <w:pPr>
        <w:ind w:left="220" w:hanging="214"/>
        <w:spacing w:after="0"/>
        <w:tabs>
          <w:tab w:leader="none" w:pos="220" w:val="left"/>
        </w:tabs>
        <w:numPr>
          <w:ilvl w:val="0"/>
          <w:numId w:val="41"/>
        </w:numPr>
        <w:rPr>
          <w:rFonts w:ascii="Arial" w:cs="Arial" w:eastAsia="Arial" w:hAnsi="Arial"/>
          <w:sz w:val="16"/>
          <w:szCs w:val="16"/>
          <w:b w:val="1"/>
          <w:bCs w:val="1"/>
          <w:color w:val="0079C1"/>
        </w:rPr>
      </w:pPr>
      <w:r>
        <w:rPr>
          <w:rFonts w:ascii="Arial" w:cs="Arial" w:eastAsia="Arial" w:hAnsi="Arial"/>
          <w:sz w:val="16"/>
          <w:szCs w:val="16"/>
          <w:b w:val="1"/>
          <w:bCs w:val="1"/>
          <w:color w:val="0079C1"/>
        </w:rPr>
        <w:t>Committees:</w:t>
      </w:r>
    </w:p>
    <w:p>
      <w:pPr>
        <w:spacing w:after="0" w:line="86" w:lineRule="exact"/>
        <w:rPr>
          <w:rFonts w:ascii="Arial" w:cs="Arial" w:eastAsia="Arial" w:hAnsi="Arial"/>
          <w:sz w:val="16"/>
          <w:szCs w:val="16"/>
          <w:b w:val="1"/>
          <w:bCs w:val="1"/>
          <w:color w:val="0079C1"/>
        </w:rPr>
      </w:pPr>
    </w:p>
    <w:p>
      <w:pPr>
        <w:ind w:left="480" w:hanging="231"/>
        <w:spacing w:after="0"/>
        <w:tabs>
          <w:tab w:leader="none" w:pos="480" w:val="left"/>
        </w:tabs>
        <w:numPr>
          <w:ilvl w:val="1"/>
          <w:numId w:val="41"/>
        </w:numPr>
        <w:rPr>
          <w:rFonts w:ascii="Arial" w:cs="Arial" w:eastAsia="Arial" w:hAnsi="Arial"/>
          <w:sz w:val="16"/>
          <w:szCs w:val="16"/>
          <w:b w:val="1"/>
          <w:bCs w:val="1"/>
          <w:color w:val="0079C1"/>
        </w:rPr>
      </w:pPr>
      <w:r>
        <w:rPr>
          <w:rFonts w:ascii="Arial" w:cs="Arial" w:eastAsia="Arial" w:hAnsi="Arial"/>
          <w:sz w:val="16"/>
          <w:szCs w:val="16"/>
          <w:b w:val="1"/>
          <w:bCs w:val="1"/>
          <w:color w:val="0079C1"/>
        </w:rPr>
        <w:t>Audit</w:t>
      </w:r>
    </w:p>
    <w:p>
      <w:pPr>
        <w:spacing w:after="0" w:line="45" w:lineRule="exact"/>
        <w:rPr>
          <w:rFonts w:ascii="Arial" w:cs="Arial" w:eastAsia="Arial" w:hAnsi="Arial"/>
          <w:sz w:val="16"/>
          <w:szCs w:val="16"/>
          <w:b w:val="1"/>
          <w:bCs w:val="1"/>
          <w:color w:val="0079C1"/>
        </w:rPr>
      </w:pPr>
    </w:p>
    <w:p>
      <w:pPr>
        <w:ind w:left="500" w:right="340" w:hanging="251"/>
        <w:spacing w:after="0" w:line="349" w:lineRule="auto"/>
        <w:tabs>
          <w:tab w:leader="none" w:pos="490" w:val="left"/>
        </w:tabs>
        <w:numPr>
          <w:ilvl w:val="1"/>
          <w:numId w:val="41"/>
        </w:numPr>
        <w:rPr>
          <w:rFonts w:ascii="Arial" w:cs="Arial" w:eastAsia="Arial" w:hAnsi="Arial"/>
          <w:sz w:val="16"/>
          <w:szCs w:val="16"/>
          <w:b w:val="1"/>
          <w:bCs w:val="1"/>
          <w:color w:val="0079C1"/>
        </w:rPr>
      </w:pPr>
      <w:r>
        <w:rPr>
          <w:rFonts w:ascii="Arial" w:cs="Arial" w:eastAsia="Arial" w:hAnsi="Arial"/>
          <w:sz w:val="16"/>
          <w:szCs w:val="16"/>
          <w:b w:val="1"/>
          <w:bCs w:val="1"/>
          <w:color w:val="0079C1"/>
        </w:rPr>
        <w:t>Nominating and Governance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Professional Experience</w:t>
      </w:r>
    </w:p>
    <w:p>
      <w:pPr>
        <w:spacing w:after="0" w:line="113" w:lineRule="exact"/>
        <w:rPr>
          <w:sz w:val="20"/>
          <w:szCs w:val="20"/>
          <w:color w:val="auto"/>
        </w:rPr>
      </w:pPr>
    </w:p>
    <w:p>
      <w:pPr>
        <w:ind w:left="210" w:hanging="210"/>
        <w:spacing w:after="0"/>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Served as one of our directors since 2003.</w:t>
      </w:r>
    </w:p>
    <w:p>
      <w:pPr>
        <w:spacing w:after="0" w:line="126" w:lineRule="exact"/>
        <w:rPr>
          <w:rFonts w:ascii="Arial" w:cs="Arial" w:eastAsia="Arial" w:hAnsi="Arial"/>
          <w:sz w:val="16"/>
          <w:szCs w:val="16"/>
          <w:color w:val="auto"/>
        </w:rPr>
      </w:pPr>
    </w:p>
    <w:p>
      <w:pPr>
        <w:ind w:left="250" w:right="360" w:hanging="250"/>
        <w:spacing w:after="0" w:line="369" w:lineRule="auto"/>
        <w:tabs>
          <w:tab w:leader="none" w:pos="2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Former President of Champion Microelectronic Corp., an integrated circuit company based in Taiwan, from 2008 through 2018.</w:t>
      </w:r>
    </w:p>
    <w:p>
      <w:pPr>
        <w:spacing w:after="0" w:line="1" w:lineRule="exact"/>
        <w:rPr>
          <w:rFonts w:ascii="Arial" w:cs="Arial" w:eastAsia="Arial" w:hAnsi="Arial"/>
          <w:sz w:val="16"/>
          <w:szCs w:val="16"/>
          <w:color w:val="auto"/>
        </w:rPr>
      </w:pPr>
    </w:p>
    <w:p>
      <w:pPr>
        <w:ind w:left="250" w:right="40" w:hanging="250"/>
        <w:spacing w:after="0" w:line="392" w:lineRule="auto"/>
        <w:tabs>
          <w:tab w:leader="none" w:pos="2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Former Senior Director of Intel Corporation, a multi-national technology company where he was employed from 1983 to 2004.</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Education</w:t>
      </w:r>
    </w:p>
    <w:p>
      <w:pPr>
        <w:spacing w:after="0" w:line="113" w:lineRule="exact"/>
        <w:rPr>
          <w:sz w:val="20"/>
          <w:szCs w:val="20"/>
          <w:color w:val="auto"/>
        </w:rPr>
      </w:pPr>
    </w:p>
    <w:p>
      <w:pPr>
        <w:ind w:left="250" w:right="80" w:hanging="250"/>
        <w:spacing w:after="0" w:line="374" w:lineRule="auto"/>
        <w:tabs>
          <w:tab w:leader="none" w:pos="2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Received a Ph.D. in material science and engineering from Stanford University, a Master of Science in physics from the University of Washington and a Bachelor of Science in physics from National Taiwan University.</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Relevant Skills</w:t>
      </w:r>
    </w:p>
    <w:p>
      <w:pPr>
        <w:spacing w:after="0" w:line="113" w:lineRule="exact"/>
        <w:rPr>
          <w:sz w:val="20"/>
          <w:szCs w:val="20"/>
          <w:color w:val="auto"/>
        </w:rPr>
      </w:pPr>
    </w:p>
    <w:p>
      <w:pPr>
        <w:ind w:left="210" w:hanging="210"/>
        <w:spacing w:after="0"/>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Industry</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Innovation</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Leadership</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Professional Experience</w:t>
      </w:r>
    </w:p>
    <w:p>
      <w:pPr>
        <w:spacing w:after="0" w:line="100" w:lineRule="exact"/>
        <w:rPr>
          <w:sz w:val="20"/>
          <w:szCs w:val="20"/>
          <w:color w:val="auto"/>
        </w:rPr>
      </w:pPr>
    </w:p>
    <w:p>
      <w:pPr>
        <w:ind w:left="210" w:hanging="210"/>
        <w:spacing w:after="0"/>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Served as one of our directors since March 2025.</w:t>
      </w:r>
    </w:p>
    <w:p>
      <w:pPr>
        <w:spacing w:after="0" w:line="140" w:lineRule="exact"/>
        <w:rPr>
          <w:rFonts w:ascii="Arial" w:cs="Arial" w:eastAsia="Arial" w:hAnsi="Arial"/>
          <w:sz w:val="16"/>
          <w:szCs w:val="16"/>
          <w:color w:val="auto"/>
        </w:rPr>
      </w:pPr>
    </w:p>
    <w:p>
      <w:pPr>
        <w:ind w:left="210" w:hanging="210"/>
        <w:spacing w:after="0"/>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President of Pappis Consulting since April 2016.</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Vice President and General Manager at Applied Materials from 1986 to 2016.</w:t>
      </w:r>
    </w:p>
    <w:p>
      <w:pPr>
        <w:spacing w:after="0" w:line="126" w:lineRule="exact"/>
        <w:rPr>
          <w:rFonts w:ascii="Arial" w:cs="Arial" w:eastAsia="Arial" w:hAnsi="Arial"/>
          <w:sz w:val="16"/>
          <w:szCs w:val="16"/>
          <w:color w:val="auto"/>
        </w:rPr>
      </w:pPr>
    </w:p>
    <w:p>
      <w:pPr>
        <w:ind w:left="250" w:right="100" w:hanging="250"/>
        <w:spacing w:after="0" w:line="374" w:lineRule="auto"/>
        <w:tabs>
          <w:tab w:leader="none" w:pos="2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Received a Bachelor of Science in Materials Science from Worcester Polytechnic Institute and Executive MBA from Stanford University.</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Relevant Skills</w:t>
      </w:r>
    </w:p>
    <w:p>
      <w:pPr>
        <w:spacing w:after="0" w:line="113" w:lineRule="exact"/>
        <w:rPr>
          <w:sz w:val="20"/>
          <w:szCs w:val="20"/>
          <w:color w:val="auto"/>
        </w:rPr>
      </w:pPr>
    </w:p>
    <w:p>
      <w:pPr>
        <w:ind w:left="210" w:hanging="210"/>
        <w:spacing w:after="0"/>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Industry</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Finance</w:t>
      </w:r>
    </w:p>
    <w:p>
      <w:pPr>
        <w:spacing w:after="0" w:line="140" w:lineRule="exact"/>
        <w:rPr>
          <w:rFonts w:ascii="Arial" w:cs="Arial" w:eastAsia="Arial" w:hAnsi="Arial"/>
          <w:sz w:val="16"/>
          <w:szCs w:val="16"/>
          <w:color w:val="auto"/>
        </w:rPr>
      </w:pPr>
    </w:p>
    <w:p>
      <w:pPr>
        <w:ind w:left="210" w:hanging="210"/>
        <w:spacing w:after="0"/>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Innovation</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Leadership</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1752600</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52" w:lineRule="exact"/>
        <w:rPr>
          <w:sz w:val="20"/>
          <w:szCs w:val="20"/>
          <w:color w:val="auto"/>
        </w:rPr>
      </w:pPr>
    </w:p>
    <w:p>
      <w:pPr>
        <w:sectPr>
          <w:pgSz w:w="11900" w:h="16838" w:orient="portrait"/>
          <w:cols w:equalWidth="0" w:num="2">
            <w:col w:w="2340" w:space="690"/>
            <w:col w:w="819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8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20"/>
          </w:cols>
          <w:pgMar w:left="340" w:top="130" w:right="3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929005</wp:posOffset>
            </wp:positionV>
            <wp:extent cx="857250" cy="1148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85725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0079C1"/>
        </w:rPr>
        <w:t>Tracy Liu</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Age: 61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ACM Board Service</w:t>
      </w:r>
    </w:p>
    <w:p>
      <w:pPr>
        <w:spacing w:after="0" w:line="46" w:lineRule="exact"/>
        <w:rPr>
          <w:sz w:val="20"/>
          <w:szCs w:val="20"/>
          <w:color w:val="auto"/>
        </w:rPr>
      </w:pPr>
    </w:p>
    <w:p>
      <w:pPr>
        <w:ind w:left="220" w:hanging="214"/>
        <w:spacing w:after="0"/>
        <w:tabs>
          <w:tab w:leader="none" w:pos="220" w:val="left"/>
        </w:tabs>
        <w:numPr>
          <w:ilvl w:val="0"/>
          <w:numId w:val="47"/>
        </w:numPr>
        <w:rPr>
          <w:rFonts w:ascii="Arial" w:cs="Arial" w:eastAsia="Arial" w:hAnsi="Arial"/>
          <w:sz w:val="16"/>
          <w:szCs w:val="16"/>
          <w:b w:val="1"/>
          <w:bCs w:val="1"/>
          <w:color w:val="0079C1"/>
        </w:rPr>
      </w:pPr>
      <w:r>
        <w:rPr>
          <w:rFonts w:ascii="Arial" w:cs="Arial" w:eastAsia="Arial" w:hAnsi="Arial"/>
          <w:sz w:val="16"/>
          <w:szCs w:val="16"/>
          <w:b w:val="1"/>
          <w:bCs w:val="1"/>
          <w:color w:val="0079C1"/>
        </w:rPr>
        <w:t>Tenure: 10 years (2016)</w:t>
      </w:r>
    </w:p>
    <w:p>
      <w:pPr>
        <w:spacing w:after="0" w:line="207" w:lineRule="exact"/>
        <w:rPr>
          <w:rFonts w:ascii="Arial" w:cs="Arial" w:eastAsia="Arial" w:hAnsi="Arial"/>
          <w:sz w:val="16"/>
          <w:szCs w:val="16"/>
          <w:b w:val="1"/>
          <w:bCs w:val="1"/>
          <w:color w:val="0079C1"/>
        </w:rPr>
      </w:pPr>
    </w:p>
    <w:p>
      <w:pPr>
        <w:ind w:left="220" w:hanging="214"/>
        <w:spacing w:after="0"/>
        <w:tabs>
          <w:tab w:leader="none" w:pos="220" w:val="left"/>
        </w:tabs>
        <w:numPr>
          <w:ilvl w:val="0"/>
          <w:numId w:val="47"/>
        </w:numPr>
        <w:rPr>
          <w:rFonts w:ascii="Arial" w:cs="Arial" w:eastAsia="Arial" w:hAnsi="Arial"/>
          <w:sz w:val="16"/>
          <w:szCs w:val="16"/>
          <w:b w:val="1"/>
          <w:bCs w:val="1"/>
          <w:color w:val="0079C1"/>
        </w:rPr>
      </w:pPr>
      <w:r>
        <w:rPr>
          <w:rFonts w:ascii="Arial" w:cs="Arial" w:eastAsia="Arial" w:hAnsi="Arial"/>
          <w:sz w:val="16"/>
          <w:szCs w:val="16"/>
          <w:b w:val="1"/>
          <w:bCs w:val="1"/>
          <w:color w:val="0079C1"/>
        </w:rPr>
        <w:t>Committees:</w:t>
      </w:r>
    </w:p>
    <w:p>
      <w:pPr>
        <w:spacing w:after="0" w:line="99" w:lineRule="exact"/>
        <w:rPr>
          <w:rFonts w:ascii="Arial" w:cs="Arial" w:eastAsia="Arial" w:hAnsi="Arial"/>
          <w:sz w:val="16"/>
          <w:szCs w:val="16"/>
          <w:b w:val="1"/>
          <w:bCs w:val="1"/>
          <w:color w:val="0079C1"/>
        </w:rPr>
      </w:pPr>
    </w:p>
    <w:p>
      <w:pPr>
        <w:ind w:left="480" w:hanging="231"/>
        <w:spacing w:after="0"/>
        <w:tabs>
          <w:tab w:leader="none" w:pos="480" w:val="left"/>
        </w:tabs>
        <w:numPr>
          <w:ilvl w:val="1"/>
          <w:numId w:val="47"/>
        </w:numPr>
        <w:rPr>
          <w:rFonts w:ascii="Arial" w:cs="Arial" w:eastAsia="Arial" w:hAnsi="Arial"/>
          <w:sz w:val="16"/>
          <w:szCs w:val="16"/>
          <w:b w:val="1"/>
          <w:bCs w:val="1"/>
          <w:color w:val="0079C1"/>
        </w:rPr>
      </w:pPr>
      <w:r>
        <w:rPr>
          <w:rFonts w:ascii="Arial" w:cs="Arial" w:eastAsia="Arial" w:hAnsi="Arial"/>
          <w:sz w:val="16"/>
          <w:szCs w:val="16"/>
          <w:b w:val="1"/>
          <w:bCs w:val="1"/>
          <w:color w:val="0079C1"/>
        </w:rPr>
        <w:t>Audit (Chair)</w:t>
      </w:r>
    </w:p>
    <w:p>
      <w:pPr>
        <w:spacing w:after="0" w:line="45" w:lineRule="exact"/>
        <w:rPr>
          <w:rFonts w:ascii="Arial" w:cs="Arial" w:eastAsia="Arial" w:hAnsi="Arial"/>
          <w:sz w:val="16"/>
          <w:szCs w:val="16"/>
          <w:b w:val="1"/>
          <w:bCs w:val="1"/>
          <w:color w:val="0079C1"/>
        </w:rPr>
      </w:pPr>
    </w:p>
    <w:p>
      <w:pPr>
        <w:ind w:left="480" w:hanging="231"/>
        <w:spacing w:after="0"/>
        <w:tabs>
          <w:tab w:leader="none" w:pos="480" w:val="left"/>
        </w:tabs>
        <w:numPr>
          <w:ilvl w:val="1"/>
          <w:numId w:val="47"/>
        </w:numPr>
        <w:rPr>
          <w:rFonts w:ascii="Arial" w:cs="Arial" w:eastAsia="Arial" w:hAnsi="Arial"/>
          <w:sz w:val="16"/>
          <w:szCs w:val="16"/>
          <w:b w:val="1"/>
          <w:bCs w:val="1"/>
          <w:color w:val="0079C1"/>
        </w:rPr>
      </w:pPr>
      <w:r>
        <w:rPr>
          <w:rFonts w:ascii="Arial" w:cs="Arial" w:eastAsia="Arial" w:hAnsi="Arial"/>
          <w:sz w:val="16"/>
          <w:szCs w:val="16"/>
          <w:b w:val="1"/>
          <w:bCs w:val="1"/>
          <w:color w:val="0079C1"/>
        </w:rPr>
        <w:t>Compensation</w:t>
      </w:r>
    </w:p>
    <w:p>
      <w:pPr>
        <w:spacing w:after="0" w:line="38" w:lineRule="exact"/>
        <w:rPr>
          <w:rFonts w:ascii="Arial" w:cs="Arial" w:eastAsia="Arial" w:hAnsi="Arial"/>
          <w:sz w:val="16"/>
          <w:szCs w:val="16"/>
          <w:b w:val="1"/>
          <w:bCs w:val="1"/>
          <w:color w:val="0079C1"/>
        </w:rPr>
      </w:pPr>
    </w:p>
    <w:p>
      <w:pPr>
        <w:ind w:left="500" w:right="610" w:hanging="251"/>
        <w:spacing w:after="0" w:line="341" w:lineRule="auto"/>
        <w:tabs>
          <w:tab w:leader="none" w:pos="490" w:val="left"/>
        </w:tabs>
        <w:numPr>
          <w:ilvl w:val="1"/>
          <w:numId w:val="47"/>
        </w:numPr>
        <w:rPr>
          <w:rFonts w:ascii="Arial" w:cs="Arial" w:eastAsia="Arial" w:hAnsi="Arial"/>
          <w:sz w:val="16"/>
          <w:szCs w:val="16"/>
          <w:b w:val="1"/>
          <w:bCs w:val="1"/>
          <w:color w:val="0079C1"/>
        </w:rPr>
      </w:pPr>
      <w:r>
        <w:rPr>
          <w:rFonts w:ascii="Arial" w:cs="Arial" w:eastAsia="Arial" w:hAnsi="Arial"/>
          <w:sz w:val="16"/>
          <w:szCs w:val="16"/>
          <w:b w:val="1"/>
          <w:bCs w:val="1"/>
          <w:color w:val="0079C1"/>
        </w:rPr>
        <w:t>Nominating and Governance</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4197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Professional Experience</w:t>
      </w:r>
    </w:p>
    <w:p>
      <w:pPr>
        <w:spacing w:after="0" w:line="113" w:lineRule="exact"/>
        <w:rPr>
          <w:sz w:val="20"/>
          <w:szCs w:val="20"/>
          <w:color w:val="auto"/>
        </w:rPr>
      </w:pPr>
    </w:p>
    <w:p>
      <w:pPr>
        <w:ind w:left="210" w:hanging="210"/>
        <w:spacing w:after="0"/>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Served as one of our directors since September 2016.</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Managing Partner of H&amp;M Int’l CPAs, LLP since January 2017.</w:t>
      </w:r>
    </w:p>
    <w:p>
      <w:pPr>
        <w:spacing w:after="0" w:line="126" w:lineRule="exact"/>
        <w:rPr>
          <w:rFonts w:ascii="Arial" w:cs="Arial" w:eastAsia="Arial" w:hAnsi="Arial"/>
          <w:sz w:val="16"/>
          <w:szCs w:val="16"/>
          <w:color w:val="auto"/>
        </w:rPr>
      </w:pPr>
    </w:p>
    <w:p>
      <w:pPr>
        <w:ind w:left="250" w:right="700" w:hanging="250"/>
        <w:spacing w:after="0" w:line="374" w:lineRule="auto"/>
        <w:tabs>
          <w:tab w:leader="none" w:pos="212"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Founder and owner of H&amp;M Financial Consulting from 2006 to 2016, where she provided international accounting and tax solutions to high-technology companies.</w:t>
      </w:r>
    </w:p>
    <w:p>
      <w:pPr>
        <w:spacing w:after="0" w:line="7" w:lineRule="exact"/>
        <w:rPr>
          <w:rFonts w:ascii="Arial" w:cs="Arial" w:eastAsia="Arial" w:hAnsi="Arial"/>
          <w:sz w:val="16"/>
          <w:szCs w:val="16"/>
          <w:color w:val="auto"/>
        </w:rPr>
      </w:pPr>
    </w:p>
    <w:p>
      <w:pPr>
        <w:ind w:left="250" w:right="60" w:hanging="250"/>
        <w:spacing w:after="0" w:line="369" w:lineRule="auto"/>
        <w:tabs>
          <w:tab w:leader="none" w:pos="21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Received a Bachelor of Science from Nankai University and a Master of Accounting and Tax from Golden Gate University.</w:t>
      </w:r>
    </w:p>
    <w:p>
      <w:pPr>
        <w:spacing w:after="0" w:line="1" w:lineRule="exact"/>
        <w:rPr>
          <w:rFonts w:ascii="Arial" w:cs="Arial" w:eastAsia="Arial" w:hAnsi="Arial"/>
          <w:sz w:val="16"/>
          <w:szCs w:val="16"/>
          <w:color w:val="auto"/>
        </w:rPr>
      </w:pPr>
    </w:p>
    <w:p>
      <w:pPr>
        <w:ind w:left="210" w:hanging="210"/>
        <w:spacing w:after="0"/>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Certified Public Accountant and a member of the American Institute of Certified Public Accountants.</w:t>
      </w:r>
    </w:p>
    <w:p>
      <w:pPr>
        <w:spacing w:after="0" w:line="22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79C1"/>
        </w:rPr>
        <w:t>Relevant Skills</w:t>
      </w:r>
    </w:p>
    <w:p>
      <w:pPr>
        <w:spacing w:after="0" w:line="113" w:lineRule="exact"/>
        <w:rPr>
          <w:sz w:val="20"/>
          <w:szCs w:val="20"/>
          <w:color w:val="auto"/>
        </w:rPr>
      </w:pPr>
    </w:p>
    <w:p>
      <w:pPr>
        <w:ind w:left="210" w:hanging="210"/>
        <w:spacing w:after="0"/>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Finance</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Leadership</w:t>
      </w:r>
    </w:p>
    <w:p>
      <w:pPr>
        <w:spacing w:after="0" w:line="126" w:lineRule="exact"/>
        <w:rPr>
          <w:rFonts w:ascii="Arial" w:cs="Arial" w:eastAsia="Arial" w:hAnsi="Arial"/>
          <w:sz w:val="16"/>
          <w:szCs w:val="16"/>
          <w:color w:val="auto"/>
        </w:rPr>
      </w:pPr>
    </w:p>
    <w:p>
      <w:pPr>
        <w:ind w:left="210" w:hanging="210"/>
        <w:spacing w:after="0"/>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Global</w:t>
      </w:r>
    </w:p>
    <w:p>
      <w:pPr>
        <w:spacing w:after="0" w:line="2589" w:lineRule="exact"/>
        <w:rPr>
          <w:sz w:val="20"/>
          <w:szCs w:val="20"/>
          <w:color w:val="auto"/>
        </w:rPr>
      </w:pPr>
    </w:p>
    <w:p>
      <w:pPr>
        <w:sectPr>
          <w:pgSz w:w="11900" w:h="16838" w:orient="portrait"/>
          <w:cols w:equalWidth="0" w:num="2">
            <w:col w:w="2310" w:space="720"/>
            <w:col w:w="8190"/>
          </w:cols>
          <w:pgMar w:left="340" w:top="130"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The board of directors recommends a vote </w:t>
      </w:r>
      <w:r>
        <w:rPr>
          <w:rFonts w:ascii="Arial" w:cs="Arial" w:eastAsia="Arial" w:hAnsi="Arial"/>
          <w:sz w:val="21"/>
          <w:szCs w:val="21"/>
          <w:b w:val="1"/>
          <w:bCs w:val="1"/>
          <w:color w:val="0079C1"/>
        </w:rPr>
        <w:t>FOR</w:t>
      </w:r>
      <w:r>
        <w:rPr>
          <w:rFonts w:ascii="Arial" w:cs="Arial" w:eastAsia="Arial" w:hAnsi="Arial"/>
          <w:sz w:val="21"/>
          <w:szCs w:val="21"/>
          <w:b w:val="1"/>
          <w:bCs w:val="1"/>
          <w:color w:val="auto"/>
        </w:rPr>
        <w:t xml:space="preserve"> each of the four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15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8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20"/>
          </w:cols>
          <w:pgMar w:left="340" w:top="130"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Beneficial Ownership</w:t>
      </w:r>
    </w:p>
    <w:p>
      <w:pPr>
        <w:spacing w:after="0" w:line="80" w:lineRule="exact"/>
        <w:rPr>
          <w:sz w:val="20"/>
          <w:szCs w:val="20"/>
          <w:color w:val="auto"/>
        </w:rPr>
      </w:pPr>
    </w:p>
    <w:p>
      <w:pPr>
        <w:spacing w:after="0"/>
        <w:rPr>
          <w:sz w:val="20"/>
          <w:szCs w:val="20"/>
          <w:color w:val="auto"/>
        </w:rPr>
      </w:pPr>
      <w:r>
        <w:rPr>
          <w:rFonts w:ascii="Arial" w:cs="Arial" w:eastAsia="Arial" w:hAnsi="Arial"/>
          <w:sz w:val="58"/>
          <w:szCs w:val="58"/>
          <w:color w:val="auto"/>
        </w:rPr>
        <w:t>of Common Stock</w:t>
      </w:r>
    </w:p>
    <w:p>
      <w:pPr>
        <w:spacing w:after="0" w:line="394" w:lineRule="exact"/>
        <w:rPr>
          <w:sz w:val="20"/>
          <w:szCs w:val="20"/>
          <w:color w:val="auto"/>
        </w:rPr>
      </w:pPr>
    </w:p>
    <w:p>
      <w:pPr>
        <w:ind w:right="120"/>
        <w:spacing w:after="0" w:line="392" w:lineRule="auto"/>
        <w:rPr>
          <w:sz w:val="20"/>
          <w:szCs w:val="20"/>
          <w:color w:val="auto"/>
        </w:rPr>
      </w:pPr>
      <w:r>
        <w:rPr>
          <w:rFonts w:ascii="Arial" w:cs="Arial" w:eastAsia="Arial" w:hAnsi="Arial"/>
          <w:sz w:val="16"/>
          <w:szCs w:val="16"/>
          <w:color w:val="auto"/>
        </w:rPr>
        <w:t>The following table sets forth the number of outstanding shares of Class A and Class B common stock beneficially owned and the percentage of each class beneficially owned, as of the record date of April 13, 2026, by:</w:t>
      </w:r>
    </w:p>
    <w:p>
      <w:pPr>
        <w:spacing w:after="0" w:line="87" w:lineRule="exact"/>
        <w:rPr>
          <w:sz w:val="20"/>
          <w:szCs w:val="20"/>
          <w:color w:val="auto"/>
        </w:rPr>
      </w:pPr>
    </w:p>
    <w:p>
      <w:pPr>
        <w:ind w:left="260" w:right="140" w:hanging="252"/>
        <w:spacing w:after="0" w:line="369" w:lineRule="auto"/>
        <w:tabs>
          <w:tab w:leader="none" w:pos="2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person known to us to be the beneficial owner of more than five percent of the then-outstanding Class A common stock (on an as-converted basis) or the then-outstanding Class B common stock;</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the directors (who include each of the director nominees) and each of the named executive officers (NEO);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of our directors (who include all of the director nominees) and executive officers as a group.</w:t>
      </w:r>
    </w:p>
    <w:p>
      <w:pPr>
        <w:spacing w:after="0" w:line="24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12, 2026 (sixty days after April 13, 2026) through the exercise or conversion of a security or other right. As of April 13, 2026, there were 61,223,064 shares of Class A common stock outstanding and 4,991,808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 Unless otherwise indicated, the address of all individuals listed below is c/o ACM Research, Inc., 42307 Osgood Road, Suite I, Fremont, California 94539.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880745</wp:posOffset>
            </wp:positionV>
            <wp:extent cx="8890" cy="471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Pr>
          <w:p>
            <w:pPr>
              <w:spacing w:after="0"/>
              <w:rPr>
                <w:sz w:val="21"/>
                <w:szCs w:val="21"/>
                <w:color w:val="auto"/>
              </w:rPr>
            </w:pPr>
          </w:p>
        </w:tc>
        <w:tc>
          <w:tcPr>
            <w:tcW w:w="1580" w:type="dxa"/>
            <w:vAlign w:val="bottom"/>
            <w:shd w:val="clear" w:color="auto" w:fill="80BCE0"/>
          </w:tcPr>
          <w:p>
            <w:pPr>
              <w:jc w:val="right"/>
              <w:ind w:right="128"/>
              <w:spacing w:after="0"/>
              <w:rPr>
                <w:sz w:val="20"/>
                <w:szCs w:val="20"/>
                <w:color w:val="auto"/>
              </w:rPr>
            </w:pPr>
            <w:r>
              <w:rPr>
                <w:rFonts w:ascii="Arial" w:cs="Arial" w:eastAsia="Arial" w:hAnsi="Arial"/>
                <w:sz w:val="14"/>
                <w:szCs w:val="14"/>
                <w:b w:val="1"/>
                <w:bCs w:val="1"/>
                <w:color w:val="FFFFFF"/>
              </w:rPr>
              <w:t>Class A</w:t>
            </w:r>
            <w:r>
              <w:rPr>
                <w:rFonts w:ascii="Arial" w:cs="Arial" w:eastAsia="Arial" w:hAnsi="Arial"/>
                <w:sz w:val="18"/>
                <w:szCs w:val="18"/>
                <w:b w:val="1"/>
                <w:bCs w:val="1"/>
                <w:color w:val="FFFFFF"/>
                <w:vertAlign w:val="superscript"/>
              </w:rPr>
              <w:t>(1)</w:t>
            </w:r>
          </w:p>
        </w:tc>
        <w:tc>
          <w:tcPr>
            <w:tcW w:w="780" w:type="dxa"/>
            <w:vAlign w:val="bottom"/>
            <w:shd w:val="clear" w:color="auto" w:fill="80BCE0"/>
          </w:tcPr>
          <w:p>
            <w:pPr>
              <w:spacing w:after="0"/>
              <w:rPr>
                <w:sz w:val="21"/>
                <w:szCs w:val="21"/>
                <w:color w:val="auto"/>
              </w:rPr>
            </w:pPr>
          </w:p>
        </w:tc>
        <w:tc>
          <w:tcPr>
            <w:tcW w:w="1180" w:type="dxa"/>
            <w:vAlign w:val="bottom"/>
            <w:shd w:val="clear" w:color="auto" w:fill="80BCE0"/>
          </w:tcPr>
          <w:p>
            <w:pPr>
              <w:jc w:val="right"/>
              <w:ind w:right="88"/>
              <w:spacing w:after="0"/>
              <w:rPr>
                <w:sz w:val="20"/>
                <w:szCs w:val="20"/>
                <w:color w:val="auto"/>
              </w:rPr>
            </w:pPr>
            <w:r>
              <w:rPr>
                <w:rFonts w:ascii="Arial" w:cs="Arial" w:eastAsia="Arial" w:hAnsi="Arial"/>
                <w:sz w:val="14"/>
                <w:szCs w:val="14"/>
                <w:b w:val="1"/>
                <w:bCs w:val="1"/>
                <w:color w:val="FFFFFF"/>
              </w:rPr>
              <w:t>Class B</w:t>
            </w:r>
          </w:p>
        </w:tc>
        <w:tc>
          <w:tcPr>
            <w:tcW w:w="540" w:type="dxa"/>
            <w:vAlign w:val="bottom"/>
            <w:shd w:val="clear" w:color="auto" w:fill="80BCE0"/>
          </w:tcPr>
          <w:p>
            <w:pPr>
              <w:spacing w:after="0"/>
              <w:rPr>
                <w:sz w:val="21"/>
                <w:szCs w:val="21"/>
                <w:color w:val="auto"/>
              </w:rPr>
            </w:pPr>
          </w:p>
        </w:tc>
        <w:tc>
          <w:tcPr>
            <w:tcW w:w="2080" w:type="dxa"/>
            <w:vAlign w:val="bottom"/>
          </w:tcPr>
          <w:p>
            <w:pPr>
              <w:spacing w:after="0"/>
              <w:rPr>
                <w:sz w:val="21"/>
                <w:szCs w:val="21"/>
                <w:color w:val="auto"/>
              </w:rPr>
            </w:pPr>
          </w:p>
        </w:tc>
      </w:tr>
      <w:tr>
        <w:trPr>
          <w:trHeight w:val="193"/>
        </w:trPr>
        <w:tc>
          <w:tcPr>
            <w:tcW w:w="4980" w:type="dxa"/>
            <w:vAlign w:val="bottom"/>
            <w:shd w:val="clear" w:color="auto" w:fill="0079C1"/>
          </w:tcPr>
          <w:p>
            <w:pPr>
              <w:spacing w:after="0"/>
              <w:rPr>
                <w:sz w:val="16"/>
                <w:szCs w:val="16"/>
                <w:color w:val="auto"/>
              </w:rPr>
            </w:pPr>
          </w:p>
        </w:tc>
        <w:tc>
          <w:tcPr>
            <w:tcW w:w="1580" w:type="dxa"/>
            <w:vAlign w:val="bottom"/>
            <w:shd w:val="clear" w:color="auto" w:fill="0079C1"/>
          </w:tcPr>
          <w:p>
            <w:pPr>
              <w:jc w:val="right"/>
              <w:ind w:right="408"/>
              <w:spacing w:after="0"/>
              <w:rPr>
                <w:sz w:val="20"/>
                <w:szCs w:val="20"/>
                <w:color w:val="auto"/>
              </w:rPr>
            </w:pPr>
            <w:r>
              <w:rPr>
                <w:rFonts w:ascii="Arial" w:cs="Arial" w:eastAsia="Arial" w:hAnsi="Arial"/>
                <w:sz w:val="14"/>
                <w:szCs w:val="14"/>
                <w:b w:val="1"/>
                <w:bCs w:val="1"/>
                <w:color w:val="FFFFFF"/>
              </w:rPr>
              <w:t>Shares</w:t>
            </w:r>
          </w:p>
        </w:tc>
        <w:tc>
          <w:tcPr>
            <w:tcW w:w="780" w:type="dxa"/>
            <w:vAlign w:val="bottom"/>
            <w:shd w:val="clear" w:color="auto" w:fill="0079C1"/>
          </w:tcPr>
          <w:p>
            <w:pPr>
              <w:spacing w:after="0"/>
              <w:rPr>
                <w:sz w:val="16"/>
                <w:szCs w:val="16"/>
                <w:color w:val="auto"/>
              </w:rPr>
            </w:pPr>
          </w:p>
        </w:tc>
        <w:tc>
          <w:tcPr>
            <w:tcW w:w="1180" w:type="dxa"/>
            <w:vAlign w:val="bottom"/>
            <w:shd w:val="clear" w:color="auto" w:fill="0079C1"/>
          </w:tcPr>
          <w:p>
            <w:pPr>
              <w:jc w:val="right"/>
              <w:ind w:right="228"/>
              <w:spacing w:after="0"/>
              <w:rPr>
                <w:sz w:val="20"/>
                <w:szCs w:val="20"/>
                <w:color w:val="auto"/>
              </w:rPr>
            </w:pPr>
            <w:r>
              <w:rPr>
                <w:rFonts w:ascii="Arial" w:cs="Arial" w:eastAsia="Arial" w:hAnsi="Arial"/>
                <w:sz w:val="14"/>
                <w:szCs w:val="14"/>
                <w:b w:val="1"/>
                <w:bCs w:val="1"/>
                <w:color w:val="FFFFFF"/>
              </w:rPr>
              <w:t>Shares</w:t>
            </w:r>
          </w:p>
        </w:tc>
        <w:tc>
          <w:tcPr>
            <w:tcW w:w="540" w:type="dxa"/>
            <w:vAlign w:val="bottom"/>
            <w:shd w:val="clear" w:color="auto" w:fill="0079C1"/>
          </w:tcPr>
          <w:p>
            <w:pPr>
              <w:spacing w:after="0"/>
              <w:rPr>
                <w:sz w:val="16"/>
                <w:szCs w:val="16"/>
                <w:color w:val="auto"/>
              </w:rPr>
            </w:pPr>
          </w:p>
        </w:tc>
        <w:tc>
          <w:tcPr>
            <w:tcW w:w="2080" w:type="dxa"/>
            <w:vAlign w:val="bottom"/>
            <w:shd w:val="clear" w:color="auto" w:fill="0079C1"/>
          </w:tcPr>
          <w:p>
            <w:pPr>
              <w:jc w:val="right"/>
              <w:ind w:right="88"/>
              <w:spacing w:after="0" w:line="194" w:lineRule="exact"/>
              <w:rPr>
                <w:sz w:val="20"/>
                <w:szCs w:val="20"/>
                <w:color w:val="auto"/>
              </w:rPr>
            </w:pPr>
            <w:r>
              <w:rPr>
                <w:rFonts w:ascii="Arial" w:cs="Arial" w:eastAsia="Arial" w:hAnsi="Arial"/>
                <w:sz w:val="14"/>
                <w:szCs w:val="14"/>
                <w:b w:val="1"/>
                <w:bCs w:val="1"/>
                <w:color w:val="FFFFFF"/>
              </w:rPr>
              <w:t>Total Voting Power</w:t>
            </w:r>
            <w:r>
              <w:rPr>
                <w:rFonts w:ascii="Arial" w:cs="Arial" w:eastAsia="Arial" w:hAnsi="Arial"/>
                <w:sz w:val="18"/>
                <w:szCs w:val="18"/>
                <w:b w:val="1"/>
                <w:bCs w:val="1"/>
                <w:color w:val="FFFFFF"/>
                <w:vertAlign w:val="superscript"/>
              </w:rPr>
              <w:t>(2)</w:t>
            </w:r>
          </w:p>
        </w:tc>
      </w:tr>
      <w:tr>
        <w:trPr>
          <w:trHeight w:val="196"/>
        </w:trPr>
        <w:tc>
          <w:tcPr>
            <w:tcW w:w="498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Beneficial Owner</w:t>
            </w:r>
          </w:p>
        </w:tc>
        <w:tc>
          <w:tcPr>
            <w:tcW w:w="1580" w:type="dxa"/>
            <w:vAlign w:val="bottom"/>
            <w:shd w:val="clear" w:color="auto" w:fill="0079C1"/>
          </w:tcPr>
          <w:p>
            <w:pPr>
              <w:jc w:val="right"/>
              <w:ind w:right="408"/>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79C1"/>
          </w:tcPr>
          <w:p>
            <w:pPr>
              <w:jc w:val="right"/>
              <w:ind w:right="228"/>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4980" w:type="dxa"/>
            <w:vAlign w:val="bottom"/>
            <w:shd w:val="clear" w:color="auto" w:fill="0079C1"/>
          </w:tcPr>
          <w:p>
            <w:pPr>
              <w:spacing w:after="0"/>
              <w:rPr>
                <w:sz w:val="9"/>
                <w:szCs w:val="9"/>
                <w:color w:val="auto"/>
              </w:rPr>
            </w:pPr>
          </w:p>
        </w:tc>
        <w:tc>
          <w:tcPr>
            <w:tcW w:w="1580" w:type="dxa"/>
            <w:vAlign w:val="bottom"/>
            <w:shd w:val="clear" w:color="auto" w:fill="0079C1"/>
          </w:tcPr>
          <w:p>
            <w:pPr>
              <w:spacing w:after="0"/>
              <w:rPr>
                <w:sz w:val="9"/>
                <w:szCs w:val="9"/>
                <w:color w:val="auto"/>
              </w:rPr>
            </w:pPr>
          </w:p>
        </w:tc>
        <w:tc>
          <w:tcPr>
            <w:tcW w:w="780" w:type="dxa"/>
            <w:vAlign w:val="bottom"/>
            <w:shd w:val="clear" w:color="auto" w:fill="0079C1"/>
          </w:tcPr>
          <w:p>
            <w:pPr>
              <w:spacing w:after="0"/>
              <w:rPr>
                <w:sz w:val="9"/>
                <w:szCs w:val="9"/>
                <w:color w:val="auto"/>
              </w:rPr>
            </w:pPr>
          </w:p>
        </w:tc>
        <w:tc>
          <w:tcPr>
            <w:tcW w:w="1180" w:type="dxa"/>
            <w:vAlign w:val="bottom"/>
            <w:shd w:val="clear" w:color="auto" w:fill="0079C1"/>
          </w:tcPr>
          <w:p>
            <w:pPr>
              <w:spacing w:after="0"/>
              <w:rPr>
                <w:sz w:val="9"/>
                <w:szCs w:val="9"/>
                <w:color w:val="auto"/>
              </w:rPr>
            </w:pPr>
          </w:p>
        </w:tc>
        <w:tc>
          <w:tcPr>
            <w:tcW w:w="540" w:type="dxa"/>
            <w:vAlign w:val="bottom"/>
            <w:shd w:val="clear" w:color="auto" w:fill="0079C1"/>
          </w:tcPr>
          <w:p>
            <w:pPr>
              <w:spacing w:after="0"/>
              <w:rPr>
                <w:sz w:val="9"/>
                <w:szCs w:val="9"/>
                <w:color w:val="auto"/>
              </w:rPr>
            </w:pPr>
          </w:p>
        </w:tc>
        <w:tc>
          <w:tcPr>
            <w:tcW w:w="2080" w:type="dxa"/>
            <w:vAlign w:val="bottom"/>
            <w:shd w:val="clear" w:color="auto" w:fill="0079C1"/>
          </w:tcPr>
          <w:p>
            <w:pPr>
              <w:spacing w:after="0"/>
              <w:rPr>
                <w:sz w:val="9"/>
                <w:szCs w:val="9"/>
                <w:color w:val="auto"/>
              </w:rPr>
            </w:pPr>
          </w:p>
        </w:tc>
      </w:tr>
      <w:tr>
        <w:trPr>
          <w:trHeight w:val="214"/>
        </w:trPr>
        <w:tc>
          <w:tcPr>
            <w:tcW w:w="4980" w:type="dxa"/>
            <w:vAlign w:val="bottom"/>
            <w:shd w:val="clear" w:color="auto" w:fill="80BCE0"/>
          </w:tcPr>
          <w:p>
            <w:pPr>
              <w:ind w:left="100"/>
              <w:spacing w:after="0"/>
              <w:rPr>
                <w:sz w:val="20"/>
                <w:szCs w:val="20"/>
                <w:color w:val="auto"/>
              </w:rPr>
            </w:pPr>
            <w:r>
              <w:rPr>
                <w:rFonts w:ascii="Arial" w:cs="Arial" w:eastAsia="Arial" w:hAnsi="Arial"/>
                <w:sz w:val="14"/>
                <w:szCs w:val="14"/>
                <w:b w:val="1"/>
                <w:bCs w:val="1"/>
                <w:color w:val="FFFFFF"/>
              </w:rPr>
              <w:t>5% Stockholders</w:t>
            </w:r>
          </w:p>
        </w:tc>
        <w:tc>
          <w:tcPr>
            <w:tcW w:w="1580" w:type="dxa"/>
            <w:vAlign w:val="bottom"/>
            <w:shd w:val="clear" w:color="auto" w:fill="80BCE0"/>
          </w:tcPr>
          <w:p>
            <w:pPr>
              <w:spacing w:after="0"/>
              <w:rPr>
                <w:sz w:val="18"/>
                <w:szCs w:val="18"/>
                <w:color w:val="auto"/>
              </w:rPr>
            </w:pPr>
          </w:p>
        </w:tc>
        <w:tc>
          <w:tcPr>
            <w:tcW w:w="780" w:type="dxa"/>
            <w:vAlign w:val="bottom"/>
            <w:shd w:val="clear" w:color="auto" w:fill="80BCE0"/>
          </w:tcPr>
          <w:p>
            <w:pPr>
              <w:spacing w:after="0"/>
              <w:rPr>
                <w:sz w:val="18"/>
                <w:szCs w:val="18"/>
                <w:color w:val="auto"/>
              </w:rPr>
            </w:pPr>
          </w:p>
        </w:tc>
        <w:tc>
          <w:tcPr>
            <w:tcW w:w="1180" w:type="dxa"/>
            <w:vAlign w:val="bottom"/>
            <w:shd w:val="clear" w:color="auto" w:fill="80BCE0"/>
          </w:tcPr>
          <w:p>
            <w:pPr>
              <w:spacing w:after="0"/>
              <w:rPr>
                <w:sz w:val="18"/>
                <w:szCs w:val="18"/>
                <w:color w:val="auto"/>
              </w:rPr>
            </w:pPr>
          </w:p>
        </w:tc>
        <w:tc>
          <w:tcPr>
            <w:tcW w:w="540" w:type="dxa"/>
            <w:vAlign w:val="bottom"/>
            <w:shd w:val="clear" w:color="auto" w:fill="80BCE0"/>
          </w:tcPr>
          <w:p>
            <w:pPr>
              <w:spacing w:after="0"/>
              <w:rPr>
                <w:sz w:val="18"/>
                <w:szCs w:val="18"/>
                <w:color w:val="auto"/>
              </w:rPr>
            </w:pPr>
          </w:p>
        </w:tc>
        <w:tc>
          <w:tcPr>
            <w:tcW w:w="2080" w:type="dxa"/>
            <w:vAlign w:val="bottom"/>
            <w:shd w:val="clear" w:color="auto" w:fill="80BCE0"/>
          </w:tcPr>
          <w:p>
            <w:pPr>
              <w:spacing w:after="0"/>
              <w:rPr>
                <w:sz w:val="18"/>
                <w:szCs w:val="18"/>
                <w:color w:val="auto"/>
              </w:rPr>
            </w:pPr>
          </w:p>
        </w:tc>
      </w:tr>
      <w:tr>
        <w:trPr>
          <w:trHeight w:val="70"/>
        </w:trPr>
        <w:tc>
          <w:tcPr>
            <w:tcW w:w="4980" w:type="dxa"/>
            <w:vAlign w:val="bottom"/>
            <w:shd w:val="clear" w:color="auto" w:fill="80BCE0"/>
          </w:tcPr>
          <w:p>
            <w:pPr>
              <w:spacing w:after="0"/>
              <w:rPr>
                <w:sz w:val="6"/>
                <w:szCs w:val="6"/>
                <w:color w:val="auto"/>
              </w:rPr>
            </w:pPr>
          </w:p>
        </w:tc>
        <w:tc>
          <w:tcPr>
            <w:tcW w:w="1580" w:type="dxa"/>
            <w:vAlign w:val="bottom"/>
            <w:shd w:val="clear" w:color="auto" w:fill="80BCE0"/>
          </w:tcPr>
          <w:p>
            <w:pPr>
              <w:spacing w:after="0"/>
              <w:rPr>
                <w:sz w:val="6"/>
                <w:szCs w:val="6"/>
                <w:color w:val="auto"/>
              </w:rPr>
            </w:pPr>
          </w:p>
        </w:tc>
        <w:tc>
          <w:tcPr>
            <w:tcW w:w="780" w:type="dxa"/>
            <w:vAlign w:val="bottom"/>
            <w:shd w:val="clear" w:color="auto" w:fill="80BCE0"/>
          </w:tcPr>
          <w:p>
            <w:pPr>
              <w:spacing w:after="0"/>
              <w:rPr>
                <w:sz w:val="6"/>
                <w:szCs w:val="6"/>
                <w:color w:val="auto"/>
              </w:rPr>
            </w:pPr>
          </w:p>
        </w:tc>
        <w:tc>
          <w:tcPr>
            <w:tcW w:w="1180" w:type="dxa"/>
            <w:vAlign w:val="bottom"/>
            <w:shd w:val="clear" w:color="auto" w:fill="80BCE0"/>
          </w:tcPr>
          <w:p>
            <w:pPr>
              <w:spacing w:after="0"/>
              <w:rPr>
                <w:sz w:val="6"/>
                <w:szCs w:val="6"/>
                <w:color w:val="auto"/>
              </w:rPr>
            </w:pPr>
          </w:p>
        </w:tc>
        <w:tc>
          <w:tcPr>
            <w:tcW w:w="540" w:type="dxa"/>
            <w:vAlign w:val="bottom"/>
            <w:shd w:val="clear" w:color="auto" w:fill="80BCE0"/>
          </w:tcPr>
          <w:p>
            <w:pPr>
              <w:spacing w:after="0"/>
              <w:rPr>
                <w:sz w:val="6"/>
                <w:szCs w:val="6"/>
                <w:color w:val="auto"/>
              </w:rPr>
            </w:pPr>
          </w:p>
        </w:tc>
        <w:tc>
          <w:tcPr>
            <w:tcW w:w="2080" w:type="dxa"/>
            <w:vAlign w:val="bottom"/>
            <w:shd w:val="clear" w:color="auto" w:fill="80BCE0"/>
          </w:tcPr>
          <w:p>
            <w:pPr>
              <w:spacing w:after="0"/>
              <w:rPr>
                <w:sz w:val="6"/>
                <w:szCs w:val="6"/>
                <w:color w:val="auto"/>
              </w:rPr>
            </w:pPr>
          </w:p>
        </w:tc>
      </w:tr>
      <w:tr>
        <w:trPr>
          <w:trHeight w:val="229"/>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(3)</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7,420,308</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12.1</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r>
      <w:tr>
        <w:trPr>
          <w:trHeight w:val="223"/>
        </w:trPr>
        <w:tc>
          <w:tcPr>
            <w:tcW w:w="4980" w:type="dxa"/>
            <w:vAlign w:val="bottom"/>
          </w:tcPr>
          <w:p>
            <w:pPr>
              <w:ind w:left="100"/>
              <w:spacing w:after="0"/>
              <w:rPr>
                <w:sz w:val="20"/>
                <w:szCs w:val="20"/>
                <w:color w:val="auto"/>
              </w:rPr>
            </w:pPr>
            <w:r>
              <w:rPr>
                <w:rFonts w:ascii="Arial" w:cs="Arial" w:eastAsia="Arial" w:hAnsi="Arial"/>
                <w:sz w:val="14"/>
                <w:szCs w:val="14"/>
                <w:color w:val="auto"/>
              </w:rPr>
              <w:t>Shanghai Pudong Innotek Capital Co., Ltd.</w:t>
            </w:r>
            <w:r>
              <w:rPr>
                <w:rFonts w:ascii="Arial" w:cs="Arial" w:eastAsia="Arial" w:hAnsi="Arial"/>
                <w:sz w:val="18"/>
                <w:szCs w:val="18"/>
                <w:color w:val="auto"/>
                <w:vertAlign w:val="superscript"/>
              </w:rPr>
              <w:t>(4)</w:t>
            </w:r>
          </w:p>
        </w:tc>
        <w:tc>
          <w:tcPr>
            <w:tcW w:w="1580" w:type="dxa"/>
            <w:vAlign w:val="bottom"/>
          </w:tcPr>
          <w:p>
            <w:pPr>
              <w:jc w:val="right"/>
              <w:ind w:right="468"/>
              <w:spacing w:after="0"/>
              <w:rPr>
                <w:sz w:val="20"/>
                <w:szCs w:val="20"/>
                <w:color w:val="auto"/>
              </w:rPr>
            </w:pPr>
            <w:r>
              <w:rPr>
                <w:rFonts w:ascii="Arial" w:cs="Arial" w:eastAsia="Arial" w:hAnsi="Arial"/>
                <w:sz w:val="14"/>
                <w:szCs w:val="14"/>
                <w:color w:val="auto"/>
              </w:rPr>
              <w:t>3,358,728</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5.5</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128"/>
              <w:spacing w:after="0"/>
              <w:rPr>
                <w:sz w:val="20"/>
                <w:szCs w:val="20"/>
                <w:color w:val="auto"/>
              </w:rPr>
            </w:pPr>
            <w:r>
              <w:rPr>
                <w:rFonts w:ascii="Arial" w:cs="Arial" w:eastAsia="Arial" w:hAnsi="Arial"/>
                <w:sz w:val="14"/>
                <w:szCs w:val="14"/>
                <w:color w:val="auto"/>
              </w:rPr>
              <w:t>2.1</w:t>
            </w:r>
          </w:p>
        </w:tc>
      </w:tr>
      <w:tr>
        <w:trPr>
          <w:trHeight w:val="214"/>
        </w:trPr>
        <w:tc>
          <w:tcPr>
            <w:tcW w:w="4980" w:type="dxa"/>
            <w:vAlign w:val="bottom"/>
            <w:shd w:val="clear" w:color="auto" w:fill="80BCE0"/>
          </w:tcPr>
          <w:p>
            <w:pPr>
              <w:ind w:left="100"/>
              <w:spacing w:after="0"/>
              <w:rPr>
                <w:sz w:val="20"/>
                <w:szCs w:val="20"/>
                <w:color w:val="auto"/>
              </w:rPr>
            </w:pPr>
            <w:r>
              <w:rPr>
                <w:rFonts w:ascii="Arial" w:cs="Arial" w:eastAsia="Arial" w:hAnsi="Arial"/>
                <w:sz w:val="14"/>
                <w:szCs w:val="14"/>
                <w:b w:val="1"/>
                <w:bCs w:val="1"/>
                <w:color w:val="FFFFFF"/>
              </w:rPr>
              <w:t>Named Executive Officers and Directors</w:t>
            </w:r>
          </w:p>
        </w:tc>
        <w:tc>
          <w:tcPr>
            <w:tcW w:w="1580" w:type="dxa"/>
            <w:vAlign w:val="bottom"/>
            <w:shd w:val="clear" w:color="auto" w:fill="80BCE0"/>
          </w:tcPr>
          <w:p>
            <w:pPr>
              <w:spacing w:after="0"/>
              <w:rPr>
                <w:sz w:val="18"/>
                <w:szCs w:val="18"/>
                <w:color w:val="auto"/>
              </w:rPr>
            </w:pPr>
          </w:p>
        </w:tc>
        <w:tc>
          <w:tcPr>
            <w:tcW w:w="780" w:type="dxa"/>
            <w:vAlign w:val="bottom"/>
            <w:shd w:val="clear" w:color="auto" w:fill="80BCE0"/>
          </w:tcPr>
          <w:p>
            <w:pPr>
              <w:spacing w:after="0"/>
              <w:rPr>
                <w:sz w:val="18"/>
                <w:szCs w:val="18"/>
                <w:color w:val="auto"/>
              </w:rPr>
            </w:pPr>
          </w:p>
        </w:tc>
        <w:tc>
          <w:tcPr>
            <w:tcW w:w="1180" w:type="dxa"/>
            <w:vAlign w:val="bottom"/>
            <w:shd w:val="clear" w:color="auto" w:fill="80BCE0"/>
          </w:tcPr>
          <w:p>
            <w:pPr>
              <w:spacing w:after="0"/>
              <w:rPr>
                <w:sz w:val="18"/>
                <w:szCs w:val="18"/>
                <w:color w:val="auto"/>
              </w:rPr>
            </w:pPr>
          </w:p>
        </w:tc>
        <w:tc>
          <w:tcPr>
            <w:tcW w:w="540" w:type="dxa"/>
            <w:vAlign w:val="bottom"/>
            <w:shd w:val="clear" w:color="auto" w:fill="80BCE0"/>
          </w:tcPr>
          <w:p>
            <w:pPr>
              <w:spacing w:after="0"/>
              <w:rPr>
                <w:sz w:val="18"/>
                <w:szCs w:val="18"/>
                <w:color w:val="auto"/>
              </w:rPr>
            </w:pPr>
          </w:p>
        </w:tc>
        <w:tc>
          <w:tcPr>
            <w:tcW w:w="2080" w:type="dxa"/>
            <w:vAlign w:val="bottom"/>
            <w:shd w:val="clear" w:color="auto" w:fill="80BCE0"/>
          </w:tcPr>
          <w:p>
            <w:pPr>
              <w:spacing w:after="0"/>
              <w:rPr>
                <w:sz w:val="18"/>
                <w:szCs w:val="18"/>
                <w:color w:val="auto"/>
              </w:rPr>
            </w:pPr>
          </w:p>
        </w:tc>
      </w:tr>
      <w:tr>
        <w:trPr>
          <w:trHeight w:val="70"/>
        </w:trPr>
        <w:tc>
          <w:tcPr>
            <w:tcW w:w="4980" w:type="dxa"/>
            <w:vAlign w:val="bottom"/>
            <w:shd w:val="clear" w:color="auto" w:fill="80BCE0"/>
          </w:tcPr>
          <w:p>
            <w:pPr>
              <w:spacing w:after="0"/>
              <w:rPr>
                <w:sz w:val="6"/>
                <w:szCs w:val="6"/>
                <w:color w:val="auto"/>
              </w:rPr>
            </w:pPr>
          </w:p>
        </w:tc>
        <w:tc>
          <w:tcPr>
            <w:tcW w:w="1580" w:type="dxa"/>
            <w:vAlign w:val="bottom"/>
            <w:shd w:val="clear" w:color="auto" w:fill="80BCE0"/>
          </w:tcPr>
          <w:p>
            <w:pPr>
              <w:spacing w:after="0"/>
              <w:rPr>
                <w:sz w:val="6"/>
                <w:szCs w:val="6"/>
                <w:color w:val="auto"/>
              </w:rPr>
            </w:pPr>
          </w:p>
        </w:tc>
        <w:tc>
          <w:tcPr>
            <w:tcW w:w="780" w:type="dxa"/>
            <w:vAlign w:val="bottom"/>
            <w:shd w:val="clear" w:color="auto" w:fill="80BCE0"/>
          </w:tcPr>
          <w:p>
            <w:pPr>
              <w:spacing w:after="0"/>
              <w:rPr>
                <w:sz w:val="6"/>
                <w:szCs w:val="6"/>
                <w:color w:val="auto"/>
              </w:rPr>
            </w:pPr>
          </w:p>
        </w:tc>
        <w:tc>
          <w:tcPr>
            <w:tcW w:w="1180" w:type="dxa"/>
            <w:vAlign w:val="bottom"/>
            <w:shd w:val="clear" w:color="auto" w:fill="80BCE0"/>
          </w:tcPr>
          <w:p>
            <w:pPr>
              <w:spacing w:after="0"/>
              <w:rPr>
                <w:sz w:val="6"/>
                <w:szCs w:val="6"/>
                <w:color w:val="auto"/>
              </w:rPr>
            </w:pPr>
          </w:p>
        </w:tc>
        <w:tc>
          <w:tcPr>
            <w:tcW w:w="540" w:type="dxa"/>
            <w:vAlign w:val="bottom"/>
            <w:shd w:val="clear" w:color="auto" w:fill="80BCE0"/>
          </w:tcPr>
          <w:p>
            <w:pPr>
              <w:spacing w:after="0"/>
              <w:rPr>
                <w:sz w:val="6"/>
                <w:szCs w:val="6"/>
                <w:color w:val="auto"/>
              </w:rPr>
            </w:pPr>
          </w:p>
        </w:tc>
        <w:tc>
          <w:tcPr>
            <w:tcW w:w="2080" w:type="dxa"/>
            <w:vAlign w:val="bottom"/>
            <w:shd w:val="clear" w:color="auto" w:fill="80BCE0"/>
          </w:tcPr>
          <w:p>
            <w:pPr>
              <w:spacing w:after="0"/>
              <w:rPr>
                <w:sz w:val="6"/>
                <w:szCs w:val="6"/>
                <w:color w:val="auto"/>
              </w:rPr>
            </w:pP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David H. Wang</w:t>
            </w:r>
            <w:r>
              <w:rPr>
                <w:rFonts w:ascii="Arial" w:cs="Arial" w:eastAsia="Arial" w:hAnsi="Arial"/>
                <w:sz w:val="18"/>
                <w:szCs w:val="18"/>
                <w:b w:val="1"/>
                <w:bCs w:val="1"/>
                <w:color w:val="auto"/>
                <w:vertAlign w:val="superscript"/>
              </w:rPr>
              <w:t>(5)</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8,836,553</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4,166,808</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83.5</w:t>
            </w:r>
          </w:p>
        </w:tc>
        <w:tc>
          <w:tcPr>
            <w:tcW w:w="2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57.2</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Haiping Dun</w:t>
            </w:r>
            <w:r>
              <w:rPr>
                <w:rFonts w:ascii="Arial" w:cs="Arial" w:eastAsia="Arial" w:hAnsi="Arial"/>
                <w:sz w:val="18"/>
                <w:szCs w:val="18"/>
                <w:b w:val="1"/>
                <w:bCs w:val="1"/>
                <w:color w:val="auto"/>
                <w:vertAlign w:val="superscript"/>
              </w:rPr>
              <w:t>(6)</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1,344,340</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300,000</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2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Jian Wang</w:t>
            </w:r>
            <w:r>
              <w:rPr>
                <w:rFonts w:ascii="Arial" w:cs="Arial" w:eastAsia="Arial" w:hAnsi="Arial"/>
                <w:sz w:val="18"/>
                <w:szCs w:val="18"/>
                <w:b w:val="1"/>
                <w:bCs w:val="1"/>
                <w:color w:val="auto"/>
                <w:vertAlign w:val="superscript"/>
              </w:rPr>
              <w:t>(7)</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418,161</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150,003</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2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Chenming Hu</w:t>
            </w:r>
            <w:r>
              <w:rPr>
                <w:rFonts w:ascii="Arial" w:cs="Arial" w:eastAsia="Arial" w:hAnsi="Arial"/>
                <w:sz w:val="18"/>
                <w:szCs w:val="18"/>
                <w:b w:val="1"/>
                <w:bCs w:val="1"/>
                <w:color w:val="auto"/>
                <w:vertAlign w:val="superscript"/>
              </w:rPr>
              <w:t>(8)</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20,000</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Tracy Liu</w:t>
            </w:r>
            <w:r>
              <w:rPr>
                <w:rFonts w:ascii="Arial" w:cs="Arial" w:eastAsia="Arial" w:hAnsi="Arial"/>
                <w:sz w:val="18"/>
                <w:szCs w:val="18"/>
                <w:b w:val="1"/>
                <w:bCs w:val="1"/>
                <w:color w:val="auto"/>
                <w:vertAlign w:val="superscript"/>
              </w:rPr>
              <w:t>(9)</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234,522</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Fuping Chen</w:t>
            </w:r>
            <w:r>
              <w:rPr>
                <w:rFonts w:ascii="Arial" w:cs="Arial" w:eastAsia="Arial" w:hAnsi="Arial"/>
                <w:sz w:val="18"/>
                <w:szCs w:val="18"/>
                <w:b w:val="1"/>
                <w:bCs w:val="1"/>
                <w:color w:val="auto"/>
                <w:vertAlign w:val="superscript"/>
              </w:rPr>
              <w:t>(10)</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114,165</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Lisa Feng</w:t>
            </w:r>
            <w:r>
              <w:rPr>
                <w:rFonts w:ascii="Arial" w:cs="Arial" w:eastAsia="Arial" w:hAnsi="Arial"/>
                <w:sz w:val="18"/>
                <w:szCs w:val="18"/>
                <w:b w:val="1"/>
                <w:bCs w:val="1"/>
                <w:color w:val="auto"/>
                <w:vertAlign w:val="superscript"/>
              </w:rPr>
              <w:t>(11)</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173,334</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Mark McKechnie</w:t>
            </w:r>
            <w:r>
              <w:rPr>
                <w:rFonts w:ascii="Arial" w:cs="Arial" w:eastAsia="Arial" w:hAnsi="Arial"/>
                <w:sz w:val="18"/>
                <w:szCs w:val="18"/>
                <w:b w:val="1"/>
                <w:bCs w:val="1"/>
                <w:color w:val="auto"/>
                <w:vertAlign w:val="superscript"/>
              </w:rPr>
              <w:t>(12)</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208,599</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Charles Pappis</w:t>
            </w:r>
            <w:r>
              <w:rPr>
                <w:rFonts w:ascii="Arial" w:cs="Arial" w:eastAsia="Arial" w:hAnsi="Arial"/>
                <w:sz w:val="18"/>
                <w:szCs w:val="18"/>
                <w:b w:val="1"/>
                <w:bCs w:val="1"/>
                <w:color w:val="auto"/>
                <w:vertAlign w:val="superscript"/>
              </w:rPr>
              <w:t>(13)</w:t>
            </w:r>
          </w:p>
        </w:tc>
        <w:tc>
          <w:tcPr>
            <w:tcW w:w="15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7"/>
        </w:trPr>
        <w:tc>
          <w:tcPr>
            <w:tcW w:w="4980" w:type="dxa"/>
            <w:vAlign w:val="bottom"/>
            <w:tcBorders>
              <w:bottom w:val="single" w:sz="8" w:color="0079C1"/>
            </w:tcBorders>
          </w:tcPr>
          <w:p>
            <w:pPr>
              <w:ind w:left="100"/>
              <w:spacing w:after="0"/>
              <w:rPr>
                <w:sz w:val="20"/>
                <w:szCs w:val="20"/>
                <w:color w:val="auto"/>
              </w:rPr>
            </w:pPr>
            <w:r>
              <w:rPr>
                <w:rFonts w:ascii="Arial" w:cs="Arial" w:eastAsia="Arial" w:hAnsi="Arial"/>
                <w:sz w:val="14"/>
                <w:szCs w:val="14"/>
                <w:b w:val="1"/>
                <w:bCs w:val="1"/>
                <w:color w:val="auto"/>
              </w:rPr>
              <w:t>All executive officers and directors as a group (10 persons)</w:t>
            </w:r>
            <w:r>
              <w:rPr>
                <w:rFonts w:ascii="Arial" w:cs="Arial" w:eastAsia="Arial" w:hAnsi="Arial"/>
                <w:sz w:val="18"/>
                <w:szCs w:val="18"/>
                <w:b w:val="1"/>
                <w:bCs w:val="1"/>
                <w:color w:val="auto"/>
                <w:vertAlign w:val="superscript"/>
              </w:rPr>
              <w:t>(14)</w:t>
            </w:r>
          </w:p>
        </w:tc>
        <w:tc>
          <w:tcPr>
            <w:tcW w:w="1580" w:type="dxa"/>
            <w:vAlign w:val="bottom"/>
            <w:tcBorders>
              <w:bottom w:val="single" w:sz="8" w:color="0079C1"/>
            </w:tcBorders>
          </w:tcPr>
          <w:p>
            <w:pPr>
              <w:jc w:val="right"/>
              <w:ind w:right="408"/>
              <w:spacing w:after="0"/>
              <w:rPr>
                <w:sz w:val="20"/>
                <w:szCs w:val="20"/>
                <w:color w:val="auto"/>
              </w:rPr>
            </w:pPr>
            <w:r>
              <w:rPr>
                <w:rFonts w:ascii="Arial" w:cs="Arial" w:eastAsia="Arial" w:hAnsi="Arial"/>
                <w:sz w:val="14"/>
                <w:szCs w:val="14"/>
                <w:color w:val="auto"/>
              </w:rPr>
              <w:t>11,486,342</w:t>
            </w:r>
          </w:p>
        </w:tc>
        <w:tc>
          <w:tcPr>
            <w:tcW w:w="780" w:type="dxa"/>
            <w:vAlign w:val="bottom"/>
            <w:tcBorders>
              <w:bottom w:val="single" w:sz="8" w:color="0079C1"/>
            </w:tcBorders>
          </w:tcPr>
          <w:p>
            <w:pPr>
              <w:jc w:val="right"/>
              <w:ind w:right="228"/>
              <w:spacing w:after="0"/>
              <w:rPr>
                <w:sz w:val="20"/>
                <w:szCs w:val="20"/>
                <w:color w:val="auto"/>
              </w:rPr>
            </w:pPr>
            <w:r>
              <w:rPr>
                <w:rFonts w:ascii="Arial" w:cs="Arial" w:eastAsia="Arial" w:hAnsi="Arial"/>
                <w:sz w:val="14"/>
                <w:szCs w:val="14"/>
                <w:color w:val="auto"/>
              </w:rPr>
              <w:t>18.8</w:t>
            </w:r>
          </w:p>
        </w:tc>
        <w:tc>
          <w:tcPr>
            <w:tcW w:w="1180" w:type="dxa"/>
            <w:vAlign w:val="bottom"/>
            <w:tcBorders>
              <w:bottom w:val="single" w:sz="8" w:color="0079C1"/>
            </w:tcBorders>
          </w:tcPr>
          <w:p>
            <w:pPr>
              <w:jc w:val="right"/>
              <w:ind w:right="228"/>
              <w:spacing w:after="0"/>
              <w:rPr>
                <w:sz w:val="20"/>
                <w:szCs w:val="20"/>
                <w:color w:val="auto"/>
              </w:rPr>
            </w:pPr>
            <w:r>
              <w:rPr>
                <w:rFonts w:ascii="Arial" w:cs="Arial" w:eastAsia="Arial" w:hAnsi="Arial"/>
                <w:sz w:val="14"/>
                <w:szCs w:val="14"/>
                <w:color w:val="auto"/>
              </w:rPr>
              <w:t>4,616,811</w:t>
            </w:r>
          </w:p>
        </w:tc>
        <w:tc>
          <w:tcPr>
            <w:tcW w:w="540" w:type="dxa"/>
            <w:vAlign w:val="bottom"/>
            <w:tcBorders>
              <w:bottom w:val="single" w:sz="8" w:color="0079C1"/>
            </w:tcBorders>
          </w:tcPr>
          <w:p>
            <w:pPr>
              <w:jc w:val="right"/>
              <w:ind w:right="8"/>
              <w:spacing w:after="0"/>
              <w:rPr>
                <w:sz w:val="20"/>
                <w:szCs w:val="20"/>
                <w:color w:val="auto"/>
              </w:rPr>
            </w:pPr>
            <w:r>
              <w:rPr>
                <w:rFonts w:ascii="Arial" w:cs="Arial" w:eastAsia="Arial" w:hAnsi="Arial"/>
                <w:sz w:val="14"/>
                <w:szCs w:val="14"/>
                <w:color w:val="auto"/>
              </w:rPr>
              <w:t>92.5</w:t>
            </w:r>
          </w:p>
        </w:tc>
        <w:tc>
          <w:tcPr>
            <w:tcW w:w="2080" w:type="dxa"/>
            <w:vAlign w:val="bottom"/>
            <w:tcBorders>
              <w:bottom w:val="single" w:sz="8" w:color="0079C1"/>
            </w:tcBorders>
          </w:tcPr>
          <w:p>
            <w:pPr>
              <w:jc w:val="right"/>
              <w:ind w:right="128"/>
              <w:spacing w:after="0"/>
              <w:rPr>
                <w:sz w:val="20"/>
                <w:szCs w:val="20"/>
                <w:color w:val="auto"/>
              </w:rPr>
            </w:pPr>
            <w:r>
              <w:rPr>
                <w:rFonts w:ascii="Arial" w:cs="Arial" w:eastAsia="Arial" w:hAnsi="Arial"/>
                <w:sz w:val="14"/>
                <w:szCs w:val="14"/>
                <w:color w:val="auto"/>
              </w:rPr>
              <w:t>64.5</w:t>
            </w:r>
          </w:p>
        </w:tc>
      </w:tr>
    </w:tbl>
    <w:p>
      <w:pPr>
        <w:spacing w:after="0" w:line="166" w:lineRule="exact"/>
        <w:rPr>
          <w:sz w:val="20"/>
          <w:szCs w:val="20"/>
          <w:color w:val="auto"/>
        </w:rPr>
      </w:pPr>
    </w:p>
    <w:p>
      <w:pPr>
        <w:ind w:left="240" w:hanging="232"/>
        <w:spacing w:after="0"/>
        <w:tabs>
          <w:tab w:leader="none" w:pos="2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260" w:right="360" w:hanging="252"/>
        <w:spacing w:after="0" w:line="36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number of shares of Class A common stock issuable upon conversion of shares of Class B common stock, which are convertible at any time into shares of Class A common stock.</w:t>
      </w:r>
    </w:p>
    <w:p>
      <w:pPr>
        <w:ind w:left="260" w:right="200" w:hanging="252"/>
        <w:spacing w:after="0" w:line="36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ind w:left="260" w:right="240" w:hanging="252"/>
        <w:spacing w:after="0" w:line="36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 Schedule 13G/A filed with the SEC on October 2, 2025 by BlackRock, Inc., BlackRock, Inc. has sole voting power over 7,296,615 shares of Class A common stock and sole dispositive power over 7,420,308 shares of Class A common stock. The address of BlackRock, Inc. is 50 Hudson Yards, New York, New York 10001.</w:t>
      </w:r>
    </w:p>
    <w:p>
      <w:pPr>
        <w:jc w:val="both"/>
        <w:ind w:left="260" w:right="200" w:hanging="252"/>
        <w:spacing w:after="0" w:line="343"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 Schedule 13D/A filed with the SEC on October 29, 2024, Shanghai Pudong Innotek Capital Co., Ltd. has shared voting and dispositive power over 3,358,728 shares of Class A common stock. The address of Shanghai Pudong Innotek Capital Co., Ltd. is No. 118 Rongke Road, 17th Floor, Pudong New Area, Shanghai, People’s Republic of China 200120.</w:t>
      </w:r>
    </w:p>
    <w:p>
      <w:pPr>
        <w:spacing w:after="0" w:line="11" w:lineRule="exact"/>
        <w:rPr>
          <w:rFonts w:ascii="Arial" w:cs="Arial" w:eastAsia="Arial" w:hAnsi="Arial"/>
          <w:sz w:val="14"/>
          <w:szCs w:val="14"/>
          <w:color w:val="auto"/>
        </w:rPr>
      </w:pPr>
    </w:p>
    <w:p>
      <w:pPr>
        <w:ind w:left="260" w:right="100" w:hanging="252"/>
        <w:spacing w:after="0" w:line="33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(a) 800,001 shares of Class A common stock held by Dr. Wang and Jing Chen, as Trustees for the Wang-Chen Family Living Trust; (b) 100,000 shares held by Dr. Wang’s wife, Jing Chen; (c) 45,837 shares of Class A common stock held by Dr. Wang’s daughter, Sophia Wang; (d)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(e) 3,440,802 shares of Class A common stock issuable upon the exercise of options exercisable by June 12, 2026.</w:t>
      </w:r>
    </w:p>
    <w:p>
      <w:pPr>
        <w:spacing w:after="0" w:line="20" w:lineRule="exact"/>
        <w:rPr>
          <w:rFonts w:ascii="Arial" w:cs="Arial" w:eastAsia="Arial" w:hAnsi="Arial"/>
          <w:sz w:val="14"/>
          <w:szCs w:val="14"/>
          <w:color w:val="auto"/>
        </w:rPr>
      </w:pPr>
    </w:p>
    <w:p>
      <w:pPr>
        <w:ind w:left="260" w:right="40" w:hanging="252"/>
        <w:spacing w:after="0" w:line="36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(a) 189,250 shares of Class A common stock issuable under options exercisable by June 12, 2026 and (b) 300,000 shares of Class A common stock issuable upon conversion of Class B common stock.</w:t>
      </w:r>
    </w:p>
    <w:p>
      <w:pPr>
        <w:ind w:left="260" w:right="120" w:hanging="252"/>
        <w:spacing w:after="0" w:line="362" w:lineRule="auto"/>
        <w:tabs>
          <w:tab w:leader="none" w:pos="2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(a) 15,000 shares of Class A common stock issuable under options exercisable by June 12, 2026 and (b) 150,003 shares of Class A common stock issuable upon conversion of Class B common stock.</w:t>
      </w:r>
    </w:p>
    <w:p>
      <w:pPr>
        <w:ind w:left="240" w:hanging="232"/>
        <w:spacing w:after="0"/>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20,000 shares of Class A common stock issuable under options exercisable by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15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123,750 shares of Class A common stock issuable under options exercisable by June 12, 2026.</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114,165 shares of Class A common stock issuable under options exercisable by June 12, 2026.</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123,333 shares of Class A common stock exercisable under options by June 12, 2026.</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207,699 shares of Class A common stock exercisable under options by June 12, 2026.</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5,000 shares of Class A common stock exercisable under options by June 12, 2026.</w:t>
      </w:r>
    </w:p>
    <w:p>
      <w:pPr>
        <w:spacing w:after="0" w:line="109" w:lineRule="exact"/>
        <w:rPr>
          <w:rFonts w:ascii="Arial" w:cs="Arial" w:eastAsia="Arial" w:hAnsi="Arial"/>
          <w:sz w:val="14"/>
          <w:szCs w:val="14"/>
          <w:color w:val="auto"/>
        </w:rPr>
      </w:pPr>
    </w:p>
    <w:p>
      <w:pPr>
        <w:ind w:left="260" w:right="40" w:hanging="252"/>
        <w:spacing w:after="0" w:line="365" w:lineRule="auto"/>
        <w:tabs>
          <w:tab w:leader="none" w:pos="25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 3,788,562 shares of Class A common stock issuable under options exercisable by June 12, 2026, (b) 4,616,811 shares of Class A common stock issuable upon conversion of Class B common stock and (c) shares held jointly, indirectly and/or in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Delinquent Section 16(a) Reports</w:t>
      </w:r>
    </w:p>
    <w:p>
      <w:pPr>
        <w:spacing w:after="0" w:line="200" w:lineRule="exact"/>
        <w:rPr>
          <w:sz w:val="20"/>
          <w:szCs w:val="20"/>
          <w:color w:val="auto"/>
        </w:rPr>
      </w:pPr>
    </w:p>
    <w:p>
      <w:pPr>
        <w:spacing w:after="0" w:line="252" w:lineRule="exact"/>
        <w:rPr>
          <w:sz w:val="20"/>
          <w:szCs w:val="20"/>
          <w:color w:val="auto"/>
        </w:rPr>
      </w:pPr>
    </w:p>
    <w:p>
      <w:pPr>
        <w:jc w:val="both"/>
        <w:ind w:right="520"/>
        <w:spacing w:after="0" w:line="363" w:lineRule="auto"/>
        <w:rPr>
          <w:sz w:val="20"/>
          <w:szCs w:val="20"/>
          <w:color w:val="auto"/>
        </w:rPr>
      </w:pPr>
      <w:r>
        <w:rPr>
          <w:rFonts w:ascii="Arial" w:cs="Arial" w:eastAsia="Arial" w:hAnsi="Arial"/>
          <w:sz w:val="16"/>
          <w:szCs w:val="16"/>
          <w:color w:val="auto"/>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10"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Based solely upon a review of the Section 16(a) reports furnished to us, along with written representations from our executive officers and directors, we believe that all Section 16(a) filings applicable to our directors, officers, and 10% stockholders were filed on a timely basis during the year ended December 31, 2025, except those listed below:</w:t>
      </w:r>
    </w:p>
    <w:p>
      <w:pPr>
        <w:spacing w:after="0" w:line="117"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May 21, 2025: Section 16(a) filing filed late by Charles Pappis reporting one late Form 3 reflecting one transaction.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May 21, 2025: Section 16(a) filing filed late by Charles Pappis reporting one late Form 4 reflecting one transaction.</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August 30, 2025: Section 16(a) filing filed late by David H. Wang reporting one late Form 4 reflecting one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Executive Officers</w:t>
      </w:r>
    </w:p>
    <w:p>
      <w:pPr>
        <w:spacing w:after="0" w:line="200" w:lineRule="exact"/>
        <w:rPr>
          <w:sz w:val="20"/>
          <w:szCs w:val="20"/>
          <w:color w:val="auto"/>
        </w:rPr>
      </w:pPr>
    </w:p>
    <w:p>
      <w:pPr>
        <w:spacing w:after="0" w:line="252" w:lineRule="exact"/>
        <w:rPr>
          <w:sz w:val="20"/>
          <w:szCs w:val="20"/>
          <w:color w:val="auto"/>
        </w:rPr>
      </w:pPr>
    </w:p>
    <w:p>
      <w:pPr>
        <w:jc w:val="both"/>
        <w:ind w:right="160"/>
        <w:spacing w:after="0" w:line="363" w:lineRule="auto"/>
        <w:rPr>
          <w:sz w:val="20"/>
          <w:szCs w:val="20"/>
          <w:color w:val="auto"/>
        </w:rPr>
      </w:pPr>
      <w:r>
        <w:rPr>
          <w:rFonts w:ascii="Arial" w:cs="Arial" w:eastAsia="Arial" w:hAnsi="Arial"/>
          <w:sz w:val="16"/>
          <w:szCs w:val="16"/>
          <w:color w:val="auto"/>
        </w:rPr>
        <w:t>The following table sets forth, as of April 13, 2026,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shd w:val="clear" w:color="auto" w:fill="0079C1"/>
          </w:tcPr>
          <w:p>
            <w:pPr>
              <w:spacing w:after="0"/>
              <w:rPr>
                <w:sz w:val="16"/>
                <w:szCs w:val="16"/>
                <w:color w:val="auto"/>
              </w:rPr>
            </w:pPr>
          </w:p>
        </w:tc>
        <w:tc>
          <w:tcPr>
            <w:tcW w:w="680" w:type="dxa"/>
            <w:vAlign w:val="bottom"/>
            <w:shd w:val="clear" w:color="auto" w:fill="0079C1"/>
          </w:tcPr>
          <w:p>
            <w:pPr>
              <w:spacing w:after="0"/>
              <w:rPr>
                <w:sz w:val="16"/>
                <w:szCs w:val="16"/>
                <w:color w:val="auto"/>
              </w:rPr>
            </w:pPr>
          </w:p>
        </w:tc>
        <w:tc>
          <w:tcPr>
            <w:tcW w:w="7580" w:type="dxa"/>
            <w:vAlign w:val="bottom"/>
            <w:shd w:val="clear" w:color="auto" w:fill="0079C1"/>
          </w:tcPr>
          <w:p>
            <w:pPr>
              <w:spacing w:after="0"/>
              <w:rPr>
                <w:sz w:val="16"/>
                <w:szCs w:val="16"/>
                <w:color w:val="auto"/>
              </w:rPr>
            </w:pPr>
          </w:p>
        </w:tc>
        <w:tc>
          <w:tcPr>
            <w:tcW w:w="1480" w:type="dxa"/>
            <w:vAlign w:val="bottom"/>
            <w:shd w:val="clear" w:color="auto" w:fill="0079C1"/>
          </w:tcPr>
          <w:p>
            <w:pPr>
              <w:jc w:val="center"/>
              <w:ind w:right="108"/>
              <w:spacing w:after="0"/>
              <w:rPr>
                <w:sz w:val="20"/>
                <w:szCs w:val="20"/>
                <w:color w:val="auto"/>
              </w:rPr>
            </w:pPr>
            <w:r>
              <w:rPr>
                <w:rFonts w:ascii="Arial" w:cs="Arial" w:eastAsia="Arial" w:hAnsi="Arial"/>
                <w:sz w:val="14"/>
                <w:szCs w:val="14"/>
                <w:b w:val="1"/>
                <w:bCs w:val="1"/>
                <w:color w:val="FFFFFF"/>
              </w:rPr>
              <w:t>Year First Elected</w:t>
            </w:r>
          </w:p>
        </w:tc>
      </w:tr>
      <w:tr>
        <w:trPr>
          <w:trHeight w:val="196"/>
        </w:trPr>
        <w:tc>
          <w:tcPr>
            <w:tcW w:w="150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w:t>
            </w:r>
          </w:p>
        </w:tc>
        <w:tc>
          <w:tcPr>
            <w:tcW w:w="680" w:type="dxa"/>
            <w:vAlign w:val="bottom"/>
            <w:shd w:val="clear" w:color="auto" w:fill="0079C1"/>
          </w:tcPr>
          <w:p>
            <w:pPr>
              <w:jc w:val="center"/>
              <w:ind w:left="48"/>
              <w:spacing w:after="0"/>
              <w:rPr>
                <w:sz w:val="20"/>
                <w:szCs w:val="20"/>
                <w:color w:val="auto"/>
              </w:rPr>
            </w:pPr>
            <w:r>
              <w:rPr>
                <w:rFonts w:ascii="Arial" w:cs="Arial" w:eastAsia="Arial" w:hAnsi="Arial"/>
                <w:sz w:val="14"/>
                <w:szCs w:val="14"/>
                <w:b w:val="1"/>
                <w:bCs w:val="1"/>
                <w:color w:val="FFFFFF"/>
              </w:rPr>
              <w:t>Age</w:t>
            </w:r>
          </w:p>
        </w:tc>
        <w:tc>
          <w:tcPr>
            <w:tcW w:w="7580" w:type="dxa"/>
            <w:vAlign w:val="bottom"/>
            <w:shd w:val="clear" w:color="auto" w:fill="0079C1"/>
          </w:tcPr>
          <w:p>
            <w:pPr>
              <w:ind w:left="140"/>
              <w:spacing w:after="0"/>
              <w:rPr>
                <w:sz w:val="20"/>
                <w:szCs w:val="20"/>
                <w:color w:val="auto"/>
              </w:rPr>
            </w:pPr>
            <w:r>
              <w:rPr>
                <w:rFonts w:ascii="Arial" w:cs="Arial" w:eastAsia="Arial" w:hAnsi="Arial"/>
                <w:sz w:val="14"/>
                <w:szCs w:val="14"/>
                <w:b w:val="1"/>
                <w:bCs w:val="1"/>
                <w:color w:val="FFFFFF"/>
              </w:rPr>
              <w:t>Positions and Business Experience</w:t>
            </w:r>
          </w:p>
        </w:tc>
        <w:tc>
          <w:tcPr>
            <w:tcW w:w="1480" w:type="dxa"/>
            <w:vAlign w:val="bottom"/>
            <w:shd w:val="clear" w:color="auto" w:fill="0079C1"/>
          </w:tcPr>
          <w:p>
            <w:pPr>
              <w:jc w:val="center"/>
              <w:ind w:right="108"/>
              <w:spacing w:after="0"/>
              <w:rPr>
                <w:sz w:val="20"/>
                <w:szCs w:val="20"/>
                <w:color w:val="auto"/>
              </w:rPr>
            </w:pPr>
            <w:r>
              <w:rPr>
                <w:rFonts w:ascii="Arial" w:cs="Arial" w:eastAsia="Arial" w:hAnsi="Arial"/>
                <w:sz w:val="14"/>
                <w:szCs w:val="14"/>
                <w:b w:val="1"/>
                <w:bCs w:val="1"/>
                <w:color w:val="FFFFFF"/>
              </w:rPr>
              <w:t>Officer</w:t>
            </w:r>
          </w:p>
        </w:tc>
      </w:tr>
      <w:tr>
        <w:trPr>
          <w:trHeight w:val="110"/>
        </w:trPr>
        <w:tc>
          <w:tcPr>
            <w:tcW w:w="1500" w:type="dxa"/>
            <w:vAlign w:val="bottom"/>
            <w:shd w:val="clear" w:color="auto" w:fill="0079C1"/>
          </w:tcPr>
          <w:p>
            <w:pPr>
              <w:spacing w:after="0"/>
              <w:rPr>
                <w:sz w:val="9"/>
                <w:szCs w:val="9"/>
                <w:color w:val="auto"/>
              </w:rPr>
            </w:pPr>
          </w:p>
        </w:tc>
        <w:tc>
          <w:tcPr>
            <w:tcW w:w="680" w:type="dxa"/>
            <w:vAlign w:val="bottom"/>
            <w:shd w:val="clear" w:color="auto" w:fill="0079C1"/>
          </w:tcPr>
          <w:p>
            <w:pPr>
              <w:spacing w:after="0"/>
              <w:rPr>
                <w:sz w:val="9"/>
                <w:szCs w:val="9"/>
                <w:color w:val="auto"/>
              </w:rPr>
            </w:pPr>
          </w:p>
        </w:tc>
        <w:tc>
          <w:tcPr>
            <w:tcW w:w="7580" w:type="dxa"/>
            <w:vAlign w:val="bottom"/>
            <w:shd w:val="clear" w:color="auto" w:fill="0079C1"/>
          </w:tcPr>
          <w:p>
            <w:pPr>
              <w:spacing w:after="0"/>
              <w:rPr>
                <w:sz w:val="9"/>
                <w:szCs w:val="9"/>
                <w:color w:val="auto"/>
              </w:rPr>
            </w:pPr>
          </w:p>
        </w:tc>
        <w:tc>
          <w:tcPr>
            <w:tcW w:w="1480" w:type="dxa"/>
            <w:vAlign w:val="bottom"/>
            <w:shd w:val="clear" w:color="auto" w:fill="0079C1"/>
          </w:tcPr>
          <w:p>
            <w:pPr>
              <w:spacing w:after="0"/>
              <w:rPr>
                <w:sz w:val="9"/>
                <w:szCs w:val="9"/>
                <w:color w:val="auto"/>
              </w:rPr>
            </w:pPr>
          </w:p>
        </w:tc>
      </w:tr>
      <w:tr>
        <w:trPr>
          <w:trHeight w:val="30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David H. Wang</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64</w:t>
            </w:r>
          </w:p>
        </w:tc>
        <w:tc>
          <w:tcPr>
            <w:tcW w:w="7580" w:type="dxa"/>
            <w:vAlign w:val="bottom"/>
          </w:tcPr>
          <w:p>
            <w:pPr>
              <w:ind w:left="140"/>
              <w:spacing w:after="0"/>
              <w:rPr>
                <w:sz w:val="20"/>
                <w:szCs w:val="20"/>
                <w:color w:val="auto"/>
              </w:rPr>
            </w:pPr>
            <w:r>
              <w:rPr>
                <w:rFonts w:ascii="Arial" w:cs="Arial" w:eastAsia="Arial" w:hAnsi="Arial"/>
                <w:sz w:val="14"/>
                <w:szCs w:val="14"/>
                <w:color w:val="auto"/>
              </w:rPr>
              <w:t>Please see “Proposal 1. Election of Directors—Information Concerning Nominees for Election as Directors.”</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1998</w:t>
            </w:r>
          </w:p>
        </w:tc>
      </w:tr>
      <w:tr>
        <w:trPr>
          <w:trHeight w:val="164"/>
        </w:trPr>
        <w:tc>
          <w:tcPr>
            <w:tcW w:w="1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26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Mark McKechnie</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60</w:t>
            </w:r>
          </w:p>
        </w:tc>
        <w:tc>
          <w:tcPr>
            <w:tcW w:w="7580" w:type="dxa"/>
            <w:vAlign w:val="bottom"/>
          </w:tcPr>
          <w:p>
            <w:pPr>
              <w:ind w:left="140"/>
              <w:spacing w:after="0"/>
              <w:rPr>
                <w:sz w:val="20"/>
                <w:szCs w:val="20"/>
                <w:color w:val="auto"/>
              </w:rPr>
            </w:pPr>
            <w:r>
              <w:rPr>
                <w:rFonts w:ascii="Arial" w:cs="Arial" w:eastAsia="Arial" w:hAnsi="Arial"/>
                <w:sz w:val="14"/>
                <w:szCs w:val="14"/>
                <w:color w:val="auto"/>
              </w:rPr>
              <w:t>Chief Financial Officer, Treasurer and Secretary of ACM Research, Inc. (November 2019-present); Vice President of</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2019</w:t>
            </w: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Finance of ACM Research, Inc. (July 2018-November 2019); Vice President of Investor Relations and Strategic</w:t>
            </w:r>
          </w:p>
        </w:tc>
        <w:tc>
          <w:tcPr>
            <w:tcW w:w="1480" w:type="dxa"/>
            <w:vAlign w:val="bottom"/>
          </w:tcPr>
          <w:p>
            <w:pPr>
              <w:spacing w:after="0"/>
              <w:rPr>
                <w:sz w:val="14"/>
                <w:szCs w:val="14"/>
                <w:color w:val="auto"/>
              </w:rPr>
            </w:pPr>
          </w:p>
        </w:tc>
      </w:tr>
      <w:tr>
        <w:trPr>
          <w:trHeight w:val="176"/>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Initiatives of Silver Spring Networks, a provider of smart grid products (November 2014-January 2018); Managing</w:t>
            </w: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Director of Technology Equity Research of Evercore Partners, a global investment banking firm (2012-2014);</w:t>
            </w:r>
          </w:p>
        </w:tc>
        <w:tc>
          <w:tcPr>
            <w:tcW w:w="1480" w:type="dxa"/>
            <w:vAlign w:val="bottom"/>
          </w:tcPr>
          <w:p>
            <w:pPr>
              <w:spacing w:after="0"/>
              <w:rPr>
                <w:sz w:val="15"/>
                <w:szCs w:val="15"/>
                <w:color w:val="auto"/>
              </w:rPr>
            </w:pPr>
          </w:p>
        </w:tc>
      </w:tr>
      <w:tr>
        <w:trPr>
          <w:trHeight w:val="176"/>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received a Bachelor of Science in Electrical Engineering degree from Purdue University and a Master of Business</w:t>
            </w:r>
          </w:p>
        </w:tc>
        <w:tc>
          <w:tcPr>
            <w:tcW w:w="148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Administration degree from The Kellogg School of Management at Northwestern University.</w:t>
            </w:r>
          </w:p>
        </w:tc>
        <w:tc>
          <w:tcPr>
            <w:tcW w:w="1480" w:type="dxa"/>
            <w:vAlign w:val="bottom"/>
          </w:tcPr>
          <w:p>
            <w:pPr>
              <w:spacing w:after="0"/>
              <w:rPr>
                <w:sz w:val="16"/>
                <w:szCs w:val="16"/>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6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Jian Wang</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61</w:t>
            </w:r>
          </w:p>
        </w:tc>
        <w:tc>
          <w:tcPr>
            <w:tcW w:w="7580" w:type="dxa"/>
            <w:vAlign w:val="bottom"/>
          </w:tcPr>
          <w:p>
            <w:pPr>
              <w:ind w:left="140"/>
              <w:spacing w:after="0"/>
              <w:rPr>
                <w:sz w:val="20"/>
                <w:szCs w:val="20"/>
                <w:color w:val="auto"/>
              </w:rPr>
            </w:pPr>
            <w:r>
              <w:rPr>
                <w:rFonts w:ascii="Arial" w:cs="Arial" w:eastAsia="Arial" w:hAnsi="Arial"/>
                <w:sz w:val="14"/>
                <w:szCs w:val="14"/>
                <w:color w:val="auto"/>
              </w:rPr>
              <w:t>Chief Executive Officer and President of ACM Research (Shanghai), Inc. (November 2019-present); Vice President,</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2015</w:t>
            </w: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Research and Development of ACM Research (Shanghai), Inc. (January 2015-November 2019); Director of</w:t>
            </w:r>
          </w:p>
        </w:tc>
        <w:tc>
          <w:tcPr>
            <w:tcW w:w="1480" w:type="dxa"/>
            <w:vAlign w:val="bottom"/>
          </w:tcPr>
          <w:p>
            <w:pPr>
              <w:spacing w:after="0"/>
              <w:rPr>
                <w:sz w:val="14"/>
                <w:szCs w:val="14"/>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Research and Development of ACM Research (Shanghai), Inc. (2011-January 2015), focusing on the research and</w:t>
            </w:r>
          </w:p>
        </w:tc>
        <w:tc>
          <w:tcPr>
            <w:tcW w:w="1480" w:type="dxa"/>
            <w:vAlign w:val="bottom"/>
          </w:tcPr>
          <w:p>
            <w:pPr>
              <w:spacing w:after="0"/>
              <w:rPr>
                <w:sz w:val="15"/>
                <w:szCs w:val="15"/>
                <w:color w:val="auto"/>
              </w:rPr>
            </w:pPr>
          </w:p>
        </w:tc>
      </w:tr>
      <w:tr>
        <w:trPr>
          <w:trHeight w:val="176"/>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development of stress-free polishing and electro-chemical-copper-planarization technologies; received a Master of</w:t>
            </w: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Science degree in computer science from Northwestern Polytechnic University, a Master of Science degree in</w:t>
            </w: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marine engineering from Kobe University and a Bachelor of Science degree in mechanical engineering from</w:t>
            </w:r>
          </w:p>
        </w:tc>
        <w:tc>
          <w:tcPr>
            <w:tcW w:w="148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Southeast University.</w:t>
            </w:r>
          </w:p>
        </w:tc>
        <w:tc>
          <w:tcPr>
            <w:tcW w:w="1480" w:type="dxa"/>
            <w:vAlign w:val="bottom"/>
          </w:tcPr>
          <w:p>
            <w:pPr>
              <w:spacing w:after="0"/>
              <w:rPr>
                <w:sz w:val="16"/>
                <w:szCs w:val="16"/>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6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Lisa Feng</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67</w:t>
            </w:r>
          </w:p>
        </w:tc>
        <w:tc>
          <w:tcPr>
            <w:tcW w:w="7580" w:type="dxa"/>
            <w:vAlign w:val="bottom"/>
          </w:tcPr>
          <w:p>
            <w:pPr>
              <w:ind w:left="140"/>
              <w:spacing w:after="0"/>
              <w:rPr>
                <w:sz w:val="20"/>
                <w:szCs w:val="20"/>
                <w:color w:val="auto"/>
              </w:rPr>
            </w:pPr>
            <w:r>
              <w:rPr>
                <w:rFonts w:ascii="Arial" w:cs="Arial" w:eastAsia="Arial" w:hAnsi="Arial"/>
                <w:sz w:val="14"/>
                <w:szCs w:val="14"/>
                <w:color w:val="auto"/>
              </w:rPr>
              <w:t>Chief Financial Officer of ACM Research (Shanghai), Inc. (November 2019-present); Chief Accounting Officer,</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2019</w:t>
            </w: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Interim Chief Financial Officer and Treasurer of ACM Research, Inc. (January 2018- November 2019); Financial</w:t>
            </w:r>
          </w:p>
        </w:tc>
        <w:tc>
          <w:tcPr>
            <w:tcW w:w="1480" w:type="dxa"/>
            <w:vAlign w:val="bottom"/>
          </w:tcPr>
          <w:p>
            <w:pPr>
              <w:spacing w:after="0"/>
              <w:rPr>
                <w:sz w:val="14"/>
                <w:szCs w:val="14"/>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Controller of Amlogic, a fabless semiconductor company (October 2017-January 2018); Corporate Controller of</w:t>
            </w: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Amlogic, Inc. (August 2008-September 2017); received a Bachelor of Science degree in Business/Economics from</w:t>
            </w:r>
          </w:p>
        </w:tc>
        <w:tc>
          <w:tcPr>
            <w:tcW w:w="148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Southern Connecticut State University and a Master of Science degree in Accounting from Golden Gate University.</w:t>
            </w:r>
          </w:p>
        </w:tc>
        <w:tc>
          <w:tcPr>
            <w:tcW w:w="1480" w:type="dxa"/>
            <w:vAlign w:val="bottom"/>
          </w:tcPr>
          <w:p>
            <w:pPr>
              <w:spacing w:after="0"/>
              <w:rPr>
                <w:sz w:val="16"/>
                <w:szCs w:val="16"/>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6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Sotheara Cheav</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74</w:t>
            </w:r>
          </w:p>
        </w:tc>
        <w:tc>
          <w:tcPr>
            <w:tcW w:w="7580" w:type="dxa"/>
            <w:vAlign w:val="bottom"/>
          </w:tcPr>
          <w:p>
            <w:pPr>
              <w:ind w:left="140"/>
              <w:spacing w:after="0"/>
              <w:rPr>
                <w:sz w:val="20"/>
                <w:szCs w:val="20"/>
                <w:color w:val="auto"/>
              </w:rPr>
            </w:pPr>
            <w:r>
              <w:rPr>
                <w:rFonts w:ascii="Arial" w:cs="Arial" w:eastAsia="Arial" w:hAnsi="Arial"/>
                <w:sz w:val="14"/>
                <w:szCs w:val="14"/>
                <w:color w:val="auto"/>
              </w:rPr>
              <w:t>Senior Vice President, Manufacturing of ACM Research, Inc. (April 2025-Present); Senior Vice President,</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2015</w:t>
            </w: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Manufacturing of ACM Research (Shanghai), Inc. (May 2019-March 2025); Vice President, Manufacturing of ACM</w:t>
            </w:r>
          </w:p>
        </w:tc>
        <w:tc>
          <w:tcPr>
            <w:tcW w:w="1480" w:type="dxa"/>
            <w:vAlign w:val="bottom"/>
          </w:tcPr>
          <w:p>
            <w:pPr>
              <w:spacing w:after="0"/>
              <w:rPr>
                <w:sz w:val="14"/>
                <w:szCs w:val="14"/>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Research (Shanghai), Inc. (January 2015-May 2019); Director of Manufacturing of ACM Research (Shanghai), Inc.</w:t>
            </w:r>
          </w:p>
        </w:tc>
        <w:tc>
          <w:tcPr>
            <w:tcW w:w="1480" w:type="dxa"/>
            <w:vAlign w:val="bottom"/>
          </w:tcPr>
          <w:p>
            <w:pPr>
              <w:spacing w:after="0"/>
              <w:rPr>
                <w:sz w:val="15"/>
                <w:szCs w:val="15"/>
                <w:color w:val="auto"/>
              </w:rPr>
            </w:pPr>
          </w:p>
        </w:tc>
      </w:tr>
      <w:tr>
        <w:trPr>
          <w:trHeight w:val="176"/>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(2011-December 2014); received a Bachelor of Science degree in Science and Technology from the University of</w:t>
            </w:r>
          </w:p>
        </w:tc>
        <w:tc>
          <w:tcPr>
            <w:tcW w:w="148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Cambodia and an Associate of Science degree in Electronics from Bay Valley Technical Institute.</w:t>
            </w:r>
          </w:p>
        </w:tc>
        <w:tc>
          <w:tcPr>
            <w:tcW w:w="1480" w:type="dxa"/>
            <w:vAlign w:val="bottom"/>
          </w:tcPr>
          <w:p>
            <w:pPr>
              <w:spacing w:after="0"/>
              <w:rPr>
                <w:sz w:val="16"/>
                <w:szCs w:val="16"/>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68"/>
        </w:trPr>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Fuping Chen</w:t>
            </w: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44</w:t>
            </w:r>
          </w:p>
        </w:tc>
        <w:tc>
          <w:tcPr>
            <w:tcW w:w="7580" w:type="dxa"/>
            <w:vAlign w:val="bottom"/>
          </w:tcPr>
          <w:p>
            <w:pPr>
              <w:ind w:left="140"/>
              <w:spacing w:after="0"/>
              <w:rPr>
                <w:sz w:val="20"/>
                <w:szCs w:val="20"/>
                <w:color w:val="auto"/>
              </w:rPr>
            </w:pPr>
            <w:r>
              <w:rPr>
                <w:rFonts w:ascii="Arial" w:cs="Arial" w:eastAsia="Arial" w:hAnsi="Arial"/>
                <w:sz w:val="14"/>
                <w:szCs w:val="14"/>
                <w:color w:val="auto"/>
              </w:rPr>
              <w:t>Vice President, Sales—China of ACM Research (Shanghai), Inc. (January 2018-present); Senior Technical Director</w:t>
            </w:r>
          </w:p>
        </w:tc>
        <w:tc>
          <w:tcPr>
            <w:tcW w:w="1480" w:type="dxa"/>
            <w:vAlign w:val="bottom"/>
          </w:tcPr>
          <w:p>
            <w:pPr>
              <w:jc w:val="center"/>
              <w:ind w:right="128"/>
              <w:spacing w:after="0"/>
              <w:rPr>
                <w:sz w:val="20"/>
                <w:szCs w:val="20"/>
                <w:color w:val="auto"/>
              </w:rPr>
            </w:pPr>
            <w:r>
              <w:rPr>
                <w:rFonts w:ascii="Arial" w:cs="Arial" w:eastAsia="Arial" w:hAnsi="Arial"/>
                <w:sz w:val="14"/>
                <w:szCs w:val="14"/>
                <w:color w:val="auto"/>
              </w:rPr>
              <w:t>2018</w:t>
            </w: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of ACM Research, Inc. (2010-2017); Assistant Wet Process Manager of SK Hynix Inc., a semiconductor company</w:t>
            </w:r>
          </w:p>
        </w:tc>
        <w:tc>
          <w:tcPr>
            <w:tcW w:w="1480" w:type="dxa"/>
            <w:vAlign w:val="bottom"/>
          </w:tcPr>
          <w:p>
            <w:pPr>
              <w:spacing w:after="0"/>
              <w:rPr>
                <w:sz w:val="14"/>
                <w:szCs w:val="14"/>
                <w:color w:val="auto"/>
              </w:rPr>
            </w:pPr>
          </w:p>
        </w:tc>
      </w:tr>
      <w:tr>
        <w:trPr>
          <w:trHeight w:val="175"/>
        </w:trPr>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(2006-2010); received a Bachelor of Science degree from Nanjing University of Technology of Material Science and</w:t>
            </w:r>
          </w:p>
        </w:tc>
        <w:tc>
          <w:tcPr>
            <w:tcW w:w="148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4"/>
                <w:szCs w:val="14"/>
                <w:color w:val="auto"/>
              </w:rPr>
              <w:t>Engineering and a Master of Science degree from Zhejiang University of Material Science and Engineering.</w:t>
            </w:r>
          </w:p>
        </w:tc>
        <w:tc>
          <w:tcPr>
            <w:tcW w:w="1480" w:type="dxa"/>
            <w:vAlign w:val="bottom"/>
          </w:tcPr>
          <w:p>
            <w:pPr>
              <w:spacing w:after="0"/>
              <w:rPr>
                <w:sz w:val="16"/>
                <w:szCs w:val="16"/>
                <w:color w:val="auto"/>
              </w:rPr>
            </w:pPr>
          </w:p>
        </w:tc>
      </w:tr>
      <w:tr>
        <w:trPr>
          <w:trHeight w:val="116"/>
        </w:trPr>
        <w:tc>
          <w:tcPr>
            <w:tcW w:w="1500" w:type="dxa"/>
            <w:vAlign w:val="bottom"/>
            <w:tcBorders>
              <w:bottom w:val="single" w:sz="8" w:color="0079C1"/>
            </w:tcBorders>
          </w:tcPr>
          <w:p>
            <w:pPr>
              <w:spacing w:after="0"/>
              <w:rPr>
                <w:sz w:val="10"/>
                <w:szCs w:val="10"/>
                <w:color w:val="auto"/>
              </w:rPr>
            </w:pPr>
          </w:p>
        </w:tc>
        <w:tc>
          <w:tcPr>
            <w:tcW w:w="680" w:type="dxa"/>
            <w:vAlign w:val="bottom"/>
            <w:tcBorders>
              <w:bottom w:val="single" w:sz="8" w:color="0079C1"/>
            </w:tcBorders>
          </w:tcPr>
          <w:p>
            <w:pPr>
              <w:spacing w:after="0"/>
              <w:rPr>
                <w:sz w:val="10"/>
                <w:szCs w:val="10"/>
                <w:color w:val="auto"/>
              </w:rPr>
            </w:pPr>
          </w:p>
        </w:tc>
        <w:tc>
          <w:tcPr>
            <w:tcW w:w="7580" w:type="dxa"/>
            <w:vAlign w:val="bottom"/>
            <w:tcBorders>
              <w:bottom w:val="single" w:sz="8" w:color="0079C1"/>
            </w:tcBorders>
          </w:tcPr>
          <w:p>
            <w:pPr>
              <w:spacing w:after="0"/>
              <w:rPr>
                <w:sz w:val="10"/>
                <w:szCs w:val="10"/>
                <w:color w:val="auto"/>
              </w:rPr>
            </w:pPr>
          </w:p>
        </w:tc>
        <w:tc>
          <w:tcPr>
            <w:tcW w:w="1480" w:type="dxa"/>
            <w:vAlign w:val="bottom"/>
            <w:tcBorders>
              <w:bottom w:val="single" w:sz="8" w:color="0079C1"/>
            </w:tcBorders>
          </w:tcPr>
          <w:p>
            <w:pPr>
              <w:spacing w:after="0"/>
              <w:rPr>
                <w:sz w:val="10"/>
                <w:szCs w:val="1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David Wang and Jian Wang are brothers.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151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580"/>
        <w:spacing w:after="0" w:line="283" w:lineRule="auto"/>
        <w:rPr>
          <w:sz w:val="20"/>
          <w:szCs w:val="20"/>
          <w:color w:val="auto"/>
        </w:rPr>
      </w:pPr>
      <w:r>
        <w:rPr>
          <w:rFonts w:ascii="Arial" w:cs="Arial" w:eastAsia="Arial" w:hAnsi="Arial"/>
          <w:sz w:val="58"/>
          <w:szCs w:val="58"/>
          <w:color w:val="auto"/>
        </w:rPr>
        <w:t>Compensation Discussion and Analysis</w:t>
      </w:r>
    </w:p>
    <w:p>
      <w:pPr>
        <w:spacing w:after="0" w:line="234" w:lineRule="exact"/>
        <w:rPr>
          <w:sz w:val="20"/>
          <w:szCs w:val="20"/>
          <w:color w:val="auto"/>
        </w:rPr>
      </w:pPr>
    </w:p>
    <w:p>
      <w:pPr>
        <w:ind w:right="80"/>
        <w:spacing w:after="0" w:line="392" w:lineRule="auto"/>
        <w:rPr>
          <w:sz w:val="20"/>
          <w:szCs w:val="20"/>
          <w:color w:val="auto"/>
        </w:rPr>
      </w:pPr>
      <w:r>
        <w:rPr>
          <w:rFonts w:ascii="Arial" w:cs="Arial" w:eastAsia="Arial" w:hAnsi="Arial"/>
          <w:sz w:val="16"/>
          <w:szCs w:val="16"/>
          <w:color w:val="auto"/>
        </w:rPr>
        <w:t>This Compensation Discussion and Analysis explains our executive compensation program as it relates to our Named Executive Officers (NEOs), who have been determined, and whose compensation information is presented in the following tables and discussion, in accordance with SEC rules: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Fiscal Year 2025 NEOs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8520" w:type="dxa"/>
            <w:vAlign w:val="bottom"/>
            <w:shd w:val="clear" w:color="auto" w:fill="0079C1"/>
          </w:tcPr>
          <w:p>
            <w:pPr>
              <w:ind w:left="900"/>
              <w:spacing w:after="0"/>
              <w:rPr>
                <w:sz w:val="20"/>
                <w:szCs w:val="20"/>
                <w:color w:val="auto"/>
              </w:rPr>
            </w:pPr>
            <w:r>
              <w:rPr>
                <w:rFonts w:ascii="Arial" w:cs="Arial" w:eastAsia="Arial" w:hAnsi="Arial"/>
                <w:sz w:val="14"/>
                <w:szCs w:val="14"/>
                <w:b w:val="1"/>
                <w:bCs w:val="1"/>
                <w:color w:val="FFFFFF"/>
              </w:rPr>
              <w:t>Position(s)</w:t>
            </w:r>
          </w:p>
        </w:tc>
      </w:tr>
      <w:tr>
        <w:trPr>
          <w:trHeight w:val="108"/>
        </w:trPr>
        <w:tc>
          <w:tcPr>
            <w:tcW w:w="2700" w:type="dxa"/>
            <w:vAlign w:val="bottom"/>
            <w:shd w:val="clear" w:color="auto" w:fill="0079C1"/>
          </w:tcPr>
          <w:p>
            <w:pPr>
              <w:spacing w:after="0"/>
              <w:rPr>
                <w:sz w:val="9"/>
                <w:szCs w:val="9"/>
                <w:color w:val="auto"/>
              </w:rPr>
            </w:pPr>
          </w:p>
        </w:tc>
        <w:tc>
          <w:tcPr>
            <w:tcW w:w="8520" w:type="dxa"/>
            <w:vAlign w:val="bottom"/>
            <w:shd w:val="clear" w:color="auto" w:fill="0079C1"/>
          </w:tcPr>
          <w:p>
            <w:pPr>
              <w:spacing w:after="0"/>
              <w:rPr>
                <w:sz w:val="9"/>
                <w:szCs w:val="9"/>
                <w:color w:val="auto"/>
              </w:rPr>
            </w:pPr>
          </w:p>
        </w:tc>
      </w:tr>
      <w:tr>
        <w:trPr>
          <w:trHeight w:val="235"/>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David H. Wang</w:t>
            </w:r>
          </w:p>
        </w:tc>
        <w:tc>
          <w:tcPr>
            <w:tcW w:w="8520" w:type="dxa"/>
            <w:vAlign w:val="bottom"/>
          </w:tcPr>
          <w:p>
            <w:pPr>
              <w:ind w:left="900"/>
              <w:spacing w:after="0"/>
              <w:rPr>
                <w:sz w:val="20"/>
                <w:szCs w:val="20"/>
                <w:color w:val="auto"/>
              </w:rPr>
            </w:pPr>
            <w:r>
              <w:rPr>
                <w:rFonts w:ascii="Arial" w:cs="Arial" w:eastAsia="Arial" w:hAnsi="Arial"/>
                <w:sz w:val="14"/>
                <w:szCs w:val="14"/>
                <w:color w:val="auto"/>
              </w:rPr>
              <w:t>Chief Executive Officer and President</w:t>
            </w:r>
          </w:p>
        </w:tc>
      </w:tr>
      <w:tr>
        <w:trPr>
          <w:trHeight w:val="48"/>
        </w:trPr>
        <w:tc>
          <w:tcPr>
            <w:tcW w:w="2700" w:type="dxa"/>
            <w:vAlign w:val="bottom"/>
            <w:tcBorders>
              <w:bottom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r>
      <w:tr>
        <w:trPr>
          <w:trHeight w:val="228"/>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Mark McKechnie</w:t>
            </w:r>
          </w:p>
        </w:tc>
        <w:tc>
          <w:tcPr>
            <w:tcW w:w="8520" w:type="dxa"/>
            <w:vAlign w:val="bottom"/>
          </w:tcPr>
          <w:p>
            <w:pPr>
              <w:ind w:left="900"/>
              <w:spacing w:after="0"/>
              <w:rPr>
                <w:sz w:val="20"/>
                <w:szCs w:val="20"/>
                <w:color w:val="auto"/>
              </w:rPr>
            </w:pPr>
            <w:r>
              <w:rPr>
                <w:rFonts w:ascii="Arial" w:cs="Arial" w:eastAsia="Arial" w:hAnsi="Arial"/>
                <w:sz w:val="14"/>
                <w:szCs w:val="14"/>
                <w:color w:val="auto"/>
              </w:rPr>
              <w:t>Chief Financial Officer, Treasurer and Secretary</w:t>
            </w:r>
          </w:p>
        </w:tc>
      </w:tr>
      <w:tr>
        <w:trPr>
          <w:trHeight w:val="49"/>
        </w:trPr>
        <w:tc>
          <w:tcPr>
            <w:tcW w:w="2700" w:type="dxa"/>
            <w:vAlign w:val="bottom"/>
            <w:tcBorders>
              <w:bottom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r>
      <w:tr>
        <w:trPr>
          <w:trHeight w:val="248"/>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Jian Wang</w:t>
            </w:r>
          </w:p>
        </w:tc>
        <w:tc>
          <w:tcPr>
            <w:tcW w:w="8520" w:type="dxa"/>
            <w:vAlign w:val="bottom"/>
          </w:tcPr>
          <w:p>
            <w:pPr>
              <w:ind w:left="900"/>
              <w:spacing w:after="0"/>
              <w:rPr>
                <w:sz w:val="20"/>
                <w:szCs w:val="20"/>
                <w:color w:val="auto"/>
              </w:rPr>
            </w:pPr>
            <w:r>
              <w:rPr>
                <w:rFonts w:ascii="Arial" w:cs="Arial" w:eastAsia="Arial" w:hAnsi="Arial"/>
                <w:sz w:val="14"/>
                <w:szCs w:val="14"/>
                <w:color w:val="auto"/>
              </w:rPr>
              <w:t>Chief Executive Oﬃcer and President, ACM Research (Shanghai), Inc.</w:t>
            </w:r>
          </w:p>
        </w:tc>
      </w:tr>
      <w:tr>
        <w:trPr>
          <w:trHeight w:val="28"/>
        </w:trPr>
        <w:tc>
          <w:tcPr>
            <w:tcW w:w="2700" w:type="dxa"/>
            <w:vAlign w:val="bottom"/>
            <w:tcBorders>
              <w:bottom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Lisa Feng</w:t>
            </w:r>
          </w:p>
        </w:tc>
        <w:tc>
          <w:tcPr>
            <w:tcW w:w="8520" w:type="dxa"/>
            <w:vAlign w:val="bottom"/>
          </w:tcPr>
          <w:p>
            <w:pPr>
              <w:ind w:left="900"/>
              <w:spacing w:after="0"/>
              <w:rPr>
                <w:sz w:val="20"/>
                <w:szCs w:val="20"/>
                <w:color w:val="auto"/>
              </w:rPr>
            </w:pPr>
            <w:r>
              <w:rPr>
                <w:rFonts w:ascii="Arial" w:cs="Arial" w:eastAsia="Arial" w:hAnsi="Arial"/>
                <w:sz w:val="14"/>
                <w:szCs w:val="14"/>
                <w:color w:val="auto"/>
              </w:rPr>
              <w:t>Chief Financial Officer, ACM Research (Shanghai), Inc.</w:t>
            </w:r>
          </w:p>
        </w:tc>
      </w:tr>
      <w:tr>
        <w:trPr>
          <w:trHeight w:val="48"/>
        </w:trPr>
        <w:tc>
          <w:tcPr>
            <w:tcW w:w="2700" w:type="dxa"/>
            <w:vAlign w:val="bottom"/>
            <w:tcBorders>
              <w:bottom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r>
      <w:tr>
        <w:trPr>
          <w:trHeight w:val="228"/>
        </w:trPr>
        <w:tc>
          <w:tcPr>
            <w:tcW w:w="2700" w:type="dxa"/>
            <w:vAlign w:val="bottom"/>
          </w:tcPr>
          <w:p>
            <w:pPr>
              <w:ind w:left="100"/>
              <w:spacing w:after="0"/>
              <w:rPr>
                <w:sz w:val="20"/>
                <w:szCs w:val="20"/>
                <w:color w:val="auto"/>
              </w:rPr>
            </w:pPr>
            <w:r>
              <w:rPr>
                <w:rFonts w:ascii="Arial" w:cs="Arial" w:eastAsia="Arial" w:hAnsi="Arial"/>
                <w:sz w:val="14"/>
                <w:szCs w:val="14"/>
                <w:b w:val="1"/>
                <w:bCs w:val="1"/>
                <w:color w:val="auto"/>
              </w:rPr>
              <w:t>Fuping Chen</w:t>
            </w:r>
          </w:p>
        </w:tc>
        <w:tc>
          <w:tcPr>
            <w:tcW w:w="8520" w:type="dxa"/>
            <w:vAlign w:val="bottom"/>
          </w:tcPr>
          <w:p>
            <w:pPr>
              <w:ind w:left="900"/>
              <w:spacing w:after="0"/>
              <w:rPr>
                <w:sz w:val="20"/>
                <w:szCs w:val="20"/>
                <w:color w:val="auto"/>
              </w:rPr>
            </w:pPr>
            <w:r>
              <w:rPr>
                <w:rFonts w:ascii="Arial" w:cs="Arial" w:eastAsia="Arial" w:hAnsi="Arial"/>
                <w:sz w:val="14"/>
                <w:szCs w:val="14"/>
                <w:color w:val="auto"/>
              </w:rPr>
              <w:t>Vice President, Sales—China, ACM Research (Shanghai), Inc.</w:t>
            </w:r>
          </w:p>
        </w:tc>
      </w:tr>
      <w:tr>
        <w:trPr>
          <w:trHeight w:val="49"/>
        </w:trPr>
        <w:tc>
          <w:tcPr>
            <w:tcW w:w="2700" w:type="dxa"/>
            <w:vAlign w:val="bottom"/>
            <w:tcBorders>
              <w:bottom w:val="single" w:sz="8" w:color="0079C1"/>
            </w:tcBorders>
          </w:tcPr>
          <w:p>
            <w:pPr>
              <w:spacing w:after="0"/>
              <w:rPr>
                <w:sz w:val="4"/>
                <w:szCs w:val="4"/>
                <w:color w:val="auto"/>
              </w:rPr>
            </w:pPr>
          </w:p>
        </w:tc>
        <w:tc>
          <w:tcPr>
            <w:tcW w:w="8520" w:type="dxa"/>
            <w:vAlign w:val="bottom"/>
            <w:tcBorders>
              <w:bottom w:val="single" w:sz="8" w:color="0079C1"/>
            </w:tcBorders>
          </w:tcPr>
          <w:p>
            <w:pPr>
              <w:spacing w:after="0"/>
              <w:rPr>
                <w:sz w:val="4"/>
                <w:szCs w:val="4"/>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Our NEO compensation policies and practices are designed to reinforce our pay for performance philosophy and align with sound governance principles.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Listed below are highlights of our fiscal 2025 NEO compensation policies and practices: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440" w:type="dxa"/>
            <w:vAlign w:val="bottom"/>
            <w:shd w:val="clear" w:color="auto" w:fill="0079C1"/>
          </w:tcPr>
          <w:p>
            <w:pPr>
              <w:ind w:left="2200"/>
              <w:spacing w:after="0"/>
              <w:rPr>
                <w:sz w:val="20"/>
                <w:szCs w:val="20"/>
                <w:color w:val="auto"/>
              </w:rPr>
            </w:pPr>
            <w:r>
              <w:rPr>
                <w:rFonts w:ascii="Arial" w:cs="Arial" w:eastAsia="Arial" w:hAnsi="Arial"/>
                <w:sz w:val="18"/>
                <w:szCs w:val="18"/>
                <w:b w:val="1"/>
                <w:bCs w:val="1"/>
                <w:color w:val="FFFFFF"/>
              </w:rPr>
              <w:t>What We Do</w:t>
            </w:r>
          </w:p>
        </w:tc>
        <w:tc>
          <w:tcPr>
            <w:tcW w:w="360" w:type="dxa"/>
            <w:vAlign w:val="bottom"/>
          </w:tcPr>
          <w:p>
            <w:pPr>
              <w:spacing w:after="0"/>
              <w:rPr>
                <w:sz w:val="23"/>
                <w:szCs w:val="23"/>
                <w:color w:val="auto"/>
              </w:rPr>
            </w:pPr>
          </w:p>
        </w:tc>
        <w:tc>
          <w:tcPr>
            <w:tcW w:w="5440" w:type="dxa"/>
            <w:vAlign w:val="bottom"/>
            <w:shd w:val="clear" w:color="auto" w:fill="6D6D6D"/>
          </w:tcPr>
          <w:p>
            <w:pPr>
              <w:ind w:left="1940"/>
              <w:spacing w:after="0"/>
              <w:rPr>
                <w:sz w:val="20"/>
                <w:szCs w:val="20"/>
                <w:color w:val="auto"/>
              </w:rPr>
            </w:pPr>
            <w:r>
              <w:rPr>
                <w:rFonts w:ascii="Arial" w:cs="Arial" w:eastAsia="Arial" w:hAnsi="Arial"/>
                <w:sz w:val="18"/>
                <w:szCs w:val="18"/>
                <w:b w:val="1"/>
                <w:bCs w:val="1"/>
                <w:color w:val="FFFFFF"/>
              </w:rPr>
              <w:t>What We Don’t Do</w:t>
            </w:r>
          </w:p>
        </w:tc>
      </w:tr>
      <w:tr>
        <w:trPr>
          <w:trHeight w:val="150"/>
        </w:trPr>
        <w:tc>
          <w:tcPr>
            <w:tcW w:w="5440" w:type="dxa"/>
            <w:vAlign w:val="bottom"/>
            <w:shd w:val="clear" w:color="auto" w:fill="0079C1"/>
          </w:tcPr>
          <w:p>
            <w:pPr>
              <w:spacing w:after="0"/>
              <w:rPr>
                <w:sz w:val="13"/>
                <w:szCs w:val="13"/>
                <w:color w:val="auto"/>
              </w:rPr>
            </w:pPr>
          </w:p>
        </w:tc>
        <w:tc>
          <w:tcPr>
            <w:tcW w:w="360" w:type="dxa"/>
            <w:vAlign w:val="bottom"/>
          </w:tcPr>
          <w:p>
            <w:pPr>
              <w:spacing w:after="0"/>
              <w:rPr>
                <w:sz w:val="13"/>
                <w:szCs w:val="13"/>
                <w:color w:val="auto"/>
              </w:rPr>
            </w:pPr>
          </w:p>
        </w:tc>
        <w:tc>
          <w:tcPr>
            <w:tcW w:w="5440" w:type="dxa"/>
            <w:vAlign w:val="bottom"/>
            <w:shd w:val="clear" w:color="auto" w:fill="6D6D6D"/>
          </w:tcPr>
          <w:p>
            <w:pPr>
              <w:spacing w:after="0"/>
              <w:rPr>
                <w:sz w:val="13"/>
                <w:szCs w:val="13"/>
                <w:color w:val="auto"/>
              </w:rPr>
            </w:pPr>
          </w:p>
        </w:tc>
      </w:tr>
      <w:tr>
        <w:trPr>
          <w:trHeight w:val="288"/>
        </w:trPr>
        <w:tc>
          <w:tcPr>
            <w:tcW w:w="5440" w:type="dxa"/>
            <w:vAlign w:val="bottom"/>
          </w:tcPr>
          <w:p>
            <w:pPr>
              <w:ind w:left="180"/>
              <w:spacing w:after="0"/>
              <w:rPr>
                <w:sz w:val="20"/>
                <w:szCs w:val="20"/>
                <w:color w:val="auto"/>
              </w:rPr>
            </w:pPr>
            <w:r>
              <w:rPr>
                <w:rFonts w:ascii="Arial" w:cs="Arial" w:eastAsia="Arial" w:hAnsi="Arial"/>
                <w:sz w:val="14"/>
                <w:szCs w:val="14"/>
                <w:color w:val="auto"/>
              </w:rPr>
              <w:t>•  Reinforce our Pay for Performance philosophy by having a portion of NEO</w:t>
            </w:r>
          </w:p>
        </w:tc>
        <w:tc>
          <w:tcPr>
            <w:tcW w:w="360" w:type="dxa"/>
            <w:vAlign w:val="bottom"/>
          </w:tcPr>
          <w:p>
            <w:pPr>
              <w:spacing w:after="0"/>
              <w:rPr>
                <w:sz w:val="24"/>
                <w:szCs w:val="24"/>
                <w:color w:val="auto"/>
              </w:rPr>
            </w:pPr>
          </w:p>
        </w:tc>
        <w:tc>
          <w:tcPr>
            <w:tcW w:w="5440" w:type="dxa"/>
            <w:vAlign w:val="bottom"/>
          </w:tcPr>
          <w:p>
            <w:pPr>
              <w:ind w:left="180"/>
              <w:spacing w:after="0"/>
              <w:rPr>
                <w:sz w:val="20"/>
                <w:szCs w:val="20"/>
                <w:color w:val="auto"/>
              </w:rPr>
            </w:pPr>
            <w:r>
              <w:rPr>
                <w:rFonts w:ascii="Arial" w:cs="Arial" w:eastAsia="Arial" w:hAnsi="Arial"/>
                <w:sz w:val="14"/>
                <w:szCs w:val="14"/>
                <w:color w:val="auto"/>
              </w:rPr>
              <w:t>•  No accelerated or continued vesting of equity awards upon retirement;</w:t>
            </w:r>
          </w:p>
        </w:tc>
      </w:tr>
      <w:tr>
        <w:trPr>
          <w:trHeight w:val="175"/>
        </w:trPr>
        <w:tc>
          <w:tcPr>
            <w:tcW w:w="5440" w:type="dxa"/>
            <w:vAlign w:val="bottom"/>
          </w:tcPr>
          <w:p>
            <w:pPr>
              <w:ind w:left="420"/>
              <w:spacing w:after="0"/>
              <w:rPr>
                <w:sz w:val="20"/>
                <w:szCs w:val="20"/>
                <w:color w:val="auto"/>
              </w:rPr>
            </w:pPr>
            <w:r>
              <w:rPr>
                <w:rFonts w:ascii="Arial" w:cs="Arial" w:eastAsia="Arial" w:hAnsi="Arial"/>
                <w:sz w:val="14"/>
                <w:szCs w:val="14"/>
                <w:color w:val="auto"/>
              </w:rPr>
              <w:t>compensation “at risk” with the use of multi-year equity award vesting</w:t>
            </w:r>
          </w:p>
        </w:tc>
        <w:tc>
          <w:tcPr>
            <w:tcW w:w="360" w:type="dxa"/>
            <w:vAlign w:val="bottom"/>
          </w:tcPr>
          <w:p>
            <w:pPr>
              <w:spacing w:after="0"/>
              <w:rPr>
                <w:sz w:val="15"/>
                <w:szCs w:val="15"/>
                <w:color w:val="auto"/>
              </w:rPr>
            </w:pPr>
          </w:p>
        </w:tc>
        <w:tc>
          <w:tcPr>
            <w:tcW w:w="5440" w:type="dxa"/>
            <w:vAlign w:val="bottom"/>
          </w:tcPr>
          <w:p>
            <w:pPr>
              <w:spacing w:after="0"/>
              <w:rPr>
                <w:sz w:val="15"/>
                <w:szCs w:val="15"/>
                <w:color w:val="auto"/>
              </w:rPr>
            </w:pPr>
          </w:p>
        </w:tc>
      </w:tr>
      <w:tr>
        <w:trPr>
          <w:trHeight w:val="190"/>
        </w:trPr>
        <w:tc>
          <w:tcPr>
            <w:tcW w:w="5440" w:type="dxa"/>
            <w:vAlign w:val="bottom"/>
          </w:tcPr>
          <w:p>
            <w:pPr>
              <w:ind w:left="420"/>
              <w:spacing w:after="0"/>
              <w:rPr>
                <w:sz w:val="20"/>
                <w:szCs w:val="20"/>
                <w:color w:val="auto"/>
              </w:rPr>
            </w:pPr>
            <w:r>
              <w:rPr>
                <w:rFonts w:ascii="Arial" w:cs="Arial" w:eastAsia="Arial" w:hAnsi="Arial"/>
                <w:sz w:val="14"/>
                <w:szCs w:val="14"/>
                <w:color w:val="auto"/>
              </w:rPr>
              <w:t>periods tied to performance</w:t>
            </w:r>
          </w:p>
        </w:tc>
        <w:tc>
          <w:tcPr>
            <w:tcW w:w="360" w:type="dxa"/>
            <w:vAlign w:val="bottom"/>
          </w:tcPr>
          <w:p>
            <w:pPr>
              <w:spacing w:after="0"/>
              <w:rPr>
                <w:sz w:val="16"/>
                <w:szCs w:val="16"/>
                <w:color w:val="auto"/>
              </w:rPr>
            </w:pPr>
          </w:p>
        </w:tc>
        <w:tc>
          <w:tcPr>
            <w:tcW w:w="5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69" w:lineRule="exact"/>
        <w:rPr>
          <w:sz w:val="20"/>
          <w:szCs w:val="20"/>
          <w:color w:val="auto"/>
        </w:rPr>
      </w:pPr>
    </w:p>
    <w:p>
      <w:pPr>
        <w:ind w:left="420" w:right="459" w:hanging="246"/>
        <w:spacing w:after="0" w:line="305" w:lineRule="auto"/>
        <w:tabs>
          <w:tab w:leader="none" w:pos="376"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Ongoing engagement with our institutional stockholders regarding our compensation policies and practice;</w:t>
      </w:r>
    </w:p>
    <w:p>
      <w:pPr>
        <w:spacing w:after="0" w:line="238" w:lineRule="exact"/>
        <w:rPr>
          <w:rFonts w:ascii="Arial" w:cs="Arial" w:eastAsia="Arial" w:hAnsi="Arial"/>
          <w:sz w:val="14"/>
          <w:szCs w:val="14"/>
          <w:color w:val="auto"/>
        </w:rPr>
      </w:pPr>
    </w:p>
    <w:p>
      <w:pPr>
        <w:ind w:left="380" w:hanging="206"/>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Clawback policy;</w:t>
      </w:r>
    </w:p>
    <w:p>
      <w:pPr>
        <w:spacing w:after="0" w:line="352" w:lineRule="exact"/>
        <w:rPr>
          <w:rFonts w:ascii="Arial" w:cs="Arial" w:eastAsia="Arial" w:hAnsi="Arial"/>
          <w:sz w:val="14"/>
          <w:szCs w:val="14"/>
          <w:color w:val="auto"/>
        </w:rPr>
      </w:pPr>
    </w:p>
    <w:p>
      <w:pPr>
        <w:ind w:left="380" w:hanging="206"/>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Annual compensation risk assessment;</w:t>
      </w:r>
    </w:p>
    <w:p>
      <w:pPr>
        <w:spacing w:after="0" w:line="338" w:lineRule="exact"/>
        <w:rPr>
          <w:rFonts w:ascii="Arial" w:cs="Arial" w:eastAsia="Arial" w:hAnsi="Arial"/>
          <w:sz w:val="14"/>
          <w:szCs w:val="14"/>
          <w:color w:val="auto"/>
        </w:rPr>
      </w:pPr>
    </w:p>
    <w:p>
      <w:pPr>
        <w:ind w:left="420" w:right="459" w:hanging="246"/>
        <w:spacing w:after="0" w:line="305" w:lineRule="auto"/>
        <w:tabs>
          <w:tab w:leader="none" w:pos="376"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Independent compensation consultant engaged by the Compensation Committee;</w:t>
      </w:r>
    </w:p>
    <w:p>
      <w:pPr>
        <w:spacing w:after="0" w:line="238" w:lineRule="exact"/>
        <w:rPr>
          <w:rFonts w:ascii="Arial" w:cs="Arial" w:eastAsia="Arial" w:hAnsi="Arial"/>
          <w:sz w:val="14"/>
          <w:szCs w:val="14"/>
          <w:color w:val="auto"/>
        </w:rPr>
      </w:pPr>
    </w:p>
    <w:p>
      <w:pPr>
        <w:ind w:left="380" w:hanging="206"/>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directors on the compensation committee are independent; and</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380" w:hanging="206"/>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Hedging and short sale transactions related to ACM stock are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446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3446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3446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-995680</wp:posOffset>
            </wp:positionV>
            <wp:extent cx="3446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3446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-1638935</wp:posOffset>
            </wp:positionV>
            <wp:extent cx="34461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agreements stipulating or guaranteeing bonuses for any of our NEOs;</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pension or related benefits, except as required by law</w:t>
      </w:r>
    </w:p>
    <w:p>
      <w:pPr>
        <w:spacing w:after="0" w:line="325" w:lineRule="exact"/>
        <w:rPr>
          <w:rFonts w:ascii="Arial" w:cs="Arial" w:eastAsia="Arial" w:hAnsi="Arial"/>
          <w:sz w:val="14"/>
          <w:szCs w:val="14"/>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significant perquisites to NEOs relative to all employees;</w:t>
      </w:r>
    </w:p>
    <w:p>
      <w:pPr>
        <w:spacing w:after="0" w:line="392" w:lineRule="exact"/>
        <w:rPr>
          <w:rFonts w:ascii="Arial" w:cs="Arial" w:eastAsia="Arial" w:hAnsi="Arial"/>
          <w:sz w:val="14"/>
          <w:szCs w:val="14"/>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tax gross ups;</w:t>
      </w: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241" w:right="620" w:hanging="241"/>
        <w:spacing w:after="0" w:line="305" w:lineRule="auto"/>
        <w:tabs>
          <w:tab w:leader="none" w:pos="1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strict benchmarking of compensation to a specific percentile of our compensation peer group;</w:t>
      </w:r>
    </w:p>
    <w:p>
      <w:pPr>
        <w:spacing w:after="0" w:line="238" w:lineRule="exact"/>
        <w:rPr>
          <w:rFonts w:ascii="Arial" w:cs="Arial" w:eastAsia="Arial" w:hAnsi="Arial"/>
          <w:sz w:val="14"/>
          <w:szCs w:val="14"/>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incentivizing unnecessary or excessive risk taking; and</w:t>
      </w:r>
    </w:p>
    <w:p>
      <w:pPr>
        <w:spacing w:after="0" w:line="338" w:lineRule="exact"/>
        <w:rPr>
          <w:rFonts w:ascii="Arial" w:cs="Arial" w:eastAsia="Arial" w:hAnsi="Arial"/>
          <w:sz w:val="14"/>
          <w:szCs w:val="14"/>
          <w:color w:val="auto"/>
        </w:rPr>
      </w:pPr>
    </w:p>
    <w:p>
      <w:pPr>
        <w:ind w:left="201" w:hanging="201"/>
        <w:spacing w:after="0"/>
        <w:tabs>
          <w:tab w:leader="none" w:pos="201"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 dividend payments on unvested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143510</wp:posOffset>
            </wp:positionV>
            <wp:extent cx="34544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-189865</wp:posOffset>
            </wp:positionV>
            <wp:extent cx="34544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-490220</wp:posOffset>
            </wp:positionV>
            <wp:extent cx="3454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-901700</wp:posOffset>
            </wp:positionV>
            <wp:extent cx="3454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-1313180</wp:posOffset>
            </wp:positionV>
            <wp:extent cx="3454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-1647190</wp:posOffset>
            </wp:positionV>
            <wp:extent cx="34544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-1955800</wp:posOffset>
            </wp:positionV>
            <wp:extent cx="3454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-3790950</wp:posOffset>
            </wp:positionH>
            <wp:positionV relativeFrom="paragraph">
              <wp:posOffset>701040</wp:posOffset>
            </wp:positionV>
            <wp:extent cx="71151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9" w:space="720"/>
            <w:col w:w="5261"/>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Executive Summary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w:t>
      </w:r>
    </w:p>
    <w:p>
      <w:pPr>
        <w:spacing w:after="0" w:line="176"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auto"/>
        </w:rPr>
        <w:t>We supply advanced, innovative capital equipment developed for the global semiconductor industry. Our corporate office is located in Fremont, California, and we conduct our business operations principally through our subsidiary ACM Research (Shanghai), Inc., or ACM Shanghai. As of December 31, 2025, we had 2,518 full-time equivalent employees globally, most of whom — including most of our NEOs — were based in the People’s Republic of China (PRC). As a result of our significant PRC operations, many of our compensation practices reflect market practices in the PRC, although we expect those practices to evolve as we continue to broaden our operations into additional countries.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Executive Compensation Philosophy and Design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76"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We operate in a highly competitive business environment with a rapidly evolving and extremely competitive talent market. To successfully compete and grow our business in this dynamic environment, we need to recruit, incentivize and retain talented and seasoned technology leaders. Our success is critically dependent on the skills, acumen and motivation of our executives and employees to rapidly execute at the highest level.</w:t>
      </w:r>
    </w:p>
    <w:p>
      <w:pPr>
        <w:spacing w:after="0" w:line="131"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We have designed, and intend to modify as necessary, our NEO compensation program and philosophy to attract, incentivize and retain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appropriate.</w:t>
      </w:r>
    </w:p>
    <w:p>
      <w:pPr>
        <w:spacing w:after="0" w:line="124" w:lineRule="exact"/>
        <w:rPr>
          <w:sz w:val="20"/>
          <w:szCs w:val="20"/>
          <w:color w:val="auto"/>
        </w:rPr>
      </w:pPr>
    </w:p>
    <w:p>
      <w:pPr>
        <w:ind w:right="240"/>
        <w:spacing w:after="0" w:line="346" w:lineRule="auto"/>
        <w:rPr>
          <w:sz w:val="20"/>
          <w:szCs w:val="20"/>
          <w:color w:val="auto"/>
        </w:rPr>
      </w:pPr>
      <w:r>
        <w:rPr>
          <w:rFonts w:ascii="Arial" w:cs="Arial" w:eastAsia="Arial" w:hAnsi="Arial"/>
          <w:sz w:val="16"/>
          <w:szCs w:val="16"/>
          <w:color w:val="auto"/>
        </w:rPr>
        <w:t>Except as specifically described herein, the compensation committee does not affirmatively set out in any given year, or with respect to any given NEO, to apportion cash and equity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To further align the interests of our executives more closely with those of our stockholders, our NEO compensation program has historically emphasized equity, generally granted in the form of stock options, over cash compensation paid in the form of base salary and target bonus.</w:t>
      </w:r>
    </w:p>
    <w:p>
      <w:pPr>
        <w:spacing w:after="0" w:line="123"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The compensation committee does not strictly benchmark compensation to a specific level or percentile within a peer group. Rather, the compensation committee makes adjustments based on the philosophy described above and considers competitive market practices in the jurisdictions in which we operate as one factor in its deliberations. While the Compensation Committee carefully considers the market data for each role, it believes that retaining discretion to assess the overall performance of NEOs gives the committee the ability to more accurately reflect individual contributions that cannot be absolutely quantified. The compensation committee believes that over-reliance on benchmarking can result in compensation that is unrelated to the value delivered by our executive officers because compensation benchmarking does not take into account the specific performance of the executive officers, the relative opportunity, growth and performance of the Company, or any unique circumstances or strategic considerations of the Company. As noted above, as our needs evolve and as we continue to broaden our operations outside the PRC, we will continue to evaluate our NEO compensation program and philosophy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1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Committee</w:t>
      </w:r>
    </w:p>
    <w:p>
      <w:pPr>
        <w:spacing w:after="0" w:line="176"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auto"/>
        </w:rPr>
        <w:t>The compensation committee periodically reviews, reassesses, and if the compensation committee deems necessary, updates our compensation philosophy and NEO compensation. The compensation committee’s responsibilities include:</w:t>
      </w:r>
    </w:p>
    <w:p>
      <w:pPr>
        <w:spacing w:after="0" w:line="102" w:lineRule="exact"/>
        <w:rPr>
          <w:sz w:val="20"/>
          <w:szCs w:val="20"/>
          <w:color w:val="auto"/>
        </w:rPr>
      </w:pPr>
    </w:p>
    <w:p>
      <w:pPr>
        <w:ind w:left="260" w:right="600" w:hanging="252"/>
        <w:spacing w:after="0" w:line="369" w:lineRule="auto"/>
        <w:tabs>
          <w:tab w:leader="none" w:pos="2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periodically reviewing NEO compensation to assess its efficacy and to determine whether the value and terms of such compensation supports the achievement of ACM’s strategic plans and objectives;</w:t>
      </w:r>
    </w:p>
    <w:p>
      <w:pPr>
        <w:spacing w:after="0" w:line="1" w:lineRule="exact"/>
        <w:rPr>
          <w:rFonts w:ascii="Arial" w:cs="Arial" w:eastAsia="Arial" w:hAnsi="Arial"/>
          <w:sz w:val="16"/>
          <w:szCs w:val="16"/>
          <w:color w:val="auto"/>
        </w:rPr>
      </w:pPr>
    </w:p>
    <w:p>
      <w:pPr>
        <w:ind w:left="260" w:right="40" w:hanging="252"/>
        <w:spacing w:after="0" w:line="378" w:lineRule="auto"/>
        <w:tabs>
          <w:tab w:leader="none" w:pos="2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administering our NEO cash incentive compensation plans and equity-based plans, including the designation of NEOs to whom awards are to be granted, the type and amount of award to be granted, and the terms and conditions applicable to each award;</w:t>
      </w:r>
    </w:p>
    <w:p>
      <w:pPr>
        <w:ind w:left="260" w:right="340" w:hanging="252"/>
        <w:spacing w:after="0" w:line="369" w:lineRule="auto"/>
        <w:tabs>
          <w:tab w:leader="none" w:pos="2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and approving the policies and procedures for the grant of NEO equity-based awards by our Company and ACM Shanghai, including grant-timing practices;</w:t>
      </w:r>
    </w:p>
    <w:p>
      <w:pPr>
        <w:spacing w:after="0" w:line="1" w:lineRule="exact"/>
        <w:rPr>
          <w:rFonts w:ascii="Arial" w:cs="Arial" w:eastAsia="Arial" w:hAnsi="Arial"/>
          <w:sz w:val="16"/>
          <w:szCs w:val="16"/>
          <w:color w:val="auto"/>
        </w:rPr>
      </w:pPr>
    </w:p>
    <w:p>
      <w:pPr>
        <w:jc w:val="both"/>
        <w:ind w:left="260" w:right="20" w:hanging="252"/>
        <w:spacing w:after="0" w:line="363" w:lineRule="auto"/>
        <w:tabs>
          <w:tab w:leader="none" w:pos="2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the Lead Director, annually reviewing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w:t>
      </w:r>
    </w:p>
    <w:p>
      <w:pPr>
        <w:spacing w:after="0" w:line="2" w:lineRule="exact"/>
        <w:rPr>
          <w:rFonts w:ascii="Arial" w:cs="Arial" w:eastAsia="Arial" w:hAnsi="Arial"/>
          <w:sz w:val="16"/>
          <w:szCs w:val="16"/>
          <w:color w:val="auto"/>
        </w:rPr>
      </w:pPr>
    </w:p>
    <w:p>
      <w:pPr>
        <w:ind w:left="260" w:right="140" w:hanging="252"/>
        <w:spacing w:after="0" w:line="369" w:lineRule="auto"/>
        <w:tabs>
          <w:tab w:leader="none" w:pos="22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 the Lead Director, annually reviewing the performance of our other NEOs in light of our NEO compensation goals and objectives, and approving the compensation packages and compensation payouts for such individuals considering the recommendations of our chief executive officer; and</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assisting in the risk assessment of our compensation programs.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makes compensation decisions after consideration of several factors, including:</w:t>
      </w:r>
    </w:p>
    <w:p>
      <w:pPr>
        <w:spacing w:after="0" w:line="235"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feedback from our stockholders;</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performance and experience of each executive officer;</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and strategic impact of the executive officer’s responsibilities;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past business performance and future expectations;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long-term goals and strategies;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performance of our executive team as a whole;</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difficulty and cost of replacing high-performing leaders with in-demand skills;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past compensation levels of each individual;</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relative compensation among our executive officers;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analysis of the competitiveness of our compensation relative to companies in the jurisdictions in which we operate.</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analysis of the competitiveness of our compensation relative to our compensation peer group; and</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recommendations of our CEO.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162"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auto"/>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 The compensation committee uses these recommendations as one of several factors in making compensation decisions, and those decisions do not necessarily follow the CEO’s recommendations.</w:t>
      </w:r>
    </w:p>
    <w:p>
      <w:pPr>
        <w:spacing w:after="0" w:line="119" w:lineRule="exact"/>
        <w:rPr>
          <w:sz w:val="20"/>
          <w:szCs w:val="20"/>
          <w:color w:val="auto"/>
        </w:rPr>
      </w:pPr>
    </w:p>
    <w:p>
      <w:pPr>
        <w:ind w:right="260"/>
        <w:spacing w:after="0" w:line="374" w:lineRule="auto"/>
        <w:rPr>
          <w:sz w:val="20"/>
          <w:szCs w:val="20"/>
          <w:color w:val="auto"/>
        </w:rPr>
      </w:pPr>
      <w:r>
        <w:rPr>
          <w:rFonts w:ascii="Arial" w:cs="Arial" w:eastAsia="Arial" w:hAnsi="Arial"/>
          <w:sz w:val="16"/>
          <w:szCs w:val="16"/>
          <w:color w:val="auto"/>
        </w:rPr>
        <w:t>From time to time, our chief executive officer may attend compensation committee meetings at the request of the compensation committee but leaves the meetings for any deliberations related to and decisions regarding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151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Independent Compensation Consultant</w:t>
      </w:r>
    </w:p>
    <w:p>
      <w:pPr>
        <w:spacing w:after="0" w:line="176" w:lineRule="exact"/>
        <w:rPr>
          <w:sz w:val="20"/>
          <w:szCs w:val="20"/>
          <w:color w:val="auto"/>
        </w:rPr>
      </w:pPr>
    </w:p>
    <w:p>
      <w:pPr>
        <w:ind w:right="220"/>
        <w:spacing w:after="0" w:line="374" w:lineRule="auto"/>
        <w:rPr>
          <w:sz w:val="20"/>
          <w:szCs w:val="20"/>
          <w:color w:val="auto"/>
        </w:rPr>
      </w:pPr>
      <w:r>
        <w:rPr>
          <w:rFonts w:ascii="Arial" w:cs="Arial" w:eastAsia="Arial" w:hAnsi="Arial"/>
          <w:sz w:val="16"/>
          <w:szCs w:val="16"/>
          <w:color w:val="auto"/>
        </w:rPr>
        <w:t>The compensation committee has the authority to retain the services and obtain the advice of external advisors, including compensation consultants, legal counsel or other advisors, to assist in the evaluation of executive officer compensation.</w:t>
      </w:r>
    </w:p>
    <w:p>
      <w:pPr>
        <w:spacing w:after="0" w:line="102" w:lineRule="exact"/>
        <w:rPr>
          <w:sz w:val="20"/>
          <w:szCs w:val="20"/>
          <w:color w:val="auto"/>
        </w:rPr>
      </w:pPr>
    </w:p>
    <w:p>
      <w:pPr>
        <w:jc w:val="both"/>
        <w:ind w:right="20"/>
        <w:spacing w:after="0" w:line="354" w:lineRule="auto"/>
        <w:rPr>
          <w:sz w:val="20"/>
          <w:szCs w:val="20"/>
          <w:color w:val="auto"/>
        </w:rPr>
      </w:pPr>
      <w:r>
        <w:rPr>
          <w:rFonts w:ascii="Arial" w:cs="Arial" w:eastAsia="Arial" w:hAnsi="Arial"/>
          <w:sz w:val="16"/>
          <w:szCs w:val="16"/>
          <w:color w:val="auto"/>
        </w:rPr>
        <w:t>In 2023, the compensation committee engaged Aon plc to review our executive compensation program, policies and practices, review our peer group, and to conduct an executive compensation market analysis and to review our long-term incentive compensation program to help ensure alignment with competitive market practices.</w:t>
      </w:r>
    </w:p>
    <w:p>
      <w:pPr>
        <w:spacing w:after="0" w:line="13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part of this engagement, Aon reviewed and advised on all principal aspects of our executive compensation program, including meeting regularly with the compensation committee to review all elements of executive compensation and the relative competitiveness of such compensation elements.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Based on the consideration of the factors specified in the rules of the SEC and the listing standards of The Nasdaq Stock Market, the compensation committee does not believe that its relationship with Aon and the work of Aon on behalf of the compensation committee has raised any conflict of interest. The compensation committee reviews these factors on an annual or bi-annual basis. As part of the compensation committee’s determination of Aon independence, it received written confirmation from Aon addressing these factors and supporting the independence determination.</w:t>
      </w:r>
    </w:p>
    <w:p>
      <w:pPr>
        <w:spacing w:after="0" w:line="130" w:lineRule="exact"/>
        <w:rPr>
          <w:sz w:val="20"/>
          <w:szCs w:val="20"/>
          <w:color w:val="auto"/>
        </w:rPr>
      </w:pPr>
    </w:p>
    <w:p>
      <w:pPr>
        <w:ind w:right="320"/>
        <w:spacing w:after="0" w:line="344" w:lineRule="auto"/>
        <w:rPr>
          <w:sz w:val="20"/>
          <w:szCs w:val="20"/>
          <w:color w:val="auto"/>
        </w:rPr>
      </w:pPr>
      <w:r>
        <w:rPr>
          <w:rFonts w:ascii="Arial" w:cs="Arial" w:eastAsia="Arial" w:hAnsi="Arial"/>
          <w:sz w:val="16"/>
          <w:szCs w:val="16"/>
          <w:color w:val="auto"/>
        </w:rPr>
        <w:t>The compensation committee determined that it was not necessary to engage an independent compensation consultant for fiscal 2025 compensation decisions. In reaching this decision, the compensation committee considered that the compensation framework established with the benefit of Aon’s comprehensive review in 2023 remained appropriate and continued to serve as a sound foundation for the compensation committee’s compensation decisions. The compensation committee also considered that there had been no material changes to the Company’s executive team, business profile, or strategic direction that would necessitate a fresh, full-scope engagement. The compensation committee retains the authority to engage an independent compensation consultant at any time and will continue to evaluate on an annual basis whether doing so is advisable based on the evolving needs of the Company and any anticipated changes to its NEO compensation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Peer Group</w:t>
      </w:r>
    </w:p>
    <w:p>
      <w:pPr>
        <w:spacing w:after="0" w:line="176"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Although there are unique aspects to our compensation program, market data provides a reference point for the compensation committee to make its compensation decisions. The compensation committee takes into consideration the structure and components of, and the amounts paid under, the executive compensation programs of other, comparable peer companies, as derived from public filings and other sources when making decisions about the structure and component mix of our executive compensation program.</w:t>
      </w:r>
    </w:p>
    <w:p>
      <w:pPr>
        <w:spacing w:after="0" w:line="119"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The compensation committee, with the assistance of Aon, developed an updated peer group in June 2023, that was used to assess the pay levels and pay mix of the aggregate executive compensation program. The peer group selection was based on the following criteria: sector (semiconductor materials and equipment), revenue, market capitalization, and headcount. The compensation committee referenced this peer group for 2025 NEO compensation decisions. The compensation committee determined that no changes were warranted, as the existing peer group continued to appropriately reflect companies in a comparable sector, and with comparable revenue, market capitalization,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15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The peer group consisted of the following 14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Alpha and Omega Semiconductor Limited (AOSL)</w:t>
            </w:r>
          </w:p>
        </w:tc>
        <w:tc>
          <w:tcPr>
            <w:tcW w:w="6820" w:type="dxa"/>
            <w:vAlign w:val="bottom"/>
          </w:tcPr>
          <w:p>
            <w:pPr>
              <w:ind w:left="1220"/>
              <w:spacing w:after="0"/>
              <w:rPr>
                <w:sz w:val="20"/>
                <w:szCs w:val="20"/>
                <w:color w:val="auto"/>
              </w:rPr>
            </w:pPr>
            <w:r>
              <w:rPr>
                <w:rFonts w:ascii="Arial" w:cs="Arial" w:eastAsia="Arial" w:hAnsi="Arial"/>
                <w:sz w:val="14"/>
                <w:szCs w:val="14"/>
                <w:color w:val="auto"/>
              </w:rPr>
              <w:t>Magnachip Semiconductor (MX)</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1"/>
        </w:trPr>
        <w:tc>
          <w:tcPr>
            <w:tcW w:w="4420" w:type="dxa"/>
            <w:vAlign w:val="bottom"/>
          </w:tcPr>
          <w:p>
            <w:pPr>
              <w:ind w:left="20"/>
              <w:spacing w:after="0"/>
              <w:rPr>
                <w:sz w:val="20"/>
                <w:szCs w:val="20"/>
                <w:color w:val="auto"/>
              </w:rPr>
            </w:pPr>
            <w:r>
              <w:rPr>
                <w:rFonts w:ascii="Arial" w:cs="Arial" w:eastAsia="Arial" w:hAnsi="Arial"/>
                <w:sz w:val="14"/>
                <w:szCs w:val="14"/>
                <w:color w:val="auto"/>
              </w:rPr>
              <w:t>AXT, Inc. (AXTI)</w:t>
            </w:r>
          </w:p>
        </w:tc>
        <w:tc>
          <w:tcPr>
            <w:tcW w:w="6820" w:type="dxa"/>
            <w:vAlign w:val="bottom"/>
          </w:tcPr>
          <w:p>
            <w:pPr>
              <w:ind w:left="1220"/>
              <w:spacing w:after="0"/>
              <w:rPr>
                <w:sz w:val="20"/>
                <w:szCs w:val="20"/>
                <w:color w:val="auto"/>
              </w:rPr>
            </w:pPr>
            <w:r>
              <w:rPr>
                <w:rFonts w:ascii="Arial" w:cs="Arial" w:eastAsia="Arial" w:hAnsi="Arial"/>
                <w:sz w:val="14"/>
                <w:szCs w:val="14"/>
                <w:color w:val="auto"/>
              </w:rPr>
              <w:t>PDF Solutions, Inc. (PDSF)</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2"/>
        </w:trPr>
        <w:tc>
          <w:tcPr>
            <w:tcW w:w="4420" w:type="dxa"/>
            <w:vAlign w:val="bottom"/>
          </w:tcPr>
          <w:p>
            <w:pPr>
              <w:ind w:left="20"/>
              <w:spacing w:after="0"/>
              <w:rPr>
                <w:sz w:val="20"/>
                <w:szCs w:val="20"/>
                <w:color w:val="auto"/>
              </w:rPr>
            </w:pPr>
            <w:r>
              <w:rPr>
                <w:rFonts w:ascii="Arial" w:cs="Arial" w:eastAsia="Arial" w:hAnsi="Arial"/>
                <w:sz w:val="14"/>
                <w:szCs w:val="14"/>
                <w:color w:val="auto"/>
              </w:rPr>
              <w:t>Cohu, Inc. (COHU)</w:t>
            </w:r>
          </w:p>
        </w:tc>
        <w:tc>
          <w:tcPr>
            <w:tcW w:w="6820" w:type="dxa"/>
            <w:vAlign w:val="bottom"/>
          </w:tcPr>
          <w:p>
            <w:pPr>
              <w:ind w:left="1220"/>
              <w:spacing w:after="0"/>
              <w:rPr>
                <w:sz w:val="20"/>
                <w:szCs w:val="20"/>
                <w:color w:val="auto"/>
              </w:rPr>
            </w:pPr>
            <w:r>
              <w:rPr>
                <w:rFonts w:ascii="Arial" w:cs="Arial" w:eastAsia="Arial" w:hAnsi="Arial"/>
                <w:sz w:val="14"/>
                <w:szCs w:val="14"/>
                <w:color w:val="auto"/>
              </w:rPr>
              <w:t>Photronics, Inc. (PLAB)</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1"/>
        </w:trPr>
        <w:tc>
          <w:tcPr>
            <w:tcW w:w="4420" w:type="dxa"/>
            <w:vAlign w:val="bottom"/>
          </w:tcPr>
          <w:p>
            <w:pPr>
              <w:ind w:left="20"/>
              <w:spacing w:after="0"/>
              <w:rPr>
                <w:sz w:val="20"/>
                <w:szCs w:val="20"/>
                <w:color w:val="auto"/>
              </w:rPr>
            </w:pPr>
            <w:r>
              <w:rPr>
                <w:rFonts w:ascii="Arial" w:cs="Arial" w:eastAsia="Arial" w:hAnsi="Arial"/>
                <w:sz w:val="14"/>
                <w:szCs w:val="14"/>
                <w:color w:val="auto"/>
              </w:rPr>
              <w:t>FormFactor, Inc. (FORM)</w:t>
            </w:r>
          </w:p>
        </w:tc>
        <w:tc>
          <w:tcPr>
            <w:tcW w:w="6820" w:type="dxa"/>
            <w:vAlign w:val="bottom"/>
          </w:tcPr>
          <w:p>
            <w:pPr>
              <w:ind w:left="1220"/>
              <w:spacing w:after="0"/>
              <w:rPr>
                <w:sz w:val="20"/>
                <w:szCs w:val="20"/>
                <w:color w:val="auto"/>
              </w:rPr>
            </w:pPr>
            <w:r>
              <w:rPr>
                <w:rFonts w:ascii="Arial" w:cs="Arial" w:eastAsia="Arial" w:hAnsi="Arial"/>
                <w:sz w:val="14"/>
                <w:szCs w:val="14"/>
                <w:color w:val="auto"/>
              </w:rPr>
              <w:t>Semtech Corporation (SMTC)</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2"/>
        </w:trPr>
        <w:tc>
          <w:tcPr>
            <w:tcW w:w="4420" w:type="dxa"/>
            <w:vAlign w:val="bottom"/>
          </w:tcPr>
          <w:p>
            <w:pPr>
              <w:ind w:left="20"/>
              <w:spacing w:after="0"/>
              <w:rPr>
                <w:sz w:val="20"/>
                <w:szCs w:val="20"/>
                <w:color w:val="auto"/>
              </w:rPr>
            </w:pPr>
            <w:r>
              <w:rPr>
                <w:rFonts w:ascii="Arial" w:cs="Arial" w:eastAsia="Arial" w:hAnsi="Arial"/>
                <w:sz w:val="14"/>
                <w:szCs w:val="14"/>
                <w:color w:val="auto"/>
              </w:rPr>
              <w:t>Ichor Holdings, Ltd. (ICHR)</w:t>
            </w:r>
          </w:p>
        </w:tc>
        <w:tc>
          <w:tcPr>
            <w:tcW w:w="6820" w:type="dxa"/>
            <w:vAlign w:val="bottom"/>
          </w:tcPr>
          <w:p>
            <w:pPr>
              <w:ind w:left="1220"/>
              <w:spacing w:after="0"/>
              <w:rPr>
                <w:sz w:val="20"/>
                <w:szCs w:val="20"/>
                <w:color w:val="auto"/>
              </w:rPr>
            </w:pPr>
            <w:r>
              <w:rPr>
                <w:rFonts w:ascii="Arial" w:cs="Arial" w:eastAsia="Arial" w:hAnsi="Arial"/>
                <w:sz w:val="14"/>
                <w:szCs w:val="14"/>
                <w:color w:val="auto"/>
              </w:rPr>
              <w:t>SkyWater Technology, Inc. (SKYT)</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1"/>
        </w:trPr>
        <w:tc>
          <w:tcPr>
            <w:tcW w:w="4420" w:type="dxa"/>
            <w:vAlign w:val="bottom"/>
          </w:tcPr>
          <w:p>
            <w:pPr>
              <w:ind w:left="20"/>
              <w:spacing w:after="0"/>
              <w:rPr>
                <w:sz w:val="20"/>
                <w:szCs w:val="20"/>
                <w:color w:val="auto"/>
              </w:rPr>
            </w:pPr>
            <w:r>
              <w:rPr>
                <w:rFonts w:ascii="Arial" w:cs="Arial" w:eastAsia="Arial" w:hAnsi="Arial"/>
                <w:sz w:val="14"/>
                <w:szCs w:val="14"/>
                <w:color w:val="auto"/>
              </w:rPr>
              <w:t>Indie Semiconductor, Inc. (INDI)</w:t>
            </w:r>
          </w:p>
        </w:tc>
        <w:tc>
          <w:tcPr>
            <w:tcW w:w="6820" w:type="dxa"/>
            <w:vAlign w:val="bottom"/>
          </w:tcPr>
          <w:p>
            <w:pPr>
              <w:ind w:left="1220"/>
              <w:spacing w:after="0"/>
              <w:rPr>
                <w:sz w:val="20"/>
                <w:szCs w:val="20"/>
                <w:color w:val="auto"/>
              </w:rPr>
            </w:pPr>
            <w:r>
              <w:rPr>
                <w:rFonts w:ascii="Arial" w:cs="Arial" w:eastAsia="Arial" w:hAnsi="Arial"/>
                <w:sz w:val="14"/>
                <w:szCs w:val="14"/>
                <w:color w:val="auto"/>
              </w:rPr>
              <w:t>Ultra Clean Holdings, Inc. (UCTT)</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r>
      <w:tr>
        <w:trPr>
          <w:trHeight w:val="202"/>
        </w:trPr>
        <w:tc>
          <w:tcPr>
            <w:tcW w:w="4420" w:type="dxa"/>
            <w:vAlign w:val="bottom"/>
          </w:tcPr>
          <w:p>
            <w:pPr>
              <w:ind w:left="20"/>
              <w:spacing w:after="0"/>
              <w:rPr>
                <w:sz w:val="20"/>
                <w:szCs w:val="20"/>
                <w:color w:val="auto"/>
              </w:rPr>
            </w:pPr>
            <w:r>
              <w:rPr>
                <w:rFonts w:ascii="Arial" w:cs="Arial" w:eastAsia="Arial" w:hAnsi="Arial"/>
                <w:sz w:val="14"/>
                <w:szCs w:val="14"/>
                <w:color w:val="auto"/>
              </w:rPr>
              <w:t>Kulicke and Soffa Industries, Inc. (KLIC)</w:t>
            </w:r>
          </w:p>
        </w:tc>
        <w:tc>
          <w:tcPr>
            <w:tcW w:w="6820" w:type="dxa"/>
            <w:vAlign w:val="bottom"/>
          </w:tcPr>
          <w:p>
            <w:pPr>
              <w:ind w:left="1220"/>
              <w:spacing w:after="0"/>
              <w:rPr>
                <w:sz w:val="20"/>
                <w:szCs w:val="20"/>
                <w:color w:val="auto"/>
              </w:rPr>
            </w:pPr>
            <w:r>
              <w:rPr>
                <w:rFonts w:ascii="Arial" w:cs="Arial" w:eastAsia="Arial" w:hAnsi="Arial"/>
                <w:sz w:val="14"/>
                <w:szCs w:val="14"/>
                <w:color w:val="auto"/>
              </w:rPr>
              <w:t>Veeco Instruments Inc. (VECO)</w:t>
            </w:r>
          </w:p>
        </w:tc>
      </w:tr>
      <w:tr>
        <w:trPr>
          <w:trHeight w:val="22"/>
        </w:trPr>
        <w:tc>
          <w:tcPr>
            <w:tcW w:w="4420" w:type="dxa"/>
            <w:vAlign w:val="bottom"/>
            <w:tcBorders>
              <w:bottom w:val="single" w:sz="8" w:color="0079C1"/>
            </w:tcBorders>
          </w:tcPr>
          <w:p>
            <w:pPr>
              <w:spacing w:after="0" w:line="20" w:lineRule="exact"/>
              <w:rPr>
                <w:sz w:val="1"/>
                <w:szCs w:val="1"/>
                <w:color w:val="auto"/>
              </w:rPr>
            </w:pPr>
          </w:p>
        </w:tc>
        <w:tc>
          <w:tcPr>
            <w:tcW w:w="6820" w:type="dxa"/>
            <w:vAlign w:val="bottom"/>
            <w:tcBorders>
              <w:bottom w:val="single" w:sz="8" w:color="0079C1"/>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76" w:lineRule="exact"/>
        <w:rPr>
          <w:sz w:val="20"/>
          <w:szCs w:val="20"/>
          <w:color w:val="auto"/>
        </w:rPr>
      </w:pPr>
    </w:p>
    <w:p>
      <w:pPr>
        <w:ind w:right="80"/>
        <w:spacing w:after="0" w:line="344" w:lineRule="auto"/>
        <w:rPr>
          <w:sz w:val="20"/>
          <w:szCs w:val="20"/>
          <w:color w:val="auto"/>
        </w:rPr>
      </w:pPr>
      <w:r>
        <w:rPr>
          <w:rFonts w:ascii="Arial" w:cs="Arial" w:eastAsia="Arial" w:hAnsi="Arial"/>
          <w:sz w:val="16"/>
          <w:szCs w:val="16"/>
          <w:color w:val="auto"/>
        </w:rPr>
        <w:t>Our stockholders previously elected to hold triennial advisory votes on executive compensation. This decision reflects our stockholders’ ongoing confidence in the appropriateness and effectiveness of our executive compensation program. The compensation committee believes this timeframe allows stockholders sufficient time to assess the effectiveness of our executive compensation strategies. While the committee will continue to assess the frequency of these votes, it considers a three-year interval to be appropriate for thoughtful consideration and implementation of any changes to our compensation programs. Our stockholders will have an opportunity to cast an advisory vote on the frequency of say-on-pay votes at least every six years.</w:t>
      </w:r>
    </w:p>
    <w:p>
      <w:pPr>
        <w:spacing w:after="0" w:line="126" w:lineRule="exact"/>
        <w:rPr>
          <w:sz w:val="20"/>
          <w:szCs w:val="20"/>
          <w:color w:val="auto"/>
        </w:rPr>
      </w:pPr>
    </w:p>
    <w:p>
      <w:pPr>
        <w:ind w:left="260" w:right="120" w:hanging="252"/>
        <w:spacing w:after="0" w:line="363" w:lineRule="auto"/>
        <w:tabs>
          <w:tab w:leader="none" w:pos="2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 our 2024 Annual Meeting of Stockholders, we conducted a non-binding stockholder advisory vote on the compensation of our NEOs known as a “say-on-pay” vote. At that meeting, approximately 85% of the votes cast were voted in favor of our executive compensation policies and practices, indicating shareholders are supportive of our current practices.</w:t>
      </w:r>
    </w:p>
    <w:p>
      <w:pPr>
        <w:spacing w:after="0" w:line="2" w:lineRule="exact"/>
        <w:rPr>
          <w:rFonts w:ascii="Arial" w:cs="Arial" w:eastAsia="Arial" w:hAnsi="Arial"/>
          <w:sz w:val="16"/>
          <w:szCs w:val="16"/>
          <w:color w:val="auto"/>
        </w:rPr>
      </w:pPr>
    </w:p>
    <w:p>
      <w:pPr>
        <w:ind w:left="260" w:right="60" w:hanging="252"/>
        <w:spacing w:after="0" w:line="353" w:lineRule="auto"/>
        <w:tabs>
          <w:tab w:leader="none" w:pos="2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 our 2024 Annual Meeting of Stockholders, we conducted a non-binding stockholder advisory vote on the frequency of “say-on-pay” vote. At that meeting, approximately 83% of the votes cast were for a three-year interval for the frequency of the “say-on-pay” vote, indicating shareholders are supportive of our current practices. Accordingly, the next advisory “say on pay vote” on the compensation of our NEOs is expected to be held at our 2027 Annual Meeting of Stockholders.</w:t>
      </w:r>
    </w:p>
    <w:p>
      <w:pPr>
        <w:spacing w:after="0" w:line="119"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auto"/>
        </w:rPr>
        <w:t>As a result of these votes, together with other factors, the compensation committee concluded that our programs effectively align with the interests of our shareholders and no changes have been made to fundamental elements of our compensation program as a result of this vote.</w:t>
      </w:r>
    </w:p>
    <w:p>
      <w:pPr>
        <w:spacing w:after="0" w:line="102" w:lineRule="exact"/>
        <w:rPr>
          <w:sz w:val="20"/>
          <w:szCs w:val="20"/>
          <w:color w:val="auto"/>
        </w:rPr>
      </w:pPr>
    </w:p>
    <w:p>
      <w:pPr>
        <w:ind w:right="300"/>
        <w:spacing w:after="0" w:line="374" w:lineRule="auto"/>
        <w:rPr>
          <w:sz w:val="20"/>
          <w:szCs w:val="20"/>
          <w:color w:val="auto"/>
        </w:rPr>
      </w:pPr>
      <w:r>
        <w:rPr>
          <w:rFonts w:ascii="Arial" w:cs="Arial" w:eastAsia="Arial" w:hAnsi="Arial"/>
          <w:sz w:val="16"/>
          <w:szCs w:val="16"/>
          <w:color w:val="auto"/>
        </w:rPr>
        <w:t>Our Board and our compensation committee value the opinions of our stockholders, and will continue to consider stockholder feedback and the results of say-on-pay votes when making future compensation decisions.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Outreach</w:t>
      </w:r>
    </w:p>
    <w:p>
      <w:pPr>
        <w:spacing w:after="0" w:line="162" w:lineRule="exact"/>
        <w:rPr>
          <w:sz w:val="20"/>
          <w:szCs w:val="20"/>
          <w:color w:val="auto"/>
        </w:rPr>
      </w:pPr>
    </w:p>
    <w:p>
      <w:pPr>
        <w:ind w:right="260"/>
        <w:spacing w:after="0" w:line="353" w:lineRule="auto"/>
        <w:rPr>
          <w:sz w:val="20"/>
          <w:szCs w:val="20"/>
          <w:color w:val="auto"/>
        </w:rPr>
      </w:pPr>
      <w:r>
        <w:rPr>
          <w:rFonts w:ascii="Arial" w:cs="Arial" w:eastAsia="Arial" w:hAnsi="Arial"/>
          <w:sz w:val="16"/>
          <w:szCs w:val="16"/>
          <w:color w:val="auto"/>
        </w:rPr>
        <w:t>We are committed to year-round, meaningful engagement with our stockholders. We prioritize the different perspectives and issues raised by our stockholders by incorporating them into the business and strategy decisions of the board of directors. We believe that ongoing engagement builds mutual trust and understanding with our stockholders. Stockholder engagement and feedback are critical components of our corporate governance practices and inform our decisions and programs. Our engagement initiatives will continue in 2026 with outreach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151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Compensation Risk</w:t>
      </w:r>
    </w:p>
    <w:p>
      <w:pPr>
        <w:spacing w:after="0" w:line="176"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auto"/>
        </w:rPr>
        <w:t>We review our compensation programs for all employees and have concluded that these programs do not create risks that are reasonably likely to have a material adverse effect on our Company. We believe that our compensation program helps ensure performance is focused on responsible long-term stockholder value creation and does not encourage short-term risk taking at the expense of long-term results.</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Pay Components</w:t>
      </w:r>
    </w:p>
    <w:p>
      <w:pPr>
        <w:spacing w:after="0" w:line="222"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Our compensation committee regularly reviews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appropriate. Each element of our NEO compensation program is designed to further one or more of our core compensation objectives, as described below. Base salary is intended to provide a stable level of fixed compensation to attract and retain qualified executives. Annual cash incentive awards are designed to motivate and reward the achievement of short-term financial and operational performance goals, reinforcing our pay-for-performance philosophy. Long-term equity incentive awards align the interests of our executives with those of our stockholders by linking a meaningful portion of compensation to stock price performance and long-term value creation, while also serving as a key retention tool through multi-year vesting schedules. The compensation committee considers these objectives when setting the amount and mix of each element.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shd w:val="clear" w:color="auto" w:fill="0079C1"/>
          </w:tcPr>
          <w:p>
            <w:pPr>
              <w:spacing w:after="0"/>
              <w:rPr>
                <w:sz w:val="18"/>
                <w:szCs w:val="18"/>
                <w:color w:val="auto"/>
              </w:rPr>
            </w:pPr>
          </w:p>
        </w:tc>
        <w:tc>
          <w:tcPr>
            <w:tcW w:w="148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Pay Element</w:t>
            </w:r>
          </w:p>
        </w:tc>
        <w:tc>
          <w:tcPr>
            <w:tcW w:w="1880" w:type="dxa"/>
            <w:vAlign w:val="bottom"/>
            <w:shd w:val="clear" w:color="auto" w:fill="0079C1"/>
          </w:tcPr>
          <w:p>
            <w:pPr>
              <w:ind w:left="220"/>
              <w:spacing w:after="0"/>
              <w:rPr>
                <w:sz w:val="20"/>
                <w:szCs w:val="20"/>
                <w:color w:val="auto"/>
              </w:rPr>
            </w:pPr>
            <w:r>
              <w:rPr>
                <w:rFonts w:ascii="Arial" w:cs="Arial" w:eastAsia="Arial" w:hAnsi="Arial"/>
                <w:sz w:val="14"/>
                <w:szCs w:val="14"/>
                <w:b w:val="1"/>
                <w:bCs w:val="1"/>
                <w:color w:val="FFFFFF"/>
              </w:rPr>
              <w:t>Payment Vehicle</w:t>
            </w:r>
          </w:p>
        </w:tc>
        <w:tc>
          <w:tcPr>
            <w:tcW w:w="7800" w:type="dxa"/>
            <w:vAlign w:val="bottom"/>
            <w:shd w:val="clear" w:color="auto" w:fill="0079C1"/>
          </w:tcPr>
          <w:p>
            <w:pPr>
              <w:ind w:left="360"/>
              <w:spacing w:after="0"/>
              <w:rPr>
                <w:sz w:val="20"/>
                <w:szCs w:val="20"/>
                <w:color w:val="auto"/>
              </w:rPr>
            </w:pPr>
            <w:r>
              <w:rPr>
                <w:rFonts w:ascii="Arial" w:cs="Arial" w:eastAsia="Arial" w:hAnsi="Arial"/>
                <w:sz w:val="14"/>
                <w:szCs w:val="14"/>
                <w:b w:val="1"/>
                <w:bCs w:val="1"/>
                <w:color w:val="FFFFFF"/>
              </w:rPr>
              <w:t>Purpose/Design</w:t>
            </w:r>
          </w:p>
        </w:tc>
        <w:tc>
          <w:tcPr>
            <w:tcW w:w="0" w:type="dxa"/>
            <w:vAlign w:val="bottom"/>
          </w:tcPr>
          <w:p>
            <w:pPr>
              <w:spacing w:after="0"/>
              <w:rPr>
                <w:sz w:val="1"/>
                <w:szCs w:val="1"/>
                <w:color w:val="auto"/>
              </w:rPr>
            </w:pPr>
          </w:p>
        </w:tc>
      </w:tr>
      <w:tr>
        <w:trPr>
          <w:trHeight w:val="108"/>
        </w:trPr>
        <w:tc>
          <w:tcPr>
            <w:tcW w:w="80" w:type="dxa"/>
            <w:vAlign w:val="bottom"/>
            <w:shd w:val="clear" w:color="auto" w:fill="0079C1"/>
          </w:tcPr>
          <w:p>
            <w:pPr>
              <w:spacing w:after="0"/>
              <w:rPr>
                <w:sz w:val="9"/>
                <w:szCs w:val="9"/>
                <w:color w:val="auto"/>
              </w:rPr>
            </w:pPr>
          </w:p>
        </w:tc>
        <w:tc>
          <w:tcPr>
            <w:tcW w:w="1480" w:type="dxa"/>
            <w:vAlign w:val="bottom"/>
            <w:shd w:val="clear" w:color="auto" w:fill="0079C1"/>
          </w:tcPr>
          <w:p>
            <w:pPr>
              <w:spacing w:after="0"/>
              <w:rPr>
                <w:sz w:val="9"/>
                <w:szCs w:val="9"/>
                <w:color w:val="auto"/>
              </w:rPr>
            </w:pPr>
          </w:p>
        </w:tc>
        <w:tc>
          <w:tcPr>
            <w:tcW w:w="1880" w:type="dxa"/>
            <w:vAlign w:val="bottom"/>
            <w:shd w:val="clear" w:color="auto" w:fill="0079C1"/>
          </w:tcPr>
          <w:p>
            <w:pPr>
              <w:spacing w:after="0"/>
              <w:rPr>
                <w:sz w:val="9"/>
                <w:szCs w:val="9"/>
                <w:color w:val="auto"/>
              </w:rPr>
            </w:pPr>
          </w:p>
        </w:tc>
        <w:tc>
          <w:tcPr>
            <w:tcW w:w="7800" w:type="dxa"/>
            <w:vAlign w:val="bottom"/>
            <w:shd w:val="clear" w:color="auto" w:fill="0079C1"/>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Base Salary</w:t>
            </w:r>
          </w:p>
        </w:tc>
        <w:tc>
          <w:tcPr>
            <w:tcW w:w="1880" w:type="dxa"/>
            <w:vAlign w:val="bottom"/>
            <w:vMerge w:val="restart"/>
          </w:tcPr>
          <w:p>
            <w:pPr>
              <w:ind w:left="220"/>
              <w:spacing w:after="0"/>
              <w:rPr>
                <w:sz w:val="20"/>
                <w:szCs w:val="20"/>
                <w:color w:val="auto"/>
              </w:rPr>
            </w:pPr>
            <w:r>
              <w:rPr>
                <w:rFonts w:ascii="Arial" w:cs="Arial" w:eastAsia="Arial" w:hAnsi="Arial"/>
                <w:sz w:val="14"/>
                <w:szCs w:val="14"/>
                <w:color w:val="auto"/>
              </w:rPr>
              <w:t>Fixed cash payment</w:t>
            </w:r>
          </w:p>
        </w:tc>
        <w:tc>
          <w:tcPr>
            <w:tcW w:w="7800" w:type="dxa"/>
            <w:vAlign w:val="bottom"/>
          </w:tcPr>
          <w:p>
            <w:pPr>
              <w:ind w:left="360"/>
              <w:spacing w:after="0"/>
              <w:rPr>
                <w:sz w:val="20"/>
                <w:szCs w:val="20"/>
                <w:color w:val="auto"/>
              </w:rPr>
            </w:pPr>
            <w:r>
              <w:rPr>
                <w:rFonts w:ascii="Arial" w:cs="Arial" w:eastAsia="Arial" w:hAnsi="Arial"/>
                <w:sz w:val="14"/>
                <w:szCs w:val="14"/>
                <w:color w:val="auto"/>
              </w:rPr>
              <w:t>Attracts, retains and rewards NEOs, and provides NEOs with fixed compensation based on their performance and</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7800" w:type="dxa"/>
            <w:vAlign w:val="bottom"/>
            <w:vMerge w:val="restart"/>
          </w:tcPr>
          <w:p>
            <w:pPr>
              <w:ind w:left="360"/>
              <w:spacing w:after="0"/>
              <w:rPr>
                <w:sz w:val="20"/>
                <w:szCs w:val="20"/>
                <w:color w:val="auto"/>
              </w:rPr>
            </w:pPr>
            <w:r>
              <w:rPr>
                <w:rFonts w:ascii="Arial" w:cs="Arial" w:eastAsia="Arial" w:hAnsi="Arial"/>
                <w:sz w:val="14"/>
                <w:szCs w:val="14"/>
                <w:color w:val="auto"/>
              </w:rPr>
              <w:t>contributions</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Annual Bonus</w:t>
            </w:r>
          </w:p>
        </w:tc>
        <w:tc>
          <w:tcPr>
            <w:tcW w:w="1880" w:type="dxa"/>
            <w:vAlign w:val="bottom"/>
            <w:vMerge w:val="restart"/>
          </w:tcPr>
          <w:p>
            <w:pPr>
              <w:ind w:left="220"/>
              <w:spacing w:after="0"/>
              <w:rPr>
                <w:sz w:val="20"/>
                <w:szCs w:val="20"/>
                <w:color w:val="auto"/>
              </w:rPr>
            </w:pPr>
            <w:r>
              <w:rPr>
                <w:rFonts w:ascii="Arial" w:cs="Arial" w:eastAsia="Arial" w:hAnsi="Arial"/>
                <w:sz w:val="14"/>
                <w:szCs w:val="14"/>
                <w:color w:val="auto"/>
              </w:rPr>
              <w:t>Variable cash bonus</w:t>
            </w:r>
          </w:p>
        </w:tc>
        <w:tc>
          <w:tcPr>
            <w:tcW w:w="7800" w:type="dxa"/>
            <w:vAlign w:val="bottom"/>
          </w:tcPr>
          <w:p>
            <w:pPr>
              <w:ind w:left="360"/>
              <w:spacing w:after="0"/>
              <w:rPr>
                <w:sz w:val="20"/>
                <w:szCs w:val="20"/>
                <w:color w:val="auto"/>
              </w:rPr>
            </w:pPr>
            <w:r>
              <w:rPr>
                <w:rFonts w:ascii="Arial" w:cs="Arial" w:eastAsia="Arial" w:hAnsi="Arial"/>
                <w:sz w:val="14"/>
                <w:szCs w:val="14"/>
                <w:color w:val="auto"/>
              </w:rPr>
              <w:t>We do not have an established bonus policy for our NEOs; the compensation committee may decide, in its sole</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800" w:type="dxa"/>
            <w:vAlign w:val="bottom"/>
          </w:tcPr>
          <w:p>
            <w:pPr>
              <w:ind w:left="360"/>
              <w:spacing w:after="0"/>
              <w:rPr>
                <w:sz w:val="20"/>
                <w:szCs w:val="20"/>
                <w:color w:val="auto"/>
              </w:rPr>
            </w:pPr>
            <w:r>
              <w:rPr>
                <w:rFonts w:ascii="Arial" w:cs="Arial" w:eastAsia="Arial" w:hAnsi="Arial"/>
                <w:sz w:val="14"/>
                <w:szCs w:val="14"/>
                <w:color w:val="auto"/>
              </w:rPr>
              <w:t>discretion, to reward NEOs with annual cash bonuses based on individual NEO performance, our business</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800" w:type="dxa"/>
            <w:vAlign w:val="bottom"/>
          </w:tcPr>
          <w:p>
            <w:pPr>
              <w:ind w:left="360"/>
              <w:spacing w:after="0"/>
              <w:rPr>
                <w:sz w:val="20"/>
                <w:szCs w:val="20"/>
                <w:color w:val="auto"/>
              </w:rPr>
            </w:pPr>
            <w:r>
              <w:rPr>
                <w:rFonts w:ascii="Arial" w:cs="Arial" w:eastAsia="Arial" w:hAnsi="Arial"/>
                <w:sz w:val="14"/>
                <w:szCs w:val="14"/>
                <w:color w:val="auto"/>
              </w:rPr>
              <w:t>performance generally and, in certain circumstances, achievement of specific business objectives</w:t>
            </w:r>
          </w:p>
        </w:tc>
        <w:tc>
          <w:tcPr>
            <w:tcW w:w="0" w:type="dxa"/>
            <w:vAlign w:val="bottom"/>
          </w:tcPr>
          <w:p>
            <w:pPr>
              <w:spacing w:after="0"/>
              <w:rPr>
                <w:sz w:val="1"/>
                <w:szCs w:val="1"/>
                <w:color w:val="auto"/>
              </w:rPr>
            </w:pPr>
          </w:p>
        </w:tc>
      </w:tr>
      <w:tr>
        <w:trPr>
          <w:trHeight w:val="103"/>
        </w:trPr>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Long-Term Equity</w:t>
            </w:r>
          </w:p>
        </w:tc>
        <w:tc>
          <w:tcPr>
            <w:tcW w:w="1880" w:type="dxa"/>
            <w:vAlign w:val="bottom"/>
            <w:vMerge w:val="restart"/>
          </w:tcPr>
          <w:p>
            <w:pPr>
              <w:ind w:left="220"/>
              <w:spacing w:after="0"/>
              <w:rPr>
                <w:sz w:val="20"/>
                <w:szCs w:val="20"/>
                <w:color w:val="auto"/>
              </w:rPr>
            </w:pPr>
            <w:r>
              <w:rPr>
                <w:rFonts w:ascii="Arial" w:cs="Arial" w:eastAsia="Arial" w:hAnsi="Arial"/>
                <w:sz w:val="14"/>
                <w:szCs w:val="14"/>
                <w:color w:val="auto"/>
              </w:rPr>
              <w:t>Stock options</w:t>
            </w:r>
          </w:p>
        </w:tc>
        <w:tc>
          <w:tcPr>
            <w:tcW w:w="7800" w:type="dxa"/>
            <w:vAlign w:val="bottom"/>
          </w:tcPr>
          <w:p>
            <w:pPr>
              <w:ind w:left="360"/>
              <w:spacing w:after="0"/>
              <w:rPr>
                <w:sz w:val="20"/>
                <w:szCs w:val="20"/>
                <w:color w:val="auto"/>
              </w:rPr>
            </w:pPr>
            <w:r>
              <w:rPr>
                <w:rFonts w:ascii="Arial" w:cs="Arial" w:eastAsia="Arial" w:hAnsi="Arial"/>
                <w:sz w:val="14"/>
                <w:szCs w:val="14"/>
                <w:color w:val="auto"/>
              </w:rPr>
              <w:t>Directly ties individual performance to long-term appreciation of our common stock price, rewards NEOs for strong</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Awards</w:t>
            </w:r>
          </w:p>
        </w:tc>
        <w:tc>
          <w:tcPr>
            <w:tcW w:w="1880" w:type="dxa"/>
            <w:vAlign w:val="bottom"/>
            <w:vMerge w:val="continue"/>
          </w:tcPr>
          <w:p>
            <w:pPr>
              <w:spacing w:after="0"/>
              <w:rPr>
                <w:sz w:val="10"/>
                <w:szCs w:val="10"/>
                <w:color w:val="auto"/>
              </w:rPr>
            </w:pPr>
          </w:p>
        </w:tc>
        <w:tc>
          <w:tcPr>
            <w:tcW w:w="7800" w:type="dxa"/>
            <w:vAlign w:val="bottom"/>
            <w:vMerge w:val="restart"/>
          </w:tcPr>
          <w:p>
            <w:pPr>
              <w:ind w:left="360"/>
              <w:spacing w:after="0"/>
              <w:rPr>
                <w:sz w:val="20"/>
                <w:szCs w:val="20"/>
                <w:color w:val="auto"/>
              </w:rPr>
            </w:pPr>
            <w:r>
              <w:rPr>
                <w:rFonts w:ascii="Arial" w:cs="Arial" w:eastAsia="Arial" w:hAnsi="Arial"/>
                <w:sz w:val="14"/>
                <w:szCs w:val="14"/>
                <w:color w:val="auto"/>
              </w:rPr>
              <w:t>company performance, and aligns the interests of NEOs with those of our stockholders</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7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0079C1"/>
            </w:tcBorders>
          </w:tcPr>
          <w:p>
            <w:pPr>
              <w:spacing w:after="0"/>
              <w:rPr>
                <w:sz w:val="12"/>
                <w:szCs w:val="12"/>
                <w:color w:val="auto"/>
              </w:rPr>
            </w:pPr>
          </w:p>
        </w:tc>
        <w:tc>
          <w:tcPr>
            <w:tcW w:w="1480" w:type="dxa"/>
            <w:vAlign w:val="bottom"/>
            <w:tcBorders>
              <w:bottom w:val="single" w:sz="8" w:color="0079C1"/>
            </w:tcBorders>
          </w:tcPr>
          <w:p>
            <w:pPr>
              <w:spacing w:after="0"/>
              <w:rPr>
                <w:sz w:val="12"/>
                <w:szCs w:val="12"/>
                <w:color w:val="auto"/>
              </w:rPr>
            </w:pPr>
          </w:p>
        </w:tc>
        <w:tc>
          <w:tcPr>
            <w:tcW w:w="1880" w:type="dxa"/>
            <w:vAlign w:val="bottom"/>
            <w:tcBorders>
              <w:bottom w:val="single" w:sz="8" w:color="0079C1"/>
            </w:tcBorders>
          </w:tcPr>
          <w:p>
            <w:pPr>
              <w:spacing w:after="0"/>
              <w:rPr>
                <w:sz w:val="12"/>
                <w:szCs w:val="12"/>
                <w:color w:val="auto"/>
              </w:rPr>
            </w:pPr>
          </w:p>
        </w:tc>
        <w:tc>
          <w:tcPr>
            <w:tcW w:w="7800" w:type="dxa"/>
            <w:vAlign w:val="bottom"/>
            <w:tcBorders>
              <w:bottom w:val="single" w:sz="8" w:color="0079C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151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76"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We pay base salaries to our NEOs to compensate them for their services and provide stable annual income. The salaries typically reflect each NEO’s experience, skills, knowledge and responsibilities, although competitive market data also plays a role in setting salary levels. We do not apply specific formulas to determine salaries or changes in salaries. Instead, the salaries of our NEOs are reviewed on an annual basis by the compensation committee based on our compensation philosophy and objectives. The compensation committee determined the 2025 base salary of each of our NEOs after considering the recommendations of our CEO, other than with respect to his own base salary, and other factors described throughout this Compensation Discussion &amp; Analysis. Based on Aon’s 2023 analysis, we determined that the salaries of our NEOs have been positioned below the market 25th percentile of our compensation peer group. While we do not benchmark a specific percentile for salary or cash compensation, in 2025, the compensation committee increased the base salaries for our U.S.-based NEOs to reflect their responsibilities and performance and to adjust his base salary to more market-competitive levels. Base salaries for our China-based NEOs were reduced or maintained with compensation shifted towards incentive-based bonuses. The Committee believes this recalibration (i) places a greater proportion of the applicable NEO's annual cash compensation at risk and directly contingent upon Company and individual performance, (ii) enhances alignment between executive incentives and shareholder interests by rewarding measurable results rather than fixed tenure-based pay, and (iii) reinforces a culture of accountability and performance differentiation, while preserving competitive total compensation opportunities for strong performance. We expect to continue to adjust the salaries of our NEOs in an incremental fashion to bring the salary of each closer to a market-appropriate level and consistent with their contributions.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shd w:val="clear" w:color="auto" w:fill="0079C1"/>
          </w:tcPr>
          <w:p>
            <w:pPr>
              <w:spacing w:after="0"/>
              <w:rPr>
                <w:sz w:val="16"/>
                <w:szCs w:val="16"/>
                <w:color w:val="auto"/>
              </w:rPr>
            </w:pPr>
          </w:p>
        </w:tc>
        <w:tc>
          <w:tcPr>
            <w:tcW w:w="36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Annual Base Salary 2024</w:t>
            </w:r>
          </w:p>
        </w:tc>
        <w:tc>
          <w:tcPr>
            <w:tcW w:w="4020" w:type="dxa"/>
            <w:vAlign w:val="bottom"/>
            <w:gridSpan w:val="2"/>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Annual Base Salary 2025 Percent Increase (Decrease)</w:t>
            </w:r>
          </w:p>
        </w:tc>
      </w:tr>
      <w:tr>
        <w:trPr>
          <w:trHeight w:val="196"/>
        </w:trPr>
        <w:tc>
          <w:tcPr>
            <w:tcW w:w="356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36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2660" w:type="dxa"/>
            <w:vAlign w:val="bottom"/>
            <w:shd w:val="clear" w:color="auto" w:fill="0079C1"/>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110"/>
        </w:trPr>
        <w:tc>
          <w:tcPr>
            <w:tcW w:w="3560" w:type="dxa"/>
            <w:vAlign w:val="bottom"/>
            <w:shd w:val="clear" w:color="auto" w:fill="0079C1"/>
          </w:tcPr>
          <w:p>
            <w:pPr>
              <w:spacing w:after="0"/>
              <w:rPr>
                <w:sz w:val="9"/>
                <w:szCs w:val="9"/>
                <w:color w:val="auto"/>
              </w:rPr>
            </w:pPr>
          </w:p>
        </w:tc>
        <w:tc>
          <w:tcPr>
            <w:tcW w:w="3620" w:type="dxa"/>
            <w:vAlign w:val="bottom"/>
            <w:shd w:val="clear" w:color="auto" w:fill="0079C1"/>
          </w:tcPr>
          <w:p>
            <w:pPr>
              <w:spacing w:after="0"/>
              <w:rPr>
                <w:sz w:val="9"/>
                <w:szCs w:val="9"/>
                <w:color w:val="auto"/>
              </w:rPr>
            </w:pPr>
          </w:p>
        </w:tc>
        <w:tc>
          <w:tcPr>
            <w:tcW w:w="2660" w:type="dxa"/>
            <w:vAlign w:val="bottom"/>
            <w:shd w:val="clear" w:color="auto" w:fill="0079C1"/>
          </w:tcPr>
          <w:p>
            <w:pPr>
              <w:spacing w:after="0"/>
              <w:rPr>
                <w:sz w:val="9"/>
                <w:szCs w:val="9"/>
                <w:color w:val="auto"/>
              </w:rPr>
            </w:pPr>
          </w:p>
        </w:tc>
        <w:tc>
          <w:tcPr>
            <w:tcW w:w="1360" w:type="dxa"/>
            <w:vAlign w:val="bottom"/>
            <w:shd w:val="clear" w:color="auto" w:fill="0079C1"/>
          </w:tcPr>
          <w:p>
            <w:pPr>
              <w:spacing w:after="0"/>
              <w:rPr>
                <w:sz w:val="9"/>
                <w:szCs w:val="9"/>
                <w:color w:val="auto"/>
              </w:rPr>
            </w:pPr>
          </w:p>
        </w:tc>
      </w:tr>
      <w:tr>
        <w:trPr>
          <w:trHeight w:val="235"/>
        </w:trPr>
        <w:tc>
          <w:tcPr>
            <w:tcW w:w="3560" w:type="dxa"/>
            <w:vAlign w:val="bottom"/>
          </w:tcPr>
          <w:p>
            <w:pPr>
              <w:ind w:left="100"/>
              <w:spacing w:after="0"/>
              <w:rPr>
                <w:sz w:val="20"/>
                <w:szCs w:val="20"/>
                <w:color w:val="auto"/>
              </w:rPr>
            </w:pPr>
            <w:r>
              <w:rPr>
                <w:rFonts w:ascii="Arial" w:cs="Arial" w:eastAsia="Arial" w:hAnsi="Arial"/>
                <w:sz w:val="14"/>
                <w:szCs w:val="14"/>
                <w:b w:val="1"/>
                <w:bCs w:val="1"/>
                <w:color w:val="auto"/>
              </w:rPr>
              <w:t>David H. Wang</w:t>
            </w:r>
          </w:p>
        </w:tc>
        <w:tc>
          <w:tcPr>
            <w:tcW w:w="3620" w:type="dxa"/>
            <w:vAlign w:val="bottom"/>
          </w:tcPr>
          <w:p>
            <w:pPr>
              <w:jc w:val="right"/>
              <w:ind w:right="128"/>
              <w:spacing w:after="0"/>
              <w:rPr>
                <w:sz w:val="20"/>
                <w:szCs w:val="20"/>
                <w:color w:val="auto"/>
              </w:rPr>
            </w:pPr>
            <w:r>
              <w:rPr>
                <w:rFonts w:ascii="Arial" w:cs="Arial" w:eastAsia="Arial" w:hAnsi="Arial"/>
                <w:sz w:val="14"/>
                <w:szCs w:val="14"/>
                <w:color w:val="auto"/>
              </w:rPr>
              <w:t>266,940</w:t>
            </w:r>
          </w:p>
        </w:tc>
        <w:tc>
          <w:tcPr>
            <w:tcW w:w="2660" w:type="dxa"/>
            <w:vAlign w:val="bottom"/>
          </w:tcPr>
          <w:p>
            <w:pPr>
              <w:jc w:val="right"/>
              <w:ind w:right="788"/>
              <w:spacing w:after="0"/>
              <w:rPr>
                <w:sz w:val="20"/>
                <w:szCs w:val="20"/>
                <w:color w:val="auto"/>
              </w:rPr>
            </w:pPr>
            <w:r>
              <w:rPr>
                <w:rFonts w:ascii="Arial" w:cs="Arial" w:eastAsia="Arial" w:hAnsi="Arial"/>
                <w:sz w:val="14"/>
                <w:szCs w:val="14"/>
                <w:color w:val="auto"/>
              </w:rPr>
              <w:t>267,801</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0.3</w:t>
            </w:r>
          </w:p>
        </w:tc>
      </w:tr>
      <w:tr>
        <w:trPr>
          <w:trHeight w:val="48"/>
        </w:trPr>
        <w:tc>
          <w:tcPr>
            <w:tcW w:w="3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28"/>
        </w:trPr>
        <w:tc>
          <w:tcPr>
            <w:tcW w:w="3560" w:type="dxa"/>
            <w:vAlign w:val="bottom"/>
          </w:tcPr>
          <w:p>
            <w:pPr>
              <w:ind w:left="100"/>
              <w:spacing w:after="0"/>
              <w:rPr>
                <w:sz w:val="20"/>
                <w:szCs w:val="20"/>
                <w:color w:val="auto"/>
              </w:rPr>
            </w:pPr>
            <w:r>
              <w:rPr>
                <w:rFonts w:ascii="Arial" w:cs="Arial" w:eastAsia="Arial" w:hAnsi="Arial"/>
                <w:sz w:val="14"/>
                <w:szCs w:val="14"/>
                <w:b w:val="1"/>
                <w:bCs w:val="1"/>
                <w:color w:val="auto"/>
              </w:rPr>
              <w:t>Mark McKechnie</w:t>
            </w:r>
          </w:p>
        </w:tc>
        <w:tc>
          <w:tcPr>
            <w:tcW w:w="3620" w:type="dxa"/>
            <w:vAlign w:val="bottom"/>
          </w:tcPr>
          <w:p>
            <w:pPr>
              <w:jc w:val="right"/>
              <w:ind w:right="128"/>
              <w:spacing w:after="0"/>
              <w:rPr>
                <w:sz w:val="20"/>
                <w:szCs w:val="20"/>
                <w:color w:val="auto"/>
              </w:rPr>
            </w:pPr>
            <w:r>
              <w:rPr>
                <w:rFonts w:ascii="Arial" w:cs="Arial" w:eastAsia="Arial" w:hAnsi="Arial"/>
                <w:sz w:val="14"/>
                <w:szCs w:val="14"/>
                <w:color w:val="auto"/>
              </w:rPr>
              <w:t>280,350</w:t>
            </w:r>
          </w:p>
        </w:tc>
        <w:tc>
          <w:tcPr>
            <w:tcW w:w="2660" w:type="dxa"/>
            <w:vAlign w:val="bottom"/>
          </w:tcPr>
          <w:p>
            <w:pPr>
              <w:jc w:val="right"/>
              <w:ind w:right="788"/>
              <w:spacing w:after="0"/>
              <w:rPr>
                <w:sz w:val="20"/>
                <w:szCs w:val="20"/>
                <w:color w:val="auto"/>
              </w:rPr>
            </w:pPr>
            <w:r>
              <w:rPr>
                <w:rFonts w:ascii="Arial" w:cs="Arial" w:eastAsia="Arial" w:hAnsi="Arial"/>
                <w:sz w:val="14"/>
                <w:szCs w:val="14"/>
                <w:color w:val="auto"/>
              </w:rPr>
              <w:t>309,500</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10.4</w:t>
            </w:r>
          </w:p>
        </w:tc>
      </w:tr>
      <w:tr>
        <w:trPr>
          <w:trHeight w:val="49"/>
        </w:trPr>
        <w:tc>
          <w:tcPr>
            <w:tcW w:w="3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28"/>
        </w:trPr>
        <w:tc>
          <w:tcPr>
            <w:tcW w:w="3560" w:type="dxa"/>
            <w:vAlign w:val="bottom"/>
          </w:tcPr>
          <w:p>
            <w:pPr>
              <w:ind w:left="100"/>
              <w:spacing w:after="0"/>
              <w:rPr>
                <w:sz w:val="20"/>
                <w:szCs w:val="20"/>
                <w:color w:val="auto"/>
              </w:rPr>
            </w:pPr>
            <w:r>
              <w:rPr>
                <w:rFonts w:ascii="Arial" w:cs="Arial" w:eastAsia="Arial" w:hAnsi="Arial"/>
                <w:sz w:val="14"/>
                <w:szCs w:val="14"/>
                <w:b w:val="1"/>
                <w:bCs w:val="1"/>
                <w:color w:val="auto"/>
              </w:rPr>
              <w:t>Jian Wang</w:t>
            </w:r>
          </w:p>
        </w:tc>
        <w:tc>
          <w:tcPr>
            <w:tcW w:w="3620" w:type="dxa"/>
            <w:vAlign w:val="bottom"/>
          </w:tcPr>
          <w:p>
            <w:pPr>
              <w:jc w:val="right"/>
              <w:ind w:right="128"/>
              <w:spacing w:after="0"/>
              <w:rPr>
                <w:sz w:val="20"/>
                <w:szCs w:val="20"/>
                <w:color w:val="auto"/>
              </w:rPr>
            </w:pPr>
            <w:r>
              <w:rPr>
                <w:rFonts w:ascii="Arial" w:cs="Arial" w:eastAsia="Arial" w:hAnsi="Arial"/>
                <w:sz w:val="14"/>
                <w:szCs w:val="14"/>
                <w:color w:val="auto"/>
              </w:rPr>
              <w:t>206,673</w:t>
            </w:r>
          </w:p>
        </w:tc>
        <w:tc>
          <w:tcPr>
            <w:tcW w:w="2660" w:type="dxa"/>
            <w:vAlign w:val="bottom"/>
          </w:tcPr>
          <w:p>
            <w:pPr>
              <w:jc w:val="right"/>
              <w:ind w:right="788"/>
              <w:spacing w:after="0"/>
              <w:rPr>
                <w:sz w:val="20"/>
                <w:szCs w:val="20"/>
                <w:color w:val="auto"/>
              </w:rPr>
            </w:pPr>
            <w:r>
              <w:rPr>
                <w:rFonts w:ascii="Arial" w:cs="Arial" w:eastAsia="Arial" w:hAnsi="Arial"/>
                <w:sz w:val="14"/>
                <w:szCs w:val="14"/>
                <w:color w:val="auto"/>
              </w:rPr>
              <w:t>170,907</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(17.3)</w:t>
            </w:r>
          </w:p>
        </w:tc>
      </w:tr>
      <w:tr>
        <w:trPr>
          <w:trHeight w:val="48"/>
        </w:trPr>
        <w:tc>
          <w:tcPr>
            <w:tcW w:w="3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28"/>
        </w:trPr>
        <w:tc>
          <w:tcPr>
            <w:tcW w:w="3560" w:type="dxa"/>
            <w:vAlign w:val="bottom"/>
          </w:tcPr>
          <w:p>
            <w:pPr>
              <w:ind w:left="100"/>
              <w:spacing w:after="0"/>
              <w:rPr>
                <w:sz w:val="20"/>
                <w:szCs w:val="20"/>
                <w:color w:val="auto"/>
              </w:rPr>
            </w:pPr>
            <w:r>
              <w:rPr>
                <w:rFonts w:ascii="Arial" w:cs="Arial" w:eastAsia="Arial" w:hAnsi="Arial"/>
                <w:sz w:val="14"/>
                <w:szCs w:val="14"/>
                <w:b w:val="1"/>
                <w:bCs w:val="1"/>
                <w:color w:val="auto"/>
              </w:rPr>
              <w:t>Lisa Feng</w:t>
            </w:r>
          </w:p>
        </w:tc>
        <w:tc>
          <w:tcPr>
            <w:tcW w:w="3620" w:type="dxa"/>
            <w:vAlign w:val="bottom"/>
          </w:tcPr>
          <w:p>
            <w:pPr>
              <w:jc w:val="right"/>
              <w:ind w:right="128"/>
              <w:spacing w:after="0"/>
              <w:rPr>
                <w:sz w:val="20"/>
                <w:szCs w:val="20"/>
                <w:color w:val="auto"/>
              </w:rPr>
            </w:pPr>
            <w:r>
              <w:rPr>
                <w:rFonts w:ascii="Arial" w:cs="Arial" w:eastAsia="Arial" w:hAnsi="Arial"/>
                <w:sz w:val="14"/>
                <w:szCs w:val="14"/>
                <w:color w:val="auto"/>
              </w:rPr>
              <w:t>201,641</w:t>
            </w:r>
          </w:p>
        </w:tc>
        <w:tc>
          <w:tcPr>
            <w:tcW w:w="2660" w:type="dxa"/>
            <w:vAlign w:val="bottom"/>
          </w:tcPr>
          <w:p>
            <w:pPr>
              <w:jc w:val="right"/>
              <w:ind w:right="788"/>
              <w:spacing w:after="0"/>
              <w:rPr>
                <w:sz w:val="20"/>
                <w:szCs w:val="20"/>
                <w:color w:val="auto"/>
              </w:rPr>
            </w:pPr>
            <w:r>
              <w:rPr>
                <w:rFonts w:ascii="Arial" w:cs="Arial" w:eastAsia="Arial" w:hAnsi="Arial"/>
                <w:sz w:val="14"/>
                <w:szCs w:val="14"/>
                <w:color w:val="auto"/>
              </w:rPr>
              <w:t>179,246</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(11.1)</w:t>
            </w:r>
          </w:p>
        </w:tc>
      </w:tr>
      <w:tr>
        <w:trPr>
          <w:trHeight w:val="49"/>
        </w:trPr>
        <w:tc>
          <w:tcPr>
            <w:tcW w:w="35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28"/>
        </w:trPr>
        <w:tc>
          <w:tcPr>
            <w:tcW w:w="3560" w:type="dxa"/>
            <w:vAlign w:val="bottom"/>
          </w:tcPr>
          <w:p>
            <w:pPr>
              <w:ind w:left="100"/>
              <w:spacing w:after="0"/>
              <w:rPr>
                <w:sz w:val="20"/>
                <w:szCs w:val="20"/>
                <w:color w:val="auto"/>
              </w:rPr>
            </w:pPr>
            <w:r>
              <w:rPr>
                <w:rFonts w:ascii="Arial" w:cs="Arial" w:eastAsia="Arial" w:hAnsi="Arial"/>
                <w:sz w:val="14"/>
                <w:szCs w:val="14"/>
                <w:b w:val="1"/>
                <w:bCs w:val="1"/>
                <w:color w:val="auto"/>
              </w:rPr>
              <w:t>Fuping Chen</w:t>
            </w:r>
          </w:p>
        </w:tc>
        <w:tc>
          <w:tcPr>
            <w:tcW w:w="3620" w:type="dxa"/>
            <w:vAlign w:val="bottom"/>
          </w:tcPr>
          <w:p>
            <w:pPr>
              <w:jc w:val="right"/>
              <w:ind w:right="128"/>
              <w:spacing w:after="0"/>
              <w:rPr>
                <w:sz w:val="20"/>
                <w:szCs w:val="20"/>
                <w:color w:val="auto"/>
              </w:rPr>
            </w:pPr>
            <w:r>
              <w:rPr>
                <w:rFonts w:ascii="Arial" w:cs="Arial" w:eastAsia="Arial" w:hAnsi="Arial"/>
                <w:sz w:val="14"/>
                <w:szCs w:val="14"/>
                <w:color w:val="auto"/>
              </w:rPr>
              <w:t>164,468</w:t>
            </w:r>
          </w:p>
        </w:tc>
        <w:tc>
          <w:tcPr>
            <w:tcW w:w="2660" w:type="dxa"/>
            <w:vAlign w:val="bottom"/>
          </w:tcPr>
          <w:p>
            <w:pPr>
              <w:jc w:val="right"/>
              <w:ind w:right="788"/>
              <w:spacing w:after="0"/>
              <w:rPr>
                <w:sz w:val="20"/>
                <w:szCs w:val="20"/>
                <w:color w:val="auto"/>
              </w:rPr>
            </w:pPr>
            <w:r>
              <w:rPr>
                <w:rFonts w:ascii="Arial" w:cs="Arial" w:eastAsia="Arial" w:hAnsi="Arial"/>
                <w:sz w:val="14"/>
                <w:szCs w:val="14"/>
                <w:color w:val="auto"/>
              </w:rPr>
              <w:t>138,410</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(15.8)</w:t>
            </w:r>
          </w:p>
        </w:tc>
      </w:tr>
      <w:tr>
        <w:trPr>
          <w:trHeight w:val="49"/>
        </w:trPr>
        <w:tc>
          <w:tcPr>
            <w:tcW w:w="3560" w:type="dxa"/>
            <w:vAlign w:val="bottom"/>
            <w:tcBorders>
              <w:bottom w:val="single" w:sz="8" w:color="0079C1"/>
            </w:tcBorders>
          </w:tcPr>
          <w:p>
            <w:pPr>
              <w:spacing w:after="0"/>
              <w:rPr>
                <w:sz w:val="4"/>
                <w:szCs w:val="4"/>
                <w:color w:val="auto"/>
              </w:rPr>
            </w:pPr>
          </w:p>
        </w:tc>
        <w:tc>
          <w:tcPr>
            <w:tcW w:w="3620" w:type="dxa"/>
            <w:vAlign w:val="bottom"/>
            <w:tcBorders>
              <w:bottom w:val="single" w:sz="8" w:color="0079C1"/>
            </w:tcBorders>
          </w:tcPr>
          <w:p>
            <w:pPr>
              <w:spacing w:after="0"/>
              <w:rPr>
                <w:sz w:val="4"/>
                <w:szCs w:val="4"/>
                <w:color w:val="auto"/>
              </w:rPr>
            </w:pPr>
          </w:p>
        </w:tc>
        <w:tc>
          <w:tcPr>
            <w:tcW w:w="2660" w:type="dxa"/>
            <w:vAlign w:val="bottom"/>
            <w:tcBorders>
              <w:bottom w:val="single" w:sz="8" w:color="0079C1"/>
            </w:tcBorders>
          </w:tcPr>
          <w:p>
            <w:pPr>
              <w:spacing w:after="0"/>
              <w:rPr>
                <w:sz w:val="4"/>
                <w:szCs w:val="4"/>
                <w:color w:val="auto"/>
              </w:rPr>
            </w:pPr>
          </w:p>
        </w:tc>
        <w:tc>
          <w:tcPr>
            <w:tcW w:w="1360" w:type="dxa"/>
            <w:vAlign w:val="bottom"/>
            <w:tcBorders>
              <w:bottom w:val="single" w:sz="8" w:color="0079C1"/>
            </w:tcBorders>
          </w:tcPr>
          <w:p>
            <w:pPr>
              <w:spacing w:after="0"/>
              <w:rPr>
                <w:sz w:val="4"/>
                <w:szCs w:val="4"/>
                <w:color w:val="auto"/>
              </w:rPr>
            </w:pPr>
          </w:p>
        </w:tc>
      </w:tr>
    </w:tbl>
    <w:p>
      <w:pPr>
        <w:spacing w:after="0" w:line="323"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auto"/>
        </w:rPr>
        <w:t>For our non-U.S.-based NEOs, compensation amounts paid in RMB have been converted, for purposes of the table, to U.S. dollars at the average RMB per U.S. dollar exchange rate for the applicable years.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Bonus Program</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do not have an established bonus policy for our NEOs. The compensation committee may decide, in its sole discretion, to reward NEOs with annual cash bonuses based on the totality of achievements in a given year, including achievement of individual NEO performance, our business performance, and achievement of specific business objectives, with no specific weighting assigned to any one factor. The program is designed to motivate our NEOs to focus on the Company’s priorities and to also reward them for individual results and achievements. There are no specific threshold, target, or maximum levels associated with the performance factors considered or the bonus payouts, and our compensation committee has full discretion to determine the level of bonus payout for each year based on the totality of circumstances for such year. Based on the Company’s revenue growth in 2025, improved operating margins, progress on new products, new customers, progress with global customers, and each NEO’s individual contributions and performance, the compensation committee approved the following bonuses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shd w:val="clear" w:color="auto" w:fill="0079C1"/>
          </w:tcPr>
          <w:p>
            <w:pPr>
              <w:spacing w:after="0"/>
              <w:rPr>
                <w:sz w:val="16"/>
                <w:szCs w:val="16"/>
                <w:color w:val="auto"/>
              </w:rPr>
            </w:pPr>
          </w:p>
        </w:tc>
        <w:tc>
          <w:tcPr>
            <w:tcW w:w="5400" w:type="dxa"/>
            <w:vAlign w:val="bottom"/>
            <w:shd w:val="clear" w:color="auto" w:fill="0079C1"/>
          </w:tcPr>
          <w:p>
            <w:pPr>
              <w:jc w:val="right"/>
              <w:ind w:right="108"/>
              <w:spacing w:after="0"/>
              <w:rPr>
                <w:sz w:val="20"/>
                <w:szCs w:val="20"/>
                <w:color w:val="auto"/>
              </w:rPr>
            </w:pPr>
            <w:r>
              <w:rPr>
                <w:rFonts w:ascii="Arial" w:cs="Arial" w:eastAsia="Arial" w:hAnsi="Arial"/>
                <w:sz w:val="14"/>
                <w:szCs w:val="14"/>
                <w:b w:val="1"/>
                <w:bCs w:val="1"/>
                <w:color w:val="FFFFFF"/>
              </w:rPr>
              <w:t>2025 Cash Bonus</w:t>
            </w:r>
          </w:p>
        </w:tc>
      </w:tr>
      <w:tr>
        <w:trPr>
          <w:trHeight w:val="196"/>
        </w:trPr>
        <w:tc>
          <w:tcPr>
            <w:tcW w:w="582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5400" w:type="dxa"/>
            <w:vAlign w:val="bottom"/>
            <w:shd w:val="clear" w:color="auto" w:fill="0079C1"/>
          </w:tcPr>
          <w:p>
            <w:pPr>
              <w:jc w:val="right"/>
              <w:ind w:right="108"/>
              <w:spacing w:after="0"/>
              <w:rPr>
                <w:sz w:val="20"/>
                <w:szCs w:val="20"/>
                <w:color w:val="auto"/>
              </w:rPr>
            </w:pPr>
            <w:r>
              <w:rPr>
                <w:rFonts w:ascii="Arial" w:cs="Arial" w:eastAsia="Arial" w:hAnsi="Arial"/>
                <w:sz w:val="14"/>
                <w:szCs w:val="14"/>
                <w:b w:val="1"/>
                <w:bCs w:val="1"/>
                <w:color w:val="FFFFFF"/>
              </w:rPr>
              <w:t>($)</w:t>
            </w:r>
          </w:p>
        </w:tc>
      </w:tr>
      <w:tr>
        <w:trPr>
          <w:trHeight w:val="110"/>
        </w:trPr>
        <w:tc>
          <w:tcPr>
            <w:tcW w:w="5820" w:type="dxa"/>
            <w:vAlign w:val="bottom"/>
            <w:shd w:val="clear" w:color="auto" w:fill="0079C1"/>
          </w:tcPr>
          <w:p>
            <w:pPr>
              <w:spacing w:after="0"/>
              <w:rPr>
                <w:sz w:val="9"/>
                <w:szCs w:val="9"/>
                <w:color w:val="auto"/>
              </w:rPr>
            </w:pPr>
          </w:p>
        </w:tc>
        <w:tc>
          <w:tcPr>
            <w:tcW w:w="5400" w:type="dxa"/>
            <w:vAlign w:val="bottom"/>
            <w:shd w:val="clear" w:color="auto" w:fill="0079C1"/>
          </w:tcPr>
          <w:p>
            <w:pPr>
              <w:spacing w:after="0"/>
              <w:rPr>
                <w:sz w:val="9"/>
                <w:szCs w:val="9"/>
                <w:color w:val="auto"/>
              </w:rPr>
            </w:pPr>
          </w:p>
        </w:tc>
      </w:tr>
      <w:tr>
        <w:trPr>
          <w:trHeight w:val="235"/>
        </w:trPr>
        <w:tc>
          <w:tcPr>
            <w:tcW w:w="5820" w:type="dxa"/>
            <w:vAlign w:val="bottom"/>
          </w:tcPr>
          <w:p>
            <w:pPr>
              <w:ind w:left="100"/>
              <w:spacing w:after="0"/>
              <w:rPr>
                <w:sz w:val="20"/>
                <w:szCs w:val="20"/>
                <w:color w:val="auto"/>
              </w:rPr>
            </w:pPr>
            <w:r>
              <w:rPr>
                <w:rFonts w:ascii="Arial" w:cs="Arial" w:eastAsia="Arial" w:hAnsi="Arial"/>
                <w:sz w:val="14"/>
                <w:szCs w:val="14"/>
                <w:b w:val="1"/>
                <w:bCs w:val="1"/>
                <w:color w:val="auto"/>
              </w:rPr>
              <w:t>David H. Wang</w:t>
            </w:r>
          </w:p>
        </w:tc>
        <w:tc>
          <w:tcPr>
            <w:tcW w:w="5400" w:type="dxa"/>
            <w:vAlign w:val="bottom"/>
          </w:tcPr>
          <w:p>
            <w:pPr>
              <w:jc w:val="right"/>
              <w:ind w:right="148"/>
              <w:spacing w:after="0"/>
              <w:rPr>
                <w:sz w:val="20"/>
                <w:szCs w:val="20"/>
                <w:color w:val="auto"/>
              </w:rPr>
            </w:pPr>
            <w:r>
              <w:rPr>
                <w:rFonts w:ascii="Arial" w:cs="Arial" w:eastAsia="Arial" w:hAnsi="Arial"/>
                <w:sz w:val="14"/>
                <w:szCs w:val="14"/>
                <w:color w:val="auto"/>
              </w:rPr>
              <w:t>359,920</w:t>
            </w:r>
          </w:p>
        </w:tc>
      </w:tr>
      <w:tr>
        <w:trPr>
          <w:trHeight w:val="48"/>
        </w:trPr>
        <w:tc>
          <w:tcPr>
            <w:tcW w:w="582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228"/>
        </w:trPr>
        <w:tc>
          <w:tcPr>
            <w:tcW w:w="5820" w:type="dxa"/>
            <w:vAlign w:val="bottom"/>
          </w:tcPr>
          <w:p>
            <w:pPr>
              <w:ind w:left="100"/>
              <w:spacing w:after="0"/>
              <w:rPr>
                <w:sz w:val="20"/>
                <w:szCs w:val="20"/>
                <w:color w:val="auto"/>
              </w:rPr>
            </w:pPr>
            <w:r>
              <w:rPr>
                <w:rFonts w:ascii="Arial" w:cs="Arial" w:eastAsia="Arial" w:hAnsi="Arial"/>
                <w:sz w:val="14"/>
                <w:szCs w:val="14"/>
                <w:b w:val="1"/>
                <w:bCs w:val="1"/>
                <w:color w:val="auto"/>
              </w:rPr>
              <w:t>Mark McKechnie</w:t>
            </w:r>
          </w:p>
        </w:tc>
        <w:tc>
          <w:tcPr>
            <w:tcW w:w="5400" w:type="dxa"/>
            <w:vAlign w:val="bottom"/>
          </w:tcPr>
          <w:p>
            <w:pPr>
              <w:jc w:val="right"/>
              <w:ind w:right="148"/>
              <w:spacing w:after="0"/>
              <w:rPr>
                <w:sz w:val="20"/>
                <w:szCs w:val="20"/>
                <w:color w:val="auto"/>
              </w:rPr>
            </w:pPr>
            <w:r>
              <w:rPr>
                <w:rFonts w:ascii="Arial" w:cs="Arial" w:eastAsia="Arial" w:hAnsi="Arial"/>
                <w:sz w:val="14"/>
                <w:szCs w:val="14"/>
                <w:color w:val="auto"/>
              </w:rPr>
              <w:t>120,000</w:t>
            </w:r>
          </w:p>
        </w:tc>
      </w:tr>
      <w:tr>
        <w:trPr>
          <w:trHeight w:val="48"/>
        </w:trPr>
        <w:tc>
          <w:tcPr>
            <w:tcW w:w="582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228"/>
        </w:trPr>
        <w:tc>
          <w:tcPr>
            <w:tcW w:w="5820" w:type="dxa"/>
            <w:vAlign w:val="bottom"/>
          </w:tcPr>
          <w:p>
            <w:pPr>
              <w:ind w:left="100"/>
              <w:spacing w:after="0"/>
              <w:rPr>
                <w:sz w:val="20"/>
                <w:szCs w:val="20"/>
                <w:color w:val="auto"/>
              </w:rPr>
            </w:pPr>
            <w:r>
              <w:rPr>
                <w:rFonts w:ascii="Arial" w:cs="Arial" w:eastAsia="Arial" w:hAnsi="Arial"/>
                <w:sz w:val="14"/>
                <w:szCs w:val="14"/>
                <w:b w:val="1"/>
                <w:bCs w:val="1"/>
                <w:color w:val="auto"/>
              </w:rPr>
              <w:t>Jian Wang</w:t>
            </w:r>
          </w:p>
        </w:tc>
        <w:tc>
          <w:tcPr>
            <w:tcW w:w="5400" w:type="dxa"/>
            <w:vAlign w:val="bottom"/>
          </w:tcPr>
          <w:p>
            <w:pPr>
              <w:jc w:val="right"/>
              <w:ind w:right="148"/>
              <w:spacing w:after="0"/>
              <w:rPr>
                <w:sz w:val="20"/>
                <w:szCs w:val="20"/>
                <w:color w:val="auto"/>
              </w:rPr>
            </w:pPr>
            <w:r>
              <w:rPr>
                <w:rFonts w:ascii="Arial" w:cs="Arial" w:eastAsia="Arial" w:hAnsi="Arial"/>
                <w:sz w:val="14"/>
                <w:szCs w:val="14"/>
                <w:color w:val="auto"/>
              </w:rPr>
              <w:t>311,849</w:t>
            </w:r>
          </w:p>
        </w:tc>
      </w:tr>
      <w:tr>
        <w:trPr>
          <w:trHeight w:val="49"/>
        </w:trPr>
        <w:tc>
          <w:tcPr>
            <w:tcW w:w="582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228"/>
        </w:trPr>
        <w:tc>
          <w:tcPr>
            <w:tcW w:w="5820" w:type="dxa"/>
            <w:vAlign w:val="bottom"/>
          </w:tcPr>
          <w:p>
            <w:pPr>
              <w:ind w:left="100"/>
              <w:spacing w:after="0"/>
              <w:rPr>
                <w:sz w:val="20"/>
                <w:szCs w:val="20"/>
                <w:color w:val="auto"/>
              </w:rPr>
            </w:pPr>
            <w:r>
              <w:rPr>
                <w:rFonts w:ascii="Arial" w:cs="Arial" w:eastAsia="Arial" w:hAnsi="Arial"/>
                <w:sz w:val="14"/>
                <w:szCs w:val="14"/>
                <w:b w:val="1"/>
                <w:bCs w:val="1"/>
                <w:color w:val="auto"/>
              </w:rPr>
              <w:t>Lisa Feng</w:t>
            </w:r>
          </w:p>
        </w:tc>
        <w:tc>
          <w:tcPr>
            <w:tcW w:w="5400" w:type="dxa"/>
            <w:vAlign w:val="bottom"/>
          </w:tcPr>
          <w:p>
            <w:pPr>
              <w:jc w:val="right"/>
              <w:ind w:right="148"/>
              <w:spacing w:after="0"/>
              <w:rPr>
                <w:sz w:val="20"/>
                <w:szCs w:val="20"/>
                <w:color w:val="auto"/>
              </w:rPr>
            </w:pPr>
            <w:r>
              <w:rPr>
                <w:rFonts w:ascii="Arial" w:cs="Arial" w:eastAsia="Arial" w:hAnsi="Arial"/>
                <w:sz w:val="14"/>
                <w:szCs w:val="14"/>
                <w:color w:val="auto"/>
              </w:rPr>
              <w:t>205,117</w:t>
            </w:r>
          </w:p>
        </w:tc>
      </w:tr>
      <w:tr>
        <w:trPr>
          <w:trHeight w:val="48"/>
        </w:trPr>
        <w:tc>
          <w:tcPr>
            <w:tcW w:w="582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228"/>
        </w:trPr>
        <w:tc>
          <w:tcPr>
            <w:tcW w:w="5820" w:type="dxa"/>
            <w:vAlign w:val="bottom"/>
          </w:tcPr>
          <w:p>
            <w:pPr>
              <w:ind w:left="100"/>
              <w:spacing w:after="0"/>
              <w:rPr>
                <w:sz w:val="20"/>
                <w:szCs w:val="20"/>
                <w:color w:val="auto"/>
              </w:rPr>
            </w:pPr>
            <w:r>
              <w:rPr>
                <w:rFonts w:ascii="Arial" w:cs="Arial" w:eastAsia="Arial" w:hAnsi="Arial"/>
                <w:sz w:val="14"/>
                <w:szCs w:val="14"/>
                <w:b w:val="1"/>
                <w:bCs w:val="1"/>
                <w:color w:val="auto"/>
              </w:rPr>
              <w:t>Fuping Chen</w:t>
            </w:r>
          </w:p>
        </w:tc>
        <w:tc>
          <w:tcPr>
            <w:tcW w:w="5400" w:type="dxa"/>
            <w:vAlign w:val="bottom"/>
          </w:tcPr>
          <w:p>
            <w:pPr>
              <w:jc w:val="right"/>
              <w:ind w:right="148"/>
              <w:spacing w:after="0"/>
              <w:rPr>
                <w:sz w:val="20"/>
                <w:szCs w:val="20"/>
                <w:color w:val="auto"/>
              </w:rPr>
            </w:pPr>
            <w:r>
              <w:rPr>
                <w:rFonts w:ascii="Arial" w:cs="Arial" w:eastAsia="Arial" w:hAnsi="Arial"/>
                <w:sz w:val="14"/>
                <w:szCs w:val="14"/>
                <w:color w:val="auto"/>
              </w:rPr>
              <w:t>240,570</w:t>
            </w:r>
          </w:p>
        </w:tc>
      </w:tr>
      <w:tr>
        <w:trPr>
          <w:trHeight w:val="49"/>
        </w:trPr>
        <w:tc>
          <w:tcPr>
            <w:tcW w:w="5820" w:type="dxa"/>
            <w:vAlign w:val="bottom"/>
            <w:tcBorders>
              <w:bottom w:val="single" w:sz="8" w:color="0079C1"/>
            </w:tcBorders>
          </w:tcPr>
          <w:p>
            <w:pPr>
              <w:spacing w:after="0"/>
              <w:rPr>
                <w:sz w:val="4"/>
                <w:szCs w:val="4"/>
                <w:color w:val="auto"/>
              </w:rPr>
            </w:pPr>
          </w:p>
        </w:tc>
        <w:tc>
          <w:tcPr>
            <w:tcW w:w="5400" w:type="dxa"/>
            <w:vAlign w:val="bottom"/>
            <w:tcBorders>
              <w:bottom w:val="single" w:sz="8" w:color="0079C1"/>
            </w:tcBorders>
          </w:tcPr>
          <w:p>
            <w:pPr>
              <w:spacing w:after="0"/>
              <w:rPr>
                <w:sz w:val="4"/>
                <w:szCs w:val="4"/>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Program</w:t>
      </w:r>
    </w:p>
    <w:p>
      <w:pPr>
        <w:spacing w:after="0" w:line="162"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auto"/>
        </w:rPr>
        <w:t>Historically we have not typically granted stock options to NEOs on an annual basis. From time to time, however, we grant stock options, including those with performance conditions attached, when appropriate, as the long-term incentive component of our compensation program. Our stock options allow our employees to purchase covered shares at a price equal to the fair market value on the date of grant. Stock options motivate the NEOs to drive stock price performance, since the NEO can only realize the value of the options if our stock price increases above the exercise price.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w:t>
      </w:r>
    </w:p>
    <w:p>
      <w:pPr>
        <w:spacing w:after="0" w:line="123"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auto"/>
        </w:rPr>
        <w:t>We grant our NEOs stock options covering shares of ACM Research and ACM Shanghai to incentivize value creation across our entire operations. The compensation committee typically grants equity awards to NEOs during a regularly scheduled meeting. However, the timing of this approval may be changed in the event of extraordinary circumstances, including in connection with mid-year promotions and new-hires. The Company does not take material nonpublic information into account when determining the timing and terms of awards, nor does the Company time the disclosure of material nonpublic information for the purpose of affecting the value of executive compensation.</w:t>
      </w:r>
    </w:p>
    <w:p>
      <w:pPr>
        <w:spacing w:after="0" w:line="124" w:lineRule="exact"/>
        <w:rPr>
          <w:sz w:val="20"/>
          <w:szCs w:val="20"/>
          <w:color w:val="auto"/>
        </w:rPr>
      </w:pPr>
    </w:p>
    <w:p>
      <w:pPr>
        <w:ind w:right="140"/>
        <w:spacing w:after="0" w:line="363" w:lineRule="auto"/>
        <w:rPr>
          <w:sz w:val="20"/>
          <w:szCs w:val="20"/>
          <w:color w:val="auto"/>
        </w:rPr>
      </w:pPr>
      <w:r>
        <w:rPr>
          <w:rFonts w:ascii="Arial" w:cs="Arial" w:eastAsia="Arial" w:hAnsi="Arial"/>
          <w:sz w:val="16"/>
          <w:szCs w:val="16"/>
          <w:color w:val="auto"/>
        </w:rPr>
        <w:t>During 2025, we did not grant stock options to any of our NEOs. The compensation committee concluded that the other elements of our compensation program (including base salary and annual cash incentive opportunities, as well as outstanding equity awards) were sufficient to achieve our compensation objectives of attracting and retaining executive talent and motivating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Prohibitions</w:t>
      </w:r>
    </w:p>
    <w:p>
      <w:pPr>
        <w:spacing w:after="0" w:line="176" w:lineRule="exact"/>
        <w:rPr>
          <w:sz w:val="20"/>
          <w:szCs w:val="20"/>
          <w:color w:val="auto"/>
        </w:rPr>
      </w:pPr>
    </w:p>
    <w:p>
      <w:pPr>
        <w:ind w:right="20"/>
        <w:spacing w:after="0" w:line="346" w:lineRule="auto"/>
        <w:rPr>
          <w:sz w:val="20"/>
          <w:szCs w:val="20"/>
          <w:color w:val="auto"/>
        </w:rPr>
      </w:pPr>
      <w:r>
        <w:rPr>
          <w:rFonts w:ascii="Arial" w:cs="Arial" w:eastAsia="Arial" w:hAnsi="Arial"/>
          <w:sz w:val="16"/>
          <w:szCs w:val="16"/>
          <w:color w:val="auto"/>
        </w:rPr>
        <w:t>Under our Restated Insider Trading Policy, all employees, including our NEOs,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Clawbacks</w:t>
      </w:r>
    </w:p>
    <w:p>
      <w:pPr>
        <w:spacing w:after="0" w:line="162"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auto"/>
        </w:rPr>
        <w:t>As required by the Dodd-Frank Act, in 2023 we adopted a clawback policy which requires that certain incentive compensation paid to any current or former executive officer, including our NEOs, will be subject to recoupment if (x) the incentive compensation was calculated based on financial statements that were required to be restated due to material noncompliance with financial reporting requirements, without regard to any fault or misconduct, and (y) that noncompliance resulted in overpayment of the incentive compensation within the three fiscal years preceding the fiscal year in which the restatement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151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required. Incentive compensation subject to the clawback policy consists of compensation that is granted, earned or vested based wholly or in part upon the attainment of a financial reporting measure (as defined in the rules implementing such requirement), including stock price and total shareholder return, on and after October 2, 2023.</w:t>
      </w:r>
    </w:p>
    <w:p>
      <w:pPr>
        <w:spacing w:after="0" w:line="13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In addition, our CEO and CFO are subject to the clawback provision of the Sarbanes-Oxley Act of 2002, which generally requires that they reimburse the Company for any incentive- or equity-based compensation that they receive within the 12-month period following the public issuance of financial information if there is an accounting restatement because of material noncompliance, as a result of misconduct, with any financial reporting requirement under the federal securities laws.</w:t>
      </w:r>
    </w:p>
    <w:p>
      <w:pPr>
        <w:spacing w:after="0" w:line="124" w:lineRule="exact"/>
        <w:rPr>
          <w:sz w:val="20"/>
          <w:szCs w:val="20"/>
          <w:color w:val="auto"/>
        </w:rPr>
      </w:pPr>
    </w:p>
    <w:p>
      <w:pPr>
        <w:jc w:val="both"/>
        <w:ind w:right="460"/>
        <w:spacing w:after="0" w:line="363" w:lineRule="auto"/>
        <w:rPr>
          <w:sz w:val="20"/>
          <w:szCs w:val="20"/>
          <w:color w:val="auto"/>
        </w:rPr>
      </w:pPr>
      <w:r>
        <w:rPr>
          <w:rFonts w:ascii="Arial" w:cs="Arial" w:eastAsia="Arial" w:hAnsi="Arial"/>
          <w:sz w:val="16"/>
          <w:szCs w:val="16"/>
          <w:color w:val="auto"/>
        </w:rPr>
        <w:t>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76" w:lineRule="exact"/>
        <w:rPr>
          <w:sz w:val="20"/>
          <w:szCs w:val="20"/>
          <w:color w:val="auto"/>
        </w:rPr>
      </w:pPr>
    </w:p>
    <w:p>
      <w:pPr>
        <w:ind w:right="300"/>
        <w:spacing w:after="0" w:line="374" w:lineRule="auto"/>
        <w:rPr>
          <w:sz w:val="20"/>
          <w:szCs w:val="20"/>
          <w:color w:val="auto"/>
        </w:rPr>
      </w:pPr>
      <w:r>
        <w:rPr>
          <w:rFonts w:ascii="Arial" w:cs="Arial" w:eastAsia="Arial" w:hAnsi="Arial"/>
          <w:sz w:val="16"/>
          <w:szCs w:val="16"/>
          <w:color w:val="auto"/>
        </w:rPr>
        <w:t>Our PRC-based NEOs, which include all NEOs except U.S.-based Mark McKechnie and David H. Wang, are generally eligible to participate in our health and welfare programs and retirement plans on the same basis as other PRC 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76" w:lineRule="exact"/>
        <w:rPr>
          <w:sz w:val="20"/>
          <w:szCs w:val="20"/>
          <w:color w:val="auto"/>
        </w:rPr>
      </w:pPr>
    </w:p>
    <w:p>
      <w:pPr>
        <w:ind w:right="100"/>
        <w:spacing w:after="0" w:line="346" w:lineRule="auto"/>
        <w:rPr>
          <w:sz w:val="20"/>
          <w:szCs w:val="20"/>
          <w:color w:val="auto"/>
        </w:rPr>
      </w:pPr>
      <w:r>
        <w:rPr>
          <w:rFonts w:ascii="Arial" w:cs="Arial" w:eastAsia="Arial" w:hAnsi="Arial"/>
          <w:sz w:val="16"/>
          <w:szCs w:val="16"/>
          <w:color w:val="auto"/>
        </w:rPr>
        <w:t>We provide limited perquisites, generally in the form of health insurance premiums paid by us. The compensation committee believes that our NEO compensation program should emphasize performance-based pay elements that directly align the interests of our NEOs with those of our stockholders, rather than fixed benefits unrelated to Company or individual performance. Accordingly, the compensation committee has adopted a conservative approach to perquisites and limits them to those it considers reasonable, competitively necessary, or that serve a legitimate business purpose, such as promoting the health of our executives. The compensation committee periodically reviews the perquisites offered to our NEOs and believes the current level is appropriate and consistent with market practice among companies of our size and industry.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We enter into employment agreements with our employees located principally in the PRC, including all of our NEOs other than U.S.-based NEOs Mr. McKechnie and David H. Wang, that contain an employment term and other statutorily required terms and conditions but do not include compensatory terms. In addition, ACM Shanghai was a party to an employment agreement with Ms. Feng that was entered into as of January 8, 2018 and extended through September 24, 2028. The agreement contains provisions with respect to base salary and annual bonus eligibility. We have not entered into an employment agreement with Mr. McKechnie.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6"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24"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color w:val="auto"/>
        </w:rPr>
        <w:t>NEOs based in the PRC, who include all NEOs other than U.S.-based Mark McKechnie and David H. Wang, may be entitled to statutory severance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151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Internal Revenue Code Section 162(m) Considerations</w:t>
      </w:r>
    </w:p>
    <w:p>
      <w:pPr>
        <w:spacing w:after="0" w:line="209" w:lineRule="exact"/>
        <w:rPr>
          <w:sz w:val="20"/>
          <w:szCs w:val="20"/>
          <w:color w:val="auto"/>
        </w:rPr>
      </w:pPr>
    </w:p>
    <w:p>
      <w:pPr>
        <w:jc w:val="both"/>
        <w:ind w:right="360"/>
        <w:spacing w:after="0" w:line="363" w:lineRule="auto"/>
        <w:rPr>
          <w:sz w:val="20"/>
          <w:szCs w:val="20"/>
          <w:color w:val="auto"/>
        </w:rPr>
      </w:pPr>
      <w:r>
        <w:rPr>
          <w:rFonts w:ascii="Arial" w:cs="Arial" w:eastAsia="Arial" w:hAnsi="Arial"/>
          <w:sz w:val="16"/>
          <w:szCs w:val="16"/>
          <w:color w:val="auto"/>
        </w:rPr>
        <w:t>Section 162(m) of the Internal Revenue Code generally places a $1 million annual deduction limit on compensation paid to “covered employees,” which includes certain current and former employees, including our NEOs. Our compensation committee makes compensation decisions based on our guiding compensation principles and the interests of our shareholders, even if such compensation is non-deductible by us.</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Internal Revenue Code Sections 280G and 409A Considerations</w:t>
      </w:r>
    </w:p>
    <w:p>
      <w:pPr>
        <w:spacing w:after="0" w:line="209" w:lineRule="exact"/>
        <w:rPr>
          <w:sz w:val="20"/>
          <w:szCs w:val="20"/>
          <w:color w:val="auto"/>
        </w:rPr>
      </w:pPr>
    </w:p>
    <w:p>
      <w:pPr>
        <w:ind w:right="100"/>
        <w:spacing w:after="0" w:line="346" w:lineRule="auto"/>
        <w:rPr>
          <w:sz w:val="20"/>
          <w:szCs w:val="20"/>
          <w:color w:val="auto"/>
        </w:rPr>
      </w:pPr>
      <w:r>
        <w:rPr>
          <w:rFonts w:ascii="Arial" w:cs="Arial" w:eastAsia="Arial" w:hAnsi="Arial"/>
          <w:sz w:val="16"/>
          <w:szCs w:val="16"/>
          <w:color w:val="auto"/>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Accounting for Stock-Based Compensation</w:t>
      </w:r>
    </w:p>
    <w:p>
      <w:pPr>
        <w:spacing w:after="0" w:line="222"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We follow the Financial Accounting Standards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Report of the Compensation Committee</w:t>
      </w:r>
    </w:p>
    <w:p>
      <w:pPr>
        <w:spacing w:after="0" w:line="209" w:lineRule="exact"/>
        <w:rPr>
          <w:sz w:val="20"/>
          <w:szCs w:val="20"/>
          <w:color w:val="auto"/>
        </w:rPr>
      </w:pPr>
    </w:p>
    <w:p>
      <w:pPr>
        <w:ind w:right="200"/>
        <w:spacing w:after="0" w:line="353"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Compensation Committee: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Haiping Dun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15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Executive Compensation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Summary Compensation Table</w:t>
      </w:r>
    </w:p>
    <w:p>
      <w:pPr>
        <w:spacing w:after="0" w:line="222"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2025 who were serving as executive officers at the end of 2025, Jian Wang, Lisa Feng and Fuping Chen.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0079C1"/>
          </w:tcPr>
          <w:p>
            <w:pPr>
              <w:spacing w:after="0"/>
              <w:rPr>
                <w:sz w:val="16"/>
                <w:szCs w:val="16"/>
                <w:color w:val="auto"/>
              </w:rPr>
            </w:pPr>
          </w:p>
        </w:tc>
        <w:tc>
          <w:tcPr>
            <w:tcW w:w="3520" w:type="dxa"/>
            <w:vAlign w:val="bottom"/>
            <w:shd w:val="clear" w:color="auto" w:fill="0079C1"/>
          </w:tcPr>
          <w:p>
            <w:pPr>
              <w:spacing w:after="0"/>
              <w:rPr>
                <w:sz w:val="16"/>
                <w:szCs w:val="16"/>
                <w:color w:val="auto"/>
              </w:rPr>
            </w:pPr>
          </w:p>
        </w:tc>
        <w:tc>
          <w:tcPr>
            <w:tcW w:w="960" w:type="dxa"/>
            <w:vAlign w:val="bottom"/>
            <w:shd w:val="clear" w:color="auto" w:fill="0079C1"/>
          </w:tcPr>
          <w:p>
            <w:pPr>
              <w:spacing w:after="0"/>
              <w:rPr>
                <w:sz w:val="16"/>
                <w:szCs w:val="16"/>
                <w:color w:val="auto"/>
              </w:rPr>
            </w:pPr>
          </w:p>
        </w:tc>
        <w:tc>
          <w:tcPr>
            <w:tcW w:w="1440" w:type="dxa"/>
            <w:vAlign w:val="bottom"/>
            <w:vMerge w:val="restart"/>
            <w:shd w:val="clear" w:color="auto" w:fill="0079C1"/>
          </w:tcPr>
          <w:p>
            <w:pPr>
              <w:jc w:val="right"/>
              <w:ind w:right="330"/>
              <w:spacing w:after="0"/>
              <w:rPr>
                <w:sz w:val="20"/>
                <w:szCs w:val="20"/>
                <w:color w:val="auto"/>
              </w:rPr>
            </w:pPr>
            <w:r>
              <w:rPr>
                <w:rFonts w:ascii="Arial" w:cs="Arial" w:eastAsia="Arial" w:hAnsi="Arial"/>
                <w:sz w:val="14"/>
                <w:szCs w:val="14"/>
                <w:b w:val="1"/>
                <w:bCs w:val="1"/>
                <w:color w:val="FFFFFF"/>
              </w:rPr>
              <w:t>Salary</w:t>
            </w:r>
          </w:p>
        </w:tc>
        <w:tc>
          <w:tcPr>
            <w:tcW w:w="1120" w:type="dxa"/>
            <w:vAlign w:val="bottom"/>
            <w:vMerge w:val="restart"/>
            <w:shd w:val="clear" w:color="auto" w:fill="0079C1"/>
          </w:tcPr>
          <w:p>
            <w:pPr>
              <w:jc w:val="right"/>
              <w:ind w:right="90"/>
              <w:spacing w:after="0"/>
              <w:rPr>
                <w:sz w:val="20"/>
                <w:szCs w:val="20"/>
                <w:color w:val="auto"/>
              </w:rPr>
            </w:pPr>
            <w:r>
              <w:rPr>
                <w:rFonts w:ascii="Arial" w:cs="Arial" w:eastAsia="Arial" w:hAnsi="Arial"/>
                <w:sz w:val="14"/>
                <w:szCs w:val="14"/>
                <w:b w:val="1"/>
                <w:bCs w:val="1"/>
                <w:color w:val="FFFFFF"/>
              </w:rPr>
              <w:t>Bonus</w:t>
            </w:r>
          </w:p>
        </w:tc>
        <w:tc>
          <w:tcPr>
            <w:tcW w:w="1380" w:type="dxa"/>
            <w:vAlign w:val="bottom"/>
            <w:vMerge w:val="restart"/>
            <w:shd w:val="clear" w:color="auto" w:fill="0079C1"/>
          </w:tcPr>
          <w:p>
            <w:pPr>
              <w:jc w:val="right"/>
              <w:ind w:right="110"/>
              <w:spacing w:after="0"/>
              <w:rPr>
                <w:sz w:val="20"/>
                <w:szCs w:val="20"/>
                <w:color w:val="auto"/>
              </w:rPr>
            </w:pPr>
            <w:r>
              <w:rPr>
                <w:rFonts w:ascii="Arial" w:cs="Arial" w:eastAsia="Arial" w:hAnsi="Arial"/>
                <w:sz w:val="14"/>
                <w:szCs w:val="14"/>
                <w:b w:val="1"/>
                <w:bCs w:val="1"/>
                <w:color w:val="FFFFFF"/>
              </w:rPr>
              <w:t>Option Awards</w:t>
            </w:r>
          </w:p>
        </w:tc>
        <w:tc>
          <w:tcPr>
            <w:tcW w:w="1480" w:type="dxa"/>
            <w:vAlign w:val="bottom"/>
            <w:shd w:val="clear" w:color="auto" w:fill="0079C1"/>
          </w:tcPr>
          <w:p>
            <w:pPr>
              <w:jc w:val="right"/>
              <w:ind w:right="230"/>
              <w:spacing w:after="0"/>
              <w:rPr>
                <w:sz w:val="20"/>
                <w:szCs w:val="20"/>
                <w:color w:val="auto"/>
              </w:rPr>
            </w:pPr>
            <w:r>
              <w:rPr>
                <w:rFonts w:ascii="Arial" w:cs="Arial" w:eastAsia="Arial" w:hAnsi="Arial"/>
                <w:sz w:val="14"/>
                <w:szCs w:val="14"/>
                <w:b w:val="1"/>
                <w:bCs w:val="1"/>
                <w:color w:val="FFFFFF"/>
              </w:rPr>
              <w:t>All Other</w:t>
            </w:r>
          </w:p>
        </w:tc>
        <w:tc>
          <w:tcPr>
            <w:tcW w:w="1240" w:type="dxa"/>
            <w:vAlign w:val="bottom"/>
            <w:gridSpan w:val="2"/>
            <w:vMerge w:val="restart"/>
            <w:shd w:val="clear" w:color="auto" w:fill="0079C1"/>
          </w:tcPr>
          <w:p>
            <w:pPr>
              <w:jc w:val="right"/>
              <w:ind w:right="1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0079C1"/>
          </w:tcPr>
          <w:p>
            <w:pPr>
              <w:spacing w:after="0"/>
              <w:rPr>
                <w:sz w:val="13"/>
                <w:szCs w:val="13"/>
                <w:color w:val="auto"/>
              </w:rPr>
            </w:pPr>
          </w:p>
        </w:tc>
        <w:tc>
          <w:tcPr>
            <w:tcW w:w="3520" w:type="dxa"/>
            <w:vAlign w:val="bottom"/>
            <w:shd w:val="clear" w:color="auto" w:fill="0079C1"/>
          </w:tcPr>
          <w:p>
            <w:pPr>
              <w:spacing w:after="0"/>
              <w:rPr>
                <w:sz w:val="13"/>
                <w:szCs w:val="13"/>
                <w:color w:val="auto"/>
              </w:rPr>
            </w:pPr>
          </w:p>
        </w:tc>
        <w:tc>
          <w:tcPr>
            <w:tcW w:w="960" w:type="dxa"/>
            <w:vAlign w:val="bottom"/>
            <w:shd w:val="clear" w:color="auto" w:fill="0079C1"/>
          </w:tcPr>
          <w:p>
            <w:pPr>
              <w:spacing w:after="0"/>
              <w:rPr>
                <w:sz w:val="13"/>
                <w:szCs w:val="13"/>
                <w:color w:val="auto"/>
              </w:rPr>
            </w:pPr>
          </w:p>
        </w:tc>
        <w:tc>
          <w:tcPr>
            <w:tcW w:w="1440" w:type="dxa"/>
            <w:vAlign w:val="bottom"/>
            <w:vMerge w:val="continue"/>
            <w:shd w:val="clear" w:color="auto" w:fill="0079C1"/>
          </w:tcPr>
          <w:p>
            <w:pPr>
              <w:spacing w:after="0"/>
              <w:rPr>
                <w:sz w:val="13"/>
                <w:szCs w:val="13"/>
                <w:color w:val="auto"/>
              </w:rPr>
            </w:pPr>
          </w:p>
        </w:tc>
        <w:tc>
          <w:tcPr>
            <w:tcW w:w="1120" w:type="dxa"/>
            <w:vAlign w:val="bottom"/>
            <w:vMerge w:val="continue"/>
            <w:shd w:val="clear" w:color="auto" w:fill="0079C1"/>
          </w:tcPr>
          <w:p>
            <w:pPr>
              <w:spacing w:after="0"/>
              <w:rPr>
                <w:sz w:val="13"/>
                <w:szCs w:val="13"/>
                <w:color w:val="auto"/>
              </w:rPr>
            </w:pPr>
          </w:p>
        </w:tc>
        <w:tc>
          <w:tcPr>
            <w:tcW w:w="1380" w:type="dxa"/>
            <w:vAlign w:val="bottom"/>
            <w:vMerge w:val="continue"/>
            <w:shd w:val="clear" w:color="auto" w:fill="0079C1"/>
          </w:tcPr>
          <w:p>
            <w:pPr>
              <w:spacing w:after="0"/>
              <w:rPr>
                <w:sz w:val="13"/>
                <w:szCs w:val="13"/>
                <w:color w:val="auto"/>
              </w:rPr>
            </w:pPr>
          </w:p>
        </w:tc>
        <w:tc>
          <w:tcPr>
            <w:tcW w:w="1480" w:type="dxa"/>
            <w:vAlign w:val="bottom"/>
            <w:shd w:val="clear" w:color="auto" w:fill="0079C1"/>
          </w:tcPr>
          <w:p>
            <w:pPr>
              <w:jc w:val="right"/>
              <w:ind w:right="230"/>
              <w:spacing w:after="0" w:line="159"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gridSpan w:val="2"/>
            <w:vMerge w:val="continue"/>
            <w:shd w:val="clear" w:color="auto" w:fill="0079C1"/>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0" w:type="dxa"/>
            <w:vAlign w:val="bottom"/>
            <w:shd w:val="clear" w:color="auto" w:fill="0079C1"/>
          </w:tcPr>
          <w:p>
            <w:pPr>
              <w:spacing w:after="0"/>
              <w:rPr>
                <w:sz w:val="18"/>
                <w:szCs w:val="18"/>
                <w:color w:val="auto"/>
              </w:rPr>
            </w:pPr>
          </w:p>
        </w:tc>
        <w:tc>
          <w:tcPr>
            <w:tcW w:w="352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960" w:type="dxa"/>
            <w:vAlign w:val="bottom"/>
            <w:shd w:val="clear" w:color="auto" w:fill="0079C1"/>
          </w:tcPr>
          <w:p>
            <w:pPr>
              <w:ind w:left="180"/>
              <w:spacing w:after="0"/>
              <w:rPr>
                <w:sz w:val="20"/>
                <w:szCs w:val="20"/>
                <w:color w:val="auto"/>
              </w:rPr>
            </w:pPr>
            <w:r>
              <w:rPr>
                <w:rFonts w:ascii="Arial" w:cs="Arial" w:eastAsia="Arial" w:hAnsi="Arial"/>
                <w:sz w:val="14"/>
                <w:szCs w:val="14"/>
                <w:b w:val="1"/>
                <w:bCs w:val="1"/>
                <w:color w:val="FFFFFF"/>
              </w:rPr>
              <w:t>Year</w:t>
            </w:r>
          </w:p>
        </w:tc>
        <w:tc>
          <w:tcPr>
            <w:tcW w:w="1440" w:type="dxa"/>
            <w:vAlign w:val="bottom"/>
            <w:shd w:val="clear" w:color="auto" w:fill="0079C1"/>
          </w:tcPr>
          <w:p>
            <w:pPr>
              <w:jc w:val="right"/>
              <w:ind w:right="33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120" w:type="dxa"/>
            <w:vAlign w:val="bottom"/>
            <w:shd w:val="clear" w:color="auto" w:fill="0079C1"/>
          </w:tcPr>
          <w:p>
            <w:pPr>
              <w:jc w:val="right"/>
              <w:ind w:right="9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w:t>
            </w:r>
          </w:p>
        </w:tc>
        <w:tc>
          <w:tcPr>
            <w:tcW w:w="1380" w:type="dxa"/>
            <w:vAlign w:val="bottom"/>
            <w:shd w:val="clear" w:color="auto" w:fill="0079C1"/>
          </w:tcPr>
          <w:p>
            <w:pPr>
              <w:jc w:val="right"/>
              <w:ind w:right="11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(1)(2)</w:t>
            </w:r>
          </w:p>
        </w:tc>
        <w:tc>
          <w:tcPr>
            <w:tcW w:w="1480" w:type="dxa"/>
            <w:vAlign w:val="bottom"/>
            <w:shd w:val="clear" w:color="auto" w:fill="0079C1"/>
          </w:tcPr>
          <w:p>
            <w:pPr>
              <w:jc w:val="right"/>
              <w:ind w:right="230"/>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(1)(3)</w:t>
            </w:r>
          </w:p>
        </w:tc>
        <w:tc>
          <w:tcPr>
            <w:tcW w:w="10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79C1"/>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0079C1"/>
          </w:tcPr>
          <w:p>
            <w:pPr>
              <w:spacing w:after="0"/>
              <w:rPr>
                <w:sz w:val="8"/>
                <w:szCs w:val="8"/>
                <w:color w:val="auto"/>
              </w:rPr>
            </w:pPr>
          </w:p>
        </w:tc>
        <w:tc>
          <w:tcPr>
            <w:tcW w:w="3520" w:type="dxa"/>
            <w:vAlign w:val="bottom"/>
            <w:shd w:val="clear" w:color="auto" w:fill="0079C1"/>
          </w:tcPr>
          <w:p>
            <w:pPr>
              <w:spacing w:after="0"/>
              <w:rPr>
                <w:sz w:val="8"/>
                <w:szCs w:val="8"/>
                <w:color w:val="auto"/>
              </w:rPr>
            </w:pPr>
          </w:p>
        </w:tc>
        <w:tc>
          <w:tcPr>
            <w:tcW w:w="960" w:type="dxa"/>
            <w:vAlign w:val="bottom"/>
            <w:shd w:val="clear" w:color="auto" w:fill="0079C1"/>
          </w:tcPr>
          <w:p>
            <w:pPr>
              <w:spacing w:after="0"/>
              <w:rPr>
                <w:sz w:val="8"/>
                <w:szCs w:val="8"/>
                <w:color w:val="auto"/>
              </w:rPr>
            </w:pPr>
          </w:p>
        </w:tc>
        <w:tc>
          <w:tcPr>
            <w:tcW w:w="1440" w:type="dxa"/>
            <w:vAlign w:val="bottom"/>
            <w:shd w:val="clear" w:color="auto" w:fill="0079C1"/>
          </w:tcPr>
          <w:p>
            <w:pPr>
              <w:spacing w:after="0"/>
              <w:rPr>
                <w:sz w:val="8"/>
                <w:szCs w:val="8"/>
                <w:color w:val="auto"/>
              </w:rPr>
            </w:pPr>
          </w:p>
        </w:tc>
        <w:tc>
          <w:tcPr>
            <w:tcW w:w="1120" w:type="dxa"/>
            <w:vAlign w:val="bottom"/>
            <w:shd w:val="clear" w:color="auto" w:fill="0079C1"/>
          </w:tcPr>
          <w:p>
            <w:pPr>
              <w:spacing w:after="0"/>
              <w:rPr>
                <w:sz w:val="8"/>
                <w:szCs w:val="8"/>
                <w:color w:val="auto"/>
              </w:rPr>
            </w:pPr>
          </w:p>
        </w:tc>
        <w:tc>
          <w:tcPr>
            <w:tcW w:w="1380" w:type="dxa"/>
            <w:vAlign w:val="bottom"/>
            <w:shd w:val="clear" w:color="auto" w:fill="0079C1"/>
          </w:tcPr>
          <w:p>
            <w:pPr>
              <w:spacing w:after="0"/>
              <w:rPr>
                <w:sz w:val="8"/>
                <w:szCs w:val="8"/>
                <w:color w:val="auto"/>
              </w:rPr>
            </w:pPr>
          </w:p>
        </w:tc>
        <w:tc>
          <w:tcPr>
            <w:tcW w:w="1480" w:type="dxa"/>
            <w:vAlign w:val="bottom"/>
            <w:shd w:val="clear" w:color="auto" w:fill="0079C1"/>
          </w:tcPr>
          <w:p>
            <w:pPr>
              <w:spacing w:after="0"/>
              <w:rPr>
                <w:sz w:val="8"/>
                <w:szCs w:val="8"/>
                <w:color w:val="auto"/>
              </w:rPr>
            </w:pPr>
          </w:p>
        </w:tc>
        <w:tc>
          <w:tcPr>
            <w:tcW w:w="1080" w:type="dxa"/>
            <w:vAlign w:val="bottom"/>
            <w:shd w:val="clear" w:color="auto" w:fill="0079C1"/>
          </w:tcPr>
          <w:p>
            <w:pPr>
              <w:spacing w:after="0"/>
              <w:rPr>
                <w:sz w:val="8"/>
                <w:szCs w:val="8"/>
                <w:color w:val="auto"/>
              </w:rPr>
            </w:pPr>
          </w:p>
        </w:tc>
        <w:tc>
          <w:tcPr>
            <w:tcW w:w="160" w:type="dxa"/>
            <w:vAlign w:val="bottom"/>
            <w:shd w:val="clear" w:color="auto" w:fill="0079C1"/>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2025</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267,801</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359,920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5,048</w:t>
            </w:r>
          </w:p>
        </w:tc>
        <w:tc>
          <w:tcPr>
            <w:tcW w:w="1080" w:type="dxa"/>
            <w:vAlign w:val="bottom"/>
          </w:tcPr>
          <w:p>
            <w:pPr>
              <w:jc w:val="right"/>
              <w:spacing w:after="0"/>
              <w:rPr>
                <w:sz w:val="20"/>
                <w:szCs w:val="20"/>
                <w:color w:val="auto"/>
              </w:rPr>
            </w:pPr>
            <w:r>
              <w:rPr>
                <w:rFonts w:ascii="Arial" w:cs="Arial" w:eastAsia="Arial" w:hAnsi="Arial"/>
                <w:sz w:val="14"/>
                <w:szCs w:val="14"/>
                <w:color w:val="auto"/>
              </w:rPr>
              <w:t>632,769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David H. Wang</w:t>
            </w:r>
          </w:p>
        </w:tc>
        <w:tc>
          <w:tcPr>
            <w:tcW w:w="9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color w:val="auto"/>
              </w:rPr>
              <w:t>2024</w:t>
            </w:r>
          </w:p>
        </w:tc>
        <w:tc>
          <w:tcPr>
            <w:tcW w:w="1440" w:type="dxa"/>
            <w:vAlign w:val="bottom"/>
            <w:vMerge w:val="restart"/>
          </w:tcPr>
          <w:p>
            <w:pPr>
              <w:jc w:val="right"/>
              <w:ind w:right="370"/>
              <w:spacing w:after="0"/>
              <w:rPr>
                <w:sz w:val="20"/>
                <w:szCs w:val="20"/>
                <w:color w:val="auto"/>
              </w:rPr>
            </w:pPr>
            <w:r>
              <w:rPr>
                <w:rFonts w:ascii="Arial" w:cs="Arial" w:eastAsia="Arial" w:hAnsi="Arial"/>
                <w:sz w:val="14"/>
                <w:szCs w:val="14"/>
                <w:color w:val="auto"/>
              </w:rPr>
              <w:t>266,940</w:t>
            </w: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227,448</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70"/>
              <w:spacing w:after="0"/>
              <w:rPr>
                <w:sz w:val="20"/>
                <w:szCs w:val="20"/>
                <w:color w:val="auto"/>
              </w:rPr>
            </w:pPr>
            <w:r>
              <w:rPr>
                <w:rFonts w:ascii="Arial" w:cs="Arial" w:eastAsia="Arial" w:hAnsi="Arial"/>
                <w:sz w:val="14"/>
                <w:szCs w:val="14"/>
                <w:color w:val="auto"/>
              </w:rPr>
              <w:t>4,219</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498,607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 and President</w:t>
            </w:r>
          </w:p>
        </w:tc>
        <w:tc>
          <w:tcPr>
            <w:tcW w:w="9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2023</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256,212</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205,755</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23,067,744</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4,264</w:t>
            </w:r>
          </w:p>
        </w:tc>
        <w:tc>
          <w:tcPr>
            <w:tcW w:w="1080" w:type="dxa"/>
            <w:vAlign w:val="bottom"/>
          </w:tcPr>
          <w:p>
            <w:pPr>
              <w:jc w:val="right"/>
              <w:spacing w:after="0"/>
              <w:rPr>
                <w:sz w:val="20"/>
                <w:szCs w:val="20"/>
                <w:color w:val="auto"/>
              </w:rPr>
            </w:pPr>
            <w:r>
              <w:rPr>
                <w:rFonts w:ascii="Arial" w:cs="Arial" w:eastAsia="Arial" w:hAnsi="Arial"/>
                <w:sz w:val="14"/>
                <w:szCs w:val="14"/>
                <w:color w:val="auto"/>
              </w:rPr>
              <w:t>23,533,975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2025</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309,500</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120,000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429,500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Mark McKechnie</w:t>
            </w: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color w:val="auto"/>
              </w:rPr>
              <w:t>2024</w:t>
            </w:r>
          </w:p>
        </w:tc>
        <w:tc>
          <w:tcPr>
            <w:tcW w:w="1440" w:type="dxa"/>
            <w:vAlign w:val="bottom"/>
            <w:vMerge w:val="restart"/>
          </w:tcPr>
          <w:p>
            <w:pPr>
              <w:jc w:val="right"/>
              <w:ind w:right="370"/>
              <w:spacing w:after="0"/>
              <w:rPr>
                <w:sz w:val="20"/>
                <w:szCs w:val="20"/>
                <w:color w:val="auto"/>
              </w:rPr>
            </w:pPr>
            <w:r>
              <w:rPr>
                <w:rFonts w:ascii="Arial" w:cs="Arial" w:eastAsia="Arial" w:hAnsi="Arial"/>
                <w:sz w:val="14"/>
                <w:szCs w:val="14"/>
                <w:color w:val="auto"/>
              </w:rPr>
              <w:t>280,350</w:t>
            </w: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100,000</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7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380,350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Chief Financial Officer, Treasurer and Secretary</w:t>
            </w:r>
          </w:p>
        </w:tc>
        <w:tc>
          <w:tcPr>
            <w:tcW w:w="9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2023</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273,675</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37,500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3,113,850</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3,425,025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Jian Wang</w:t>
            </w:r>
          </w:p>
        </w:tc>
        <w:tc>
          <w:tcPr>
            <w:tcW w:w="960" w:type="dxa"/>
            <w:vAlign w:val="bottom"/>
          </w:tcPr>
          <w:p>
            <w:pPr>
              <w:ind w:left="180"/>
              <w:spacing w:after="0"/>
              <w:rPr>
                <w:sz w:val="20"/>
                <w:szCs w:val="20"/>
                <w:color w:val="auto"/>
              </w:rPr>
            </w:pPr>
            <w:r>
              <w:rPr>
                <w:rFonts w:ascii="Arial" w:cs="Arial" w:eastAsia="Arial" w:hAnsi="Arial"/>
                <w:sz w:val="14"/>
                <w:szCs w:val="14"/>
                <w:color w:val="auto"/>
              </w:rPr>
              <w:t>2025</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170,907</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311,849</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4,350</w:t>
            </w:r>
          </w:p>
        </w:tc>
        <w:tc>
          <w:tcPr>
            <w:tcW w:w="1080" w:type="dxa"/>
            <w:vAlign w:val="bottom"/>
          </w:tcPr>
          <w:p>
            <w:pPr>
              <w:jc w:val="right"/>
              <w:spacing w:after="0"/>
              <w:rPr>
                <w:sz w:val="20"/>
                <w:szCs w:val="20"/>
                <w:color w:val="auto"/>
              </w:rPr>
            </w:pPr>
            <w:r>
              <w:rPr>
                <w:rFonts w:ascii="Arial" w:cs="Arial" w:eastAsia="Arial" w:hAnsi="Arial"/>
                <w:sz w:val="14"/>
                <w:szCs w:val="14"/>
                <w:color w:val="auto"/>
              </w:rPr>
              <w:t>487,106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Chief Executive Oﬃcer and President,</w:t>
            </w:r>
          </w:p>
        </w:tc>
        <w:tc>
          <w:tcPr>
            <w:tcW w:w="960" w:type="dxa"/>
            <w:vAlign w:val="bottom"/>
          </w:tcPr>
          <w:p>
            <w:pPr>
              <w:ind w:left="180"/>
              <w:spacing w:after="0"/>
              <w:rPr>
                <w:sz w:val="20"/>
                <w:szCs w:val="20"/>
                <w:color w:val="auto"/>
              </w:rPr>
            </w:pPr>
            <w:r>
              <w:rPr>
                <w:rFonts w:ascii="Arial" w:cs="Arial" w:eastAsia="Arial" w:hAnsi="Arial"/>
                <w:sz w:val="14"/>
                <w:szCs w:val="14"/>
                <w:color w:val="auto"/>
              </w:rPr>
              <w:t>2024</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206,673</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189,540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3,635</w:t>
            </w:r>
          </w:p>
        </w:tc>
        <w:tc>
          <w:tcPr>
            <w:tcW w:w="1080" w:type="dxa"/>
            <w:vAlign w:val="bottom"/>
          </w:tcPr>
          <w:p>
            <w:pPr>
              <w:jc w:val="right"/>
              <w:spacing w:after="0"/>
              <w:rPr>
                <w:sz w:val="20"/>
                <w:szCs w:val="20"/>
                <w:color w:val="auto"/>
              </w:rPr>
            </w:pPr>
            <w:r>
              <w:rPr>
                <w:rFonts w:ascii="Arial" w:cs="Arial" w:eastAsia="Arial" w:hAnsi="Arial"/>
                <w:sz w:val="14"/>
                <w:szCs w:val="14"/>
                <w:color w:val="auto"/>
              </w:rPr>
              <w:t>399,848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ACM Research (Shanghai), Inc.</w:t>
            </w:r>
          </w:p>
        </w:tc>
        <w:tc>
          <w:tcPr>
            <w:tcW w:w="9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440" w:type="dxa"/>
            <w:vAlign w:val="bottom"/>
            <w:vMerge w:val="restart"/>
          </w:tcPr>
          <w:p>
            <w:pPr>
              <w:jc w:val="right"/>
              <w:ind w:right="370"/>
              <w:spacing w:after="0"/>
              <w:rPr>
                <w:sz w:val="20"/>
                <w:szCs w:val="20"/>
                <w:color w:val="auto"/>
              </w:rPr>
            </w:pPr>
            <w:r>
              <w:rPr>
                <w:rFonts w:ascii="Arial" w:cs="Arial" w:eastAsia="Arial" w:hAnsi="Arial"/>
                <w:sz w:val="14"/>
                <w:szCs w:val="14"/>
                <w:color w:val="auto"/>
              </w:rPr>
              <w:t>203,317</w:t>
            </w: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170,280</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8,822,265</w:t>
            </w:r>
          </w:p>
        </w:tc>
        <w:tc>
          <w:tcPr>
            <w:tcW w:w="1480" w:type="dxa"/>
            <w:vAlign w:val="bottom"/>
            <w:vMerge w:val="restart"/>
          </w:tcPr>
          <w:p>
            <w:pPr>
              <w:jc w:val="right"/>
              <w:ind w:right="270"/>
              <w:spacing w:after="0"/>
              <w:rPr>
                <w:sz w:val="20"/>
                <w:szCs w:val="20"/>
                <w:color w:val="auto"/>
              </w:rPr>
            </w:pPr>
            <w:r>
              <w:rPr>
                <w:rFonts w:ascii="Arial" w:cs="Arial" w:eastAsia="Arial" w:hAnsi="Arial"/>
                <w:sz w:val="14"/>
                <w:szCs w:val="14"/>
                <w:color w:val="auto"/>
              </w:rPr>
              <w:t>3,674</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9,199,536</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Lisa Feng</w:t>
            </w:r>
          </w:p>
        </w:tc>
        <w:tc>
          <w:tcPr>
            <w:tcW w:w="960" w:type="dxa"/>
            <w:vAlign w:val="bottom"/>
          </w:tcPr>
          <w:p>
            <w:pPr>
              <w:ind w:left="180"/>
              <w:spacing w:after="0"/>
              <w:rPr>
                <w:sz w:val="20"/>
                <w:szCs w:val="20"/>
                <w:color w:val="auto"/>
              </w:rPr>
            </w:pPr>
            <w:r>
              <w:rPr>
                <w:rFonts w:ascii="Arial" w:cs="Arial" w:eastAsia="Arial" w:hAnsi="Arial"/>
                <w:sz w:val="14"/>
                <w:szCs w:val="14"/>
                <w:color w:val="auto"/>
              </w:rPr>
              <w:t>2025</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179,246</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205,117</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6,058</w:t>
            </w:r>
          </w:p>
        </w:tc>
        <w:tc>
          <w:tcPr>
            <w:tcW w:w="1080" w:type="dxa"/>
            <w:vAlign w:val="bottom"/>
          </w:tcPr>
          <w:p>
            <w:pPr>
              <w:jc w:val="right"/>
              <w:spacing w:after="0"/>
              <w:rPr>
                <w:sz w:val="20"/>
                <w:szCs w:val="20"/>
                <w:color w:val="auto"/>
              </w:rPr>
            </w:pPr>
            <w:r>
              <w:rPr>
                <w:rFonts w:ascii="Arial" w:cs="Arial" w:eastAsia="Arial" w:hAnsi="Arial"/>
                <w:sz w:val="14"/>
                <w:szCs w:val="14"/>
                <w:color w:val="auto"/>
              </w:rPr>
              <w:t>390,421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960" w:type="dxa"/>
            <w:vAlign w:val="bottom"/>
          </w:tcPr>
          <w:p>
            <w:pPr>
              <w:ind w:left="180"/>
              <w:spacing w:after="0"/>
              <w:rPr>
                <w:sz w:val="20"/>
                <w:szCs w:val="20"/>
                <w:color w:val="auto"/>
              </w:rPr>
            </w:pPr>
            <w:r>
              <w:rPr>
                <w:rFonts w:ascii="Arial" w:cs="Arial" w:eastAsia="Arial" w:hAnsi="Arial"/>
                <w:sz w:val="14"/>
                <w:szCs w:val="14"/>
                <w:color w:val="auto"/>
              </w:rPr>
              <w:t>2024</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201,641</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106,704</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5,063</w:t>
            </w:r>
          </w:p>
        </w:tc>
        <w:tc>
          <w:tcPr>
            <w:tcW w:w="1080" w:type="dxa"/>
            <w:vAlign w:val="bottom"/>
          </w:tcPr>
          <w:p>
            <w:pPr>
              <w:jc w:val="right"/>
              <w:spacing w:after="0"/>
              <w:rPr>
                <w:sz w:val="20"/>
                <w:szCs w:val="20"/>
                <w:color w:val="auto"/>
              </w:rPr>
            </w:pPr>
            <w:r>
              <w:rPr>
                <w:rFonts w:ascii="Arial" w:cs="Arial" w:eastAsia="Arial" w:hAnsi="Arial"/>
                <w:sz w:val="14"/>
                <w:szCs w:val="14"/>
                <w:color w:val="auto"/>
              </w:rPr>
              <w:t>313,408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ACM Research (Shanghai), Inc.</w:t>
            </w:r>
          </w:p>
        </w:tc>
        <w:tc>
          <w:tcPr>
            <w:tcW w:w="9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440" w:type="dxa"/>
            <w:vAlign w:val="bottom"/>
            <w:vMerge w:val="restart"/>
          </w:tcPr>
          <w:p>
            <w:pPr>
              <w:jc w:val="right"/>
              <w:ind w:right="370"/>
              <w:spacing w:after="0"/>
              <w:rPr>
                <w:sz w:val="20"/>
                <w:szCs w:val="20"/>
                <w:color w:val="auto"/>
              </w:rPr>
            </w:pPr>
            <w:r>
              <w:rPr>
                <w:rFonts w:ascii="Arial" w:cs="Arial" w:eastAsia="Arial" w:hAnsi="Arial"/>
                <w:sz w:val="14"/>
                <w:szCs w:val="14"/>
                <w:color w:val="auto"/>
              </w:rPr>
              <w:t>196,532</w:t>
            </w: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93,654</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3,978,705</w:t>
            </w:r>
          </w:p>
        </w:tc>
        <w:tc>
          <w:tcPr>
            <w:tcW w:w="1480" w:type="dxa"/>
            <w:vAlign w:val="bottom"/>
            <w:vMerge w:val="restart"/>
          </w:tcPr>
          <w:p>
            <w:pPr>
              <w:jc w:val="right"/>
              <w:ind w:right="270"/>
              <w:spacing w:after="0"/>
              <w:rPr>
                <w:sz w:val="20"/>
                <w:szCs w:val="20"/>
                <w:color w:val="auto"/>
              </w:rPr>
            </w:pPr>
            <w:r>
              <w:rPr>
                <w:rFonts w:ascii="Arial" w:cs="Arial" w:eastAsia="Arial" w:hAnsi="Arial"/>
                <w:sz w:val="14"/>
                <w:szCs w:val="14"/>
                <w:color w:val="auto"/>
              </w:rPr>
              <w:t>4,264</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4,273,155</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Fuping Chen</w:t>
            </w:r>
          </w:p>
        </w:tc>
        <w:tc>
          <w:tcPr>
            <w:tcW w:w="960" w:type="dxa"/>
            <w:vAlign w:val="bottom"/>
          </w:tcPr>
          <w:p>
            <w:pPr>
              <w:ind w:left="180"/>
              <w:spacing w:after="0"/>
              <w:rPr>
                <w:sz w:val="20"/>
                <w:szCs w:val="20"/>
                <w:color w:val="auto"/>
              </w:rPr>
            </w:pPr>
            <w:r>
              <w:rPr>
                <w:rFonts w:ascii="Arial" w:cs="Arial" w:eastAsia="Arial" w:hAnsi="Arial"/>
                <w:sz w:val="14"/>
                <w:szCs w:val="14"/>
                <w:color w:val="auto"/>
              </w:rPr>
              <w:t>2025</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138,410</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240,570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3,867</w:t>
            </w:r>
          </w:p>
        </w:tc>
        <w:tc>
          <w:tcPr>
            <w:tcW w:w="1080" w:type="dxa"/>
            <w:vAlign w:val="bottom"/>
          </w:tcPr>
          <w:p>
            <w:pPr>
              <w:jc w:val="right"/>
              <w:spacing w:after="0"/>
              <w:rPr>
                <w:sz w:val="20"/>
                <w:szCs w:val="20"/>
                <w:color w:val="auto"/>
              </w:rPr>
            </w:pPr>
            <w:r>
              <w:rPr>
                <w:rFonts w:ascii="Arial" w:cs="Arial" w:eastAsia="Arial" w:hAnsi="Arial"/>
                <w:sz w:val="14"/>
                <w:szCs w:val="14"/>
                <w:color w:val="auto"/>
              </w:rPr>
              <w:t>382,847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Arial" w:cs="Arial" w:eastAsia="Arial" w:hAnsi="Arial"/>
                <w:sz w:val="14"/>
                <w:szCs w:val="14"/>
                <w:color w:val="auto"/>
              </w:rPr>
              <w:t>Vice President, Sales—China</w:t>
            </w:r>
          </w:p>
        </w:tc>
        <w:tc>
          <w:tcPr>
            <w:tcW w:w="960" w:type="dxa"/>
            <w:vAlign w:val="bottom"/>
          </w:tcPr>
          <w:p>
            <w:pPr>
              <w:ind w:left="180"/>
              <w:spacing w:after="0"/>
              <w:rPr>
                <w:sz w:val="20"/>
                <w:szCs w:val="20"/>
                <w:color w:val="auto"/>
              </w:rPr>
            </w:pPr>
            <w:r>
              <w:rPr>
                <w:rFonts w:ascii="Arial" w:cs="Arial" w:eastAsia="Arial" w:hAnsi="Arial"/>
                <w:sz w:val="14"/>
                <w:szCs w:val="14"/>
                <w:color w:val="auto"/>
              </w:rPr>
              <w:t>2024</w:t>
            </w:r>
          </w:p>
        </w:tc>
        <w:tc>
          <w:tcPr>
            <w:tcW w:w="1440" w:type="dxa"/>
            <w:vAlign w:val="bottom"/>
          </w:tcPr>
          <w:p>
            <w:pPr>
              <w:jc w:val="right"/>
              <w:ind w:right="370"/>
              <w:spacing w:after="0"/>
              <w:rPr>
                <w:sz w:val="20"/>
                <w:szCs w:val="20"/>
                <w:color w:val="auto"/>
              </w:rPr>
            </w:pPr>
            <w:r>
              <w:rPr>
                <w:rFonts w:ascii="Arial" w:cs="Arial" w:eastAsia="Arial" w:hAnsi="Arial"/>
                <w:sz w:val="14"/>
                <w:szCs w:val="14"/>
                <w:color w:val="auto"/>
              </w:rPr>
              <w:t>164,468</w:t>
            </w:r>
          </w:p>
        </w:tc>
        <w:tc>
          <w:tcPr>
            <w:tcW w:w="1120" w:type="dxa"/>
            <w:vAlign w:val="bottom"/>
          </w:tcPr>
          <w:p>
            <w:pPr>
              <w:jc w:val="right"/>
              <w:ind w:right="150"/>
              <w:spacing w:after="0"/>
              <w:rPr>
                <w:sz w:val="20"/>
                <w:szCs w:val="20"/>
                <w:color w:val="auto"/>
              </w:rPr>
            </w:pPr>
            <w:r>
              <w:rPr>
                <w:rFonts w:ascii="Arial" w:cs="Arial" w:eastAsia="Arial" w:hAnsi="Arial"/>
                <w:sz w:val="14"/>
                <w:szCs w:val="14"/>
                <w:color w:val="auto"/>
              </w:rPr>
              <w:t>182,520</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3,232</w:t>
            </w:r>
          </w:p>
        </w:tc>
        <w:tc>
          <w:tcPr>
            <w:tcW w:w="1080" w:type="dxa"/>
            <w:vAlign w:val="bottom"/>
          </w:tcPr>
          <w:p>
            <w:pPr>
              <w:jc w:val="right"/>
              <w:spacing w:after="0"/>
              <w:rPr>
                <w:sz w:val="20"/>
                <w:szCs w:val="20"/>
                <w:color w:val="auto"/>
              </w:rPr>
            </w:pPr>
            <w:r>
              <w:rPr>
                <w:rFonts w:ascii="Arial" w:cs="Arial" w:eastAsia="Arial" w:hAnsi="Arial"/>
                <w:sz w:val="14"/>
                <w:szCs w:val="14"/>
                <w:color w:val="auto"/>
              </w:rPr>
              <w:t>350,220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ACM Research (Shanghai), Inc.</w:t>
            </w:r>
          </w:p>
        </w:tc>
        <w:tc>
          <w:tcPr>
            <w:tcW w:w="9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440" w:type="dxa"/>
            <w:vAlign w:val="bottom"/>
            <w:vMerge w:val="restart"/>
          </w:tcPr>
          <w:p>
            <w:pPr>
              <w:jc w:val="right"/>
              <w:ind w:right="370"/>
              <w:spacing w:after="0"/>
              <w:rPr>
                <w:sz w:val="20"/>
                <w:szCs w:val="20"/>
                <w:color w:val="auto"/>
              </w:rPr>
            </w:pPr>
            <w:r>
              <w:rPr>
                <w:rFonts w:ascii="Arial" w:cs="Arial" w:eastAsia="Arial" w:hAnsi="Arial"/>
                <w:sz w:val="14"/>
                <w:szCs w:val="14"/>
                <w:color w:val="auto"/>
              </w:rPr>
              <w:t>157,845</w:t>
            </w:r>
          </w:p>
        </w:tc>
        <w:tc>
          <w:tcPr>
            <w:tcW w:w="1120" w:type="dxa"/>
            <w:vAlign w:val="bottom"/>
            <w:vMerge w:val="restart"/>
          </w:tcPr>
          <w:p>
            <w:pPr>
              <w:jc w:val="right"/>
              <w:ind w:right="150"/>
              <w:spacing w:after="0"/>
              <w:rPr>
                <w:sz w:val="20"/>
                <w:szCs w:val="20"/>
                <w:color w:val="auto"/>
              </w:rPr>
            </w:pPr>
            <w:r>
              <w:rPr>
                <w:rFonts w:ascii="Arial" w:cs="Arial" w:eastAsia="Arial" w:hAnsi="Arial"/>
                <w:sz w:val="14"/>
                <w:szCs w:val="14"/>
                <w:color w:val="auto"/>
              </w:rPr>
              <w:t>170,280</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6,830,141</w:t>
            </w:r>
          </w:p>
        </w:tc>
        <w:tc>
          <w:tcPr>
            <w:tcW w:w="1480" w:type="dxa"/>
            <w:vAlign w:val="bottom"/>
            <w:vMerge w:val="restart"/>
          </w:tcPr>
          <w:p>
            <w:pPr>
              <w:jc w:val="right"/>
              <w:ind w:right="27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7,158,266</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0079C1"/>
            </w:tcBorders>
          </w:tcPr>
          <w:p>
            <w:pPr>
              <w:spacing w:after="0"/>
              <w:rPr>
                <w:sz w:val="5"/>
                <w:szCs w:val="5"/>
                <w:color w:val="auto"/>
              </w:rPr>
            </w:pPr>
          </w:p>
        </w:tc>
        <w:tc>
          <w:tcPr>
            <w:tcW w:w="3520" w:type="dxa"/>
            <w:vAlign w:val="bottom"/>
            <w:tcBorders>
              <w:bottom w:val="single" w:sz="8" w:color="0079C1"/>
            </w:tcBorders>
          </w:tcPr>
          <w:p>
            <w:pPr>
              <w:spacing w:after="0"/>
              <w:rPr>
                <w:sz w:val="5"/>
                <w:szCs w:val="5"/>
                <w:color w:val="auto"/>
              </w:rPr>
            </w:pPr>
          </w:p>
        </w:tc>
        <w:tc>
          <w:tcPr>
            <w:tcW w:w="960" w:type="dxa"/>
            <w:vAlign w:val="bottom"/>
            <w:tcBorders>
              <w:bottom w:val="single" w:sz="8" w:color="0079C1"/>
            </w:tcBorders>
          </w:tcPr>
          <w:p>
            <w:pPr>
              <w:spacing w:after="0"/>
              <w:rPr>
                <w:sz w:val="5"/>
                <w:szCs w:val="5"/>
                <w:color w:val="auto"/>
              </w:rPr>
            </w:pPr>
          </w:p>
        </w:tc>
        <w:tc>
          <w:tcPr>
            <w:tcW w:w="1440" w:type="dxa"/>
            <w:vAlign w:val="bottom"/>
            <w:tcBorders>
              <w:bottom w:val="single" w:sz="8" w:color="0079C1"/>
            </w:tcBorders>
          </w:tcPr>
          <w:p>
            <w:pPr>
              <w:spacing w:after="0"/>
              <w:rPr>
                <w:sz w:val="5"/>
                <w:szCs w:val="5"/>
                <w:color w:val="auto"/>
              </w:rPr>
            </w:pPr>
          </w:p>
        </w:tc>
        <w:tc>
          <w:tcPr>
            <w:tcW w:w="1120" w:type="dxa"/>
            <w:vAlign w:val="bottom"/>
            <w:tcBorders>
              <w:bottom w:val="single" w:sz="8" w:color="0079C1"/>
            </w:tcBorders>
          </w:tcPr>
          <w:p>
            <w:pPr>
              <w:spacing w:after="0"/>
              <w:rPr>
                <w:sz w:val="5"/>
                <w:szCs w:val="5"/>
                <w:color w:val="auto"/>
              </w:rPr>
            </w:pPr>
          </w:p>
        </w:tc>
        <w:tc>
          <w:tcPr>
            <w:tcW w:w="1380" w:type="dxa"/>
            <w:vAlign w:val="bottom"/>
            <w:tcBorders>
              <w:bottom w:val="single" w:sz="8" w:color="0079C1"/>
            </w:tcBorders>
          </w:tcPr>
          <w:p>
            <w:pPr>
              <w:spacing w:after="0"/>
              <w:rPr>
                <w:sz w:val="5"/>
                <w:szCs w:val="5"/>
                <w:color w:val="auto"/>
              </w:rPr>
            </w:pPr>
          </w:p>
        </w:tc>
        <w:tc>
          <w:tcPr>
            <w:tcW w:w="1480" w:type="dxa"/>
            <w:vAlign w:val="bottom"/>
            <w:tcBorders>
              <w:bottom w:val="single" w:sz="8" w:color="0079C1"/>
            </w:tcBorders>
          </w:tcPr>
          <w:p>
            <w:pPr>
              <w:spacing w:after="0"/>
              <w:rPr>
                <w:sz w:val="5"/>
                <w:szCs w:val="5"/>
                <w:color w:val="auto"/>
              </w:rPr>
            </w:pPr>
          </w:p>
        </w:tc>
        <w:tc>
          <w:tcPr>
            <w:tcW w:w="1080" w:type="dxa"/>
            <w:vAlign w:val="bottom"/>
            <w:tcBorders>
              <w:bottom w:val="single" w:sz="8" w:color="0079C1"/>
            </w:tcBorders>
          </w:tcPr>
          <w:p>
            <w:pPr>
              <w:spacing w:after="0"/>
              <w:rPr>
                <w:sz w:val="5"/>
                <w:szCs w:val="5"/>
                <w:color w:val="auto"/>
              </w:rPr>
            </w:pPr>
          </w:p>
        </w:tc>
        <w:tc>
          <w:tcPr>
            <w:tcW w:w="160" w:type="dxa"/>
            <w:vAlign w:val="bottom"/>
            <w:tcBorders>
              <w:bottom w:val="single" w:sz="8" w:color="0079C1"/>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80" w:hanging="252"/>
        <w:spacing w:after="0" w:line="362" w:lineRule="auto"/>
        <w:tabs>
          <w:tab w:leader="none" w:pos="258"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amounts paid in RMB have been converted, for purposes of the table, to U.S. dollars at the average RMB per U.S. dollar exchange rate for the applicable years.</w:t>
      </w:r>
    </w:p>
    <w:p>
      <w:pPr>
        <w:ind w:left="260" w:right="20" w:hanging="252"/>
        <w:spacing w:after="0" w:line="330" w:lineRule="auto"/>
        <w:tabs>
          <w:tab w:leader="none" w:pos="258"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shown represent the aggregate grant date fair value of option awards granted in accordance with Financial Accounting Standards Board Accounting Standards Codification Topic 718, Compensation—Stock Compensation excluding the effect of estimated forfeitures. The estimated fair value of option awards is calculated based on a Black-Scholes valuation model on the grant date. Amounts include option awards exercisable for Class A common stock and common stock of ACM Shanghai, as applicable. See the “Grants of Plan-Based Awards” table for the applicable year for additional details. These amounts do not necessarily correspond to the actual amounts that may be earned by the NEOs. For assumptions for both ACM Research and ACM Shanghai options made in valuing these awards, see note 2 to our consolidated financial statements included in our Annual Report on Form 10-K for the fiscal year ended December 31, 2025.</w:t>
      </w:r>
    </w:p>
    <w:p>
      <w:pPr>
        <w:spacing w:after="0" w:line="21" w:lineRule="exact"/>
        <w:rPr>
          <w:rFonts w:ascii="Arial" w:cs="Arial" w:eastAsia="Arial" w:hAnsi="Arial"/>
          <w:sz w:val="14"/>
          <w:szCs w:val="14"/>
          <w:color w:val="auto"/>
        </w:rPr>
      </w:pPr>
    </w:p>
    <w:p>
      <w:pPr>
        <w:ind w:left="240" w:hanging="232"/>
        <w:spacing w:after="0"/>
        <w:tabs>
          <w:tab w:leader="none" w:pos="2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shown include health insurance premiums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15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Narrative Explanation of the Summary Compensation Table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As more fully described in the Compensation Discussion and Analysis, the compensation paid to our NEOs consists of the following components:</w:t>
      </w:r>
    </w:p>
    <w:p>
      <w:pPr>
        <w:spacing w:after="0" w:line="248"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discretionary annual cash bonuses;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long-term incentive compensation in the form of stock options;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benefits consisting principally of health insurance premiums.</w:t>
      </w:r>
    </w:p>
    <w:p>
      <w:pPr>
        <w:spacing w:after="0" w:line="235"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is a party to an employment agreement with Lisa Feng that was entered into as of January 8, 2018 and extended through September 24, 2028. This agreement contains provisions with respect to base salary and annual bonus eligibility.We do not maintain an employment agreement with Mr. McKechnie.</w:t>
      </w:r>
    </w:p>
    <w:p>
      <w:pPr>
        <w:spacing w:after="0" w:line="124"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color w:val="auto"/>
        </w:rPr>
        <w:t>As more fully described in the Compensation Discussion and Analysis, we do not have an established bonus policy for our NEOs. The compensation committee may decide, in its sole discretion, to reward NEOs with annual cash bonuses based on the totality of achievements in a given year, including achievement of individual NEO performance, our business performance, and achievement of specific business objectives, with no specific weighting assigned to any one factor. The program is designed to motivate our NEOs to focus on Company priorities and to reward them for individual results and achievements. There are no specific threshold, target, or maximum levels associated with the performance factors considered or the bonus payouts, and our compensation committee has full discretion to determine the level of bonus payout for each year based on the totality of circumstances for such year.</w:t>
      </w:r>
    </w:p>
    <w:p>
      <w:pPr>
        <w:spacing w:after="0" w:line="123"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color w:val="auto"/>
        </w:rPr>
        <w:t>From time to time,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Stock options drive stock price performance, since the NEO can only realize the value of the options if our stock price increases above the exercise price.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In 2025 we did not grant stock options to any of our NEOs. The compensation committee concluded that the other elements of our compensation program (including base salary and annual cash incentive opportunities, as well as outstanding equity awards) were sufficient to achieve our compensation objectives of attracting and retaining executive talent and motivating performance.</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Grants of Plan-Based Awards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 2025, we did not grant any non-equity incentive plan awards to our NEOs, nor did we grant any equity awards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151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Outstanding Equity Awards at December 31, 2025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NEOs as of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shd w:val="clear" w:color="auto" w:fill="80BCE0"/>
          </w:tcPr>
          <w:p>
            <w:pPr>
              <w:spacing w:after="0"/>
              <w:rPr>
                <w:sz w:val="19"/>
                <w:szCs w:val="19"/>
                <w:color w:val="auto"/>
              </w:rPr>
            </w:pPr>
          </w:p>
        </w:tc>
        <w:tc>
          <w:tcPr>
            <w:tcW w:w="3860" w:type="dxa"/>
            <w:vAlign w:val="bottom"/>
            <w:gridSpan w:val="2"/>
            <w:shd w:val="clear" w:color="auto" w:fill="80BCE0"/>
          </w:tcPr>
          <w:p>
            <w:pPr>
              <w:jc w:val="right"/>
              <w:ind w:right="1668"/>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shd w:val="clear" w:color="auto" w:fill="80BCE0"/>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0" w:type="dxa"/>
            <w:vAlign w:val="bottom"/>
            <w:shd w:val="clear" w:color="auto" w:fill="0079C1"/>
          </w:tcPr>
          <w:p>
            <w:pPr>
              <w:spacing w:after="0"/>
              <w:rPr>
                <w:sz w:val="16"/>
                <w:szCs w:val="16"/>
                <w:color w:val="auto"/>
              </w:rPr>
            </w:pPr>
          </w:p>
        </w:tc>
        <w:tc>
          <w:tcPr>
            <w:tcW w:w="2420" w:type="dxa"/>
            <w:vAlign w:val="bottom"/>
            <w:shd w:val="clear" w:color="auto" w:fill="0079C1"/>
          </w:tcPr>
          <w:p>
            <w:pPr>
              <w:spacing w:after="0"/>
              <w:rPr>
                <w:sz w:val="16"/>
                <w:szCs w:val="16"/>
                <w:color w:val="auto"/>
              </w:rPr>
            </w:pPr>
          </w:p>
        </w:tc>
        <w:tc>
          <w:tcPr>
            <w:tcW w:w="660" w:type="dxa"/>
            <w:vAlign w:val="bottom"/>
            <w:shd w:val="clear" w:color="auto" w:fill="0079C1"/>
          </w:tcPr>
          <w:p>
            <w:pPr>
              <w:spacing w:after="0"/>
              <w:rPr>
                <w:sz w:val="16"/>
                <w:szCs w:val="16"/>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Number of</w:t>
            </w:r>
          </w:p>
        </w:tc>
        <w:tc>
          <w:tcPr>
            <w:tcW w:w="1760" w:type="dxa"/>
            <w:vAlign w:val="bottom"/>
            <w:shd w:val="clear" w:color="auto" w:fill="0079C1"/>
          </w:tcPr>
          <w:p>
            <w:pPr>
              <w:spacing w:after="0"/>
              <w:rPr>
                <w:sz w:val="16"/>
                <w:szCs w:val="16"/>
                <w:color w:val="auto"/>
              </w:rPr>
            </w:pP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Equity Incentive</w:t>
            </w:r>
          </w:p>
        </w:tc>
        <w:tc>
          <w:tcPr>
            <w:tcW w:w="960" w:type="dxa"/>
            <w:vAlign w:val="bottom"/>
            <w:shd w:val="clear" w:color="auto" w:fill="0079C1"/>
          </w:tcPr>
          <w:p>
            <w:pPr>
              <w:spacing w:after="0"/>
              <w:rPr>
                <w:sz w:val="16"/>
                <w:szCs w:val="16"/>
                <w:color w:val="auto"/>
              </w:rPr>
            </w:pPr>
          </w:p>
        </w:tc>
        <w:tc>
          <w:tcPr>
            <w:tcW w:w="1580" w:type="dxa"/>
            <w:vAlign w:val="bottom"/>
            <w:shd w:val="clear" w:color="auto" w:fill="0079C1"/>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0079C1"/>
          </w:tcPr>
          <w:p>
            <w:pPr>
              <w:spacing w:after="0"/>
              <w:rPr>
                <w:sz w:val="15"/>
                <w:szCs w:val="15"/>
                <w:color w:val="auto"/>
              </w:rPr>
            </w:pPr>
          </w:p>
        </w:tc>
        <w:tc>
          <w:tcPr>
            <w:tcW w:w="2420" w:type="dxa"/>
            <w:vAlign w:val="bottom"/>
            <w:shd w:val="clear" w:color="auto" w:fill="0079C1"/>
          </w:tcPr>
          <w:p>
            <w:pPr>
              <w:spacing w:after="0"/>
              <w:rPr>
                <w:sz w:val="15"/>
                <w:szCs w:val="15"/>
                <w:color w:val="auto"/>
              </w:rPr>
            </w:pPr>
          </w:p>
        </w:tc>
        <w:tc>
          <w:tcPr>
            <w:tcW w:w="660" w:type="dxa"/>
            <w:vAlign w:val="bottom"/>
            <w:shd w:val="clear" w:color="auto" w:fill="0079C1"/>
          </w:tcPr>
          <w:p>
            <w:pPr>
              <w:spacing w:after="0"/>
              <w:rPr>
                <w:sz w:val="15"/>
                <w:szCs w:val="15"/>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Securities</w:t>
            </w:r>
          </w:p>
        </w:tc>
        <w:tc>
          <w:tcPr>
            <w:tcW w:w="1760" w:type="dxa"/>
            <w:vAlign w:val="bottom"/>
            <w:shd w:val="clear" w:color="auto" w:fill="0079C1"/>
          </w:tcPr>
          <w:p>
            <w:pPr>
              <w:spacing w:after="0"/>
              <w:rPr>
                <w:sz w:val="15"/>
                <w:szCs w:val="15"/>
                <w:color w:val="auto"/>
              </w:rPr>
            </w:pP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Plan Awards:</w:t>
            </w:r>
          </w:p>
        </w:tc>
        <w:tc>
          <w:tcPr>
            <w:tcW w:w="960" w:type="dxa"/>
            <w:vAlign w:val="bottom"/>
            <w:shd w:val="clear" w:color="auto" w:fill="0079C1"/>
          </w:tcPr>
          <w:p>
            <w:pPr>
              <w:spacing w:after="0"/>
              <w:rPr>
                <w:sz w:val="15"/>
                <w:szCs w:val="15"/>
                <w:color w:val="auto"/>
              </w:rPr>
            </w:pPr>
          </w:p>
        </w:tc>
        <w:tc>
          <w:tcPr>
            <w:tcW w:w="1580" w:type="dxa"/>
            <w:vAlign w:val="bottom"/>
            <w:shd w:val="clear" w:color="auto" w:fill="0079C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0079C1"/>
          </w:tcPr>
          <w:p>
            <w:pPr>
              <w:spacing w:after="0"/>
              <w:rPr>
                <w:sz w:val="15"/>
                <w:szCs w:val="15"/>
                <w:color w:val="auto"/>
              </w:rPr>
            </w:pPr>
          </w:p>
        </w:tc>
        <w:tc>
          <w:tcPr>
            <w:tcW w:w="2420" w:type="dxa"/>
            <w:vAlign w:val="bottom"/>
            <w:shd w:val="clear" w:color="auto" w:fill="0079C1"/>
          </w:tcPr>
          <w:p>
            <w:pPr>
              <w:spacing w:after="0"/>
              <w:rPr>
                <w:sz w:val="15"/>
                <w:szCs w:val="15"/>
                <w:color w:val="auto"/>
              </w:rPr>
            </w:pPr>
          </w:p>
        </w:tc>
        <w:tc>
          <w:tcPr>
            <w:tcW w:w="660" w:type="dxa"/>
            <w:vAlign w:val="bottom"/>
            <w:shd w:val="clear" w:color="auto" w:fill="0079C1"/>
          </w:tcPr>
          <w:p>
            <w:pPr>
              <w:spacing w:after="0"/>
              <w:rPr>
                <w:sz w:val="15"/>
                <w:szCs w:val="15"/>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Underlying</w:t>
            </w:r>
          </w:p>
        </w:tc>
        <w:tc>
          <w:tcPr>
            <w:tcW w:w="176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Number of Securities</w:t>
            </w:r>
          </w:p>
        </w:tc>
        <w:tc>
          <w:tcPr>
            <w:tcW w:w="2100" w:type="dxa"/>
            <w:vAlign w:val="bottom"/>
            <w:shd w:val="clear" w:color="auto" w:fill="0079C1"/>
          </w:tcPr>
          <w:p>
            <w:pPr>
              <w:jc w:val="right"/>
              <w:ind w:right="288"/>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0079C1"/>
          </w:tcPr>
          <w:p>
            <w:pPr>
              <w:spacing w:after="0"/>
              <w:rPr>
                <w:sz w:val="15"/>
                <w:szCs w:val="15"/>
                <w:color w:val="auto"/>
              </w:rPr>
            </w:pPr>
          </w:p>
        </w:tc>
        <w:tc>
          <w:tcPr>
            <w:tcW w:w="1580" w:type="dxa"/>
            <w:vAlign w:val="bottom"/>
            <w:shd w:val="clear" w:color="auto" w:fill="0079C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0079C1"/>
          </w:tcPr>
          <w:p>
            <w:pPr>
              <w:spacing w:after="0"/>
              <w:rPr>
                <w:sz w:val="15"/>
                <w:szCs w:val="15"/>
                <w:color w:val="auto"/>
              </w:rPr>
            </w:pPr>
          </w:p>
        </w:tc>
        <w:tc>
          <w:tcPr>
            <w:tcW w:w="2420" w:type="dxa"/>
            <w:vAlign w:val="bottom"/>
            <w:shd w:val="clear" w:color="auto" w:fill="0079C1"/>
          </w:tcPr>
          <w:p>
            <w:pPr>
              <w:spacing w:after="0"/>
              <w:rPr>
                <w:sz w:val="15"/>
                <w:szCs w:val="15"/>
                <w:color w:val="auto"/>
              </w:rPr>
            </w:pPr>
          </w:p>
        </w:tc>
        <w:tc>
          <w:tcPr>
            <w:tcW w:w="660" w:type="dxa"/>
            <w:vAlign w:val="bottom"/>
            <w:shd w:val="clear" w:color="auto" w:fill="0079C1"/>
          </w:tcPr>
          <w:p>
            <w:pPr>
              <w:spacing w:after="0"/>
              <w:rPr>
                <w:sz w:val="15"/>
                <w:szCs w:val="15"/>
                <w:color w:val="auto"/>
              </w:rPr>
            </w:pPr>
          </w:p>
        </w:tc>
        <w:tc>
          <w:tcPr>
            <w:tcW w:w="162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Unexercised</w:t>
            </w:r>
          </w:p>
        </w:tc>
        <w:tc>
          <w:tcPr>
            <w:tcW w:w="176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Underlying</w:t>
            </w: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Securities Underlying</w:t>
            </w:r>
          </w:p>
        </w:tc>
        <w:tc>
          <w:tcPr>
            <w:tcW w:w="9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Option</w:t>
            </w:r>
          </w:p>
        </w:tc>
        <w:tc>
          <w:tcPr>
            <w:tcW w:w="1580" w:type="dxa"/>
            <w:vAlign w:val="bottom"/>
            <w:shd w:val="clear" w:color="auto" w:fill="0079C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0079C1"/>
          </w:tcPr>
          <w:p>
            <w:pPr>
              <w:spacing w:after="0"/>
              <w:rPr>
                <w:sz w:val="15"/>
                <w:szCs w:val="15"/>
                <w:color w:val="auto"/>
              </w:rPr>
            </w:pPr>
          </w:p>
        </w:tc>
        <w:tc>
          <w:tcPr>
            <w:tcW w:w="2420" w:type="dxa"/>
            <w:vAlign w:val="bottom"/>
            <w:shd w:val="clear" w:color="auto" w:fill="0079C1"/>
          </w:tcPr>
          <w:p>
            <w:pPr>
              <w:spacing w:after="0"/>
              <w:rPr>
                <w:sz w:val="15"/>
                <w:szCs w:val="15"/>
                <w:color w:val="auto"/>
              </w:rPr>
            </w:pPr>
          </w:p>
        </w:tc>
        <w:tc>
          <w:tcPr>
            <w:tcW w:w="660" w:type="dxa"/>
            <w:vAlign w:val="bottom"/>
            <w:shd w:val="clear" w:color="auto" w:fill="0079C1"/>
          </w:tcPr>
          <w:p>
            <w:pPr>
              <w:spacing w:after="0"/>
              <w:rPr>
                <w:sz w:val="15"/>
                <w:szCs w:val="15"/>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Options</w:t>
            </w:r>
          </w:p>
        </w:tc>
        <w:tc>
          <w:tcPr>
            <w:tcW w:w="176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Unexercised Options</w:t>
            </w: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Unexercised Unearned</w:t>
            </w:r>
          </w:p>
        </w:tc>
        <w:tc>
          <w:tcPr>
            <w:tcW w:w="9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Exercise</w:t>
            </w:r>
          </w:p>
        </w:tc>
        <w:tc>
          <w:tcPr>
            <w:tcW w:w="1580" w:type="dxa"/>
            <w:vAlign w:val="bottom"/>
            <w:shd w:val="clear" w:color="auto" w:fill="0079C1"/>
          </w:tcPr>
          <w:p>
            <w:pPr>
              <w:jc w:val="center"/>
              <w:ind w:right="88"/>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62"/>
        </w:trPr>
        <w:tc>
          <w:tcPr>
            <w:tcW w:w="80" w:type="dxa"/>
            <w:vAlign w:val="bottom"/>
            <w:shd w:val="clear" w:color="auto" w:fill="0079C1"/>
          </w:tcPr>
          <w:p>
            <w:pPr>
              <w:spacing w:after="0"/>
              <w:rPr>
                <w:sz w:val="14"/>
                <w:szCs w:val="14"/>
                <w:color w:val="auto"/>
              </w:rPr>
            </w:pPr>
          </w:p>
        </w:tc>
        <w:tc>
          <w:tcPr>
            <w:tcW w:w="2420" w:type="dxa"/>
            <w:vAlign w:val="bottom"/>
            <w:shd w:val="clear" w:color="auto" w:fill="0079C1"/>
          </w:tcPr>
          <w:p>
            <w:pPr>
              <w:spacing w:after="0"/>
              <w:rPr>
                <w:sz w:val="14"/>
                <w:szCs w:val="14"/>
                <w:color w:val="auto"/>
              </w:rPr>
            </w:pPr>
          </w:p>
        </w:tc>
        <w:tc>
          <w:tcPr>
            <w:tcW w:w="660" w:type="dxa"/>
            <w:vAlign w:val="bottom"/>
            <w:shd w:val="clear" w:color="auto" w:fill="0079C1"/>
          </w:tcPr>
          <w:p>
            <w:pPr>
              <w:spacing w:after="0"/>
              <w:rPr>
                <w:sz w:val="14"/>
                <w:szCs w:val="14"/>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Exercisable</w:t>
            </w:r>
          </w:p>
        </w:tc>
        <w:tc>
          <w:tcPr>
            <w:tcW w:w="1760" w:type="dxa"/>
            <w:vAlign w:val="bottom"/>
            <w:shd w:val="clear" w:color="auto" w:fill="0079C1"/>
          </w:tcPr>
          <w:p>
            <w:pPr>
              <w:jc w:val="right"/>
              <w:ind w:right="168"/>
              <w:spacing w:after="0"/>
              <w:rPr>
                <w:sz w:val="20"/>
                <w:szCs w:val="20"/>
                <w:color w:val="auto"/>
              </w:rPr>
            </w:pPr>
            <w:r>
              <w:rPr>
                <w:rFonts w:ascii="Arial" w:cs="Arial" w:eastAsia="Arial" w:hAnsi="Arial"/>
                <w:sz w:val="14"/>
                <w:szCs w:val="14"/>
                <w:b w:val="1"/>
                <w:bCs w:val="1"/>
                <w:color w:val="FFFFFF"/>
              </w:rPr>
              <w:t>Unexercisable</w:t>
            </w: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Options</w:t>
            </w:r>
          </w:p>
        </w:tc>
        <w:tc>
          <w:tcPr>
            <w:tcW w:w="9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Price</w:t>
            </w:r>
          </w:p>
        </w:tc>
        <w:tc>
          <w:tcPr>
            <w:tcW w:w="1580" w:type="dxa"/>
            <w:vAlign w:val="bottom"/>
            <w:shd w:val="clear" w:color="auto" w:fill="0079C1"/>
          </w:tcPr>
          <w:p>
            <w:pPr>
              <w:jc w:val="center"/>
              <w:ind w:right="88"/>
              <w:spacing w:after="0"/>
              <w:rPr>
                <w:sz w:val="20"/>
                <w:szCs w:val="20"/>
                <w:color w:val="auto"/>
              </w:rPr>
            </w:pPr>
            <w:r>
              <w:rPr>
                <w:rFonts w:ascii="Arial" w:cs="Arial" w:eastAsia="Arial" w:hAnsi="Arial"/>
                <w:sz w:val="14"/>
                <w:szCs w:val="14"/>
                <w:b w:val="1"/>
                <w:bCs w:val="1"/>
                <w:color w:val="FFFFFF"/>
              </w:rPr>
              <w:t>Expiration</w:t>
            </w:r>
          </w:p>
        </w:tc>
        <w:tc>
          <w:tcPr>
            <w:tcW w:w="0" w:type="dxa"/>
            <w:vAlign w:val="bottom"/>
          </w:tcPr>
          <w:p>
            <w:pPr>
              <w:spacing w:after="0"/>
              <w:rPr>
                <w:sz w:val="1"/>
                <w:szCs w:val="1"/>
                <w:color w:val="auto"/>
              </w:rPr>
            </w:pPr>
          </w:p>
        </w:tc>
      </w:tr>
      <w:tr>
        <w:trPr>
          <w:trHeight w:val="210"/>
        </w:trPr>
        <w:tc>
          <w:tcPr>
            <w:tcW w:w="80" w:type="dxa"/>
            <w:vAlign w:val="bottom"/>
            <w:shd w:val="clear" w:color="auto" w:fill="0079C1"/>
          </w:tcPr>
          <w:p>
            <w:pPr>
              <w:spacing w:after="0"/>
              <w:rPr>
                <w:sz w:val="18"/>
                <w:szCs w:val="18"/>
                <w:color w:val="auto"/>
              </w:rPr>
            </w:pPr>
          </w:p>
        </w:tc>
        <w:tc>
          <w:tcPr>
            <w:tcW w:w="242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Name</w:t>
            </w:r>
          </w:p>
        </w:tc>
        <w:tc>
          <w:tcPr>
            <w:tcW w:w="660" w:type="dxa"/>
            <w:vAlign w:val="bottom"/>
            <w:shd w:val="clear" w:color="auto" w:fill="0079C1"/>
          </w:tcPr>
          <w:p>
            <w:pPr>
              <w:spacing w:after="0"/>
              <w:rPr>
                <w:sz w:val="18"/>
                <w:szCs w:val="18"/>
                <w:color w:val="auto"/>
              </w:rPr>
            </w:pPr>
          </w:p>
        </w:tc>
        <w:tc>
          <w:tcPr>
            <w:tcW w:w="16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760" w:type="dxa"/>
            <w:vAlign w:val="bottom"/>
            <w:shd w:val="clear" w:color="auto" w:fill="0079C1"/>
          </w:tcPr>
          <w:p>
            <w:pPr>
              <w:jc w:val="right"/>
              <w:ind w:right="208"/>
              <w:spacing w:after="0"/>
              <w:rPr>
                <w:sz w:val="20"/>
                <w:szCs w:val="20"/>
                <w:color w:val="auto"/>
              </w:rPr>
            </w:pPr>
            <w:r>
              <w:rPr>
                <w:rFonts w:ascii="Arial" w:cs="Arial" w:eastAsia="Arial" w:hAnsi="Arial"/>
                <w:sz w:val="14"/>
                <w:szCs w:val="14"/>
                <w:b w:val="1"/>
                <w:bCs w:val="1"/>
                <w:color w:val="FFFFFF"/>
              </w:rPr>
              <w:t>(#)</w:t>
            </w:r>
          </w:p>
        </w:tc>
        <w:tc>
          <w:tcPr>
            <w:tcW w:w="2100" w:type="dxa"/>
            <w:vAlign w:val="bottom"/>
            <w:shd w:val="clear" w:color="auto" w:fill="0079C1"/>
          </w:tcPr>
          <w:p>
            <w:pPr>
              <w:jc w:val="right"/>
              <w:ind w:right="248"/>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79C1"/>
          </w:tcPr>
          <w:p>
            <w:pPr>
              <w:jc w:val="center"/>
              <w:ind w:right="68"/>
              <w:spacing w:after="0"/>
              <w:rPr>
                <w:sz w:val="20"/>
                <w:szCs w:val="20"/>
                <w:color w:val="auto"/>
              </w:rPr>
            </w:pPr>
            <w:r>
              <w:rPr>
                <w:rFonts w:ascii="Arial" w:cs="Arial" w:eastAsia="Arial" w:hAnsi="Arial"/>
                <w:sz w:val="14"/>
                <w:szCs w:val="14"/>
                <w:b w:val="1"/>
                <w:bCs w:val="1"/>
                <w:color w:val="FFFFFF"/>
              </w:rPr>
              <w:t>Date</w:t>
            </w:r>
          </w:p>
        </w:tc>
        <w:tc>
          <w:tcPr>
            <w:tcW w:w="0" w:type="dxa"/>
            <w:vAlign w:val="bottom"/>
          </w:tcPr>
          <w:p>
            <w:pPr>
              <w:spacing w:after="0"/>
              <w:rPr>
                <w:sz w:val="1"/>
                <w:szCs w:val="1"/>
                <w:color w:val="auto"/>
              </w:rPr>
            </w:pPr>
          </w:p>
        </w:tc>
      </w:tr>
      <w:tr>
        <w:trPr>
          <w:trHeight w:val="110"/>
        </w:trPr>
        <w:tc>
          <w:tcPr>
            <w:tcW w:w="80" w:type="dxa"/>
            <w:vAlign w:val="bottom"/>
            <w:shd w:val="clear" w:color="auto" w:fill="0079C1"/>
          </w:tcPr>
          <w:p>
            <w:pPr>
              <w:spacing w:after="0"/>
              <w:rPr>
                <w:sz w:val="9"/>
                <w:szCs w:val="9"/>
                <w:color w:val="auto"/>
              </w:rPr>
            </w:pPr>
          </w:p>
        </w:tc>
        <w:tc>
          <w:tcPr>
            <w:tcW w:w="2420" w:type="dxa"/>
            <w:vAlign w:val="bottom"/>
            <w:shd w:val="clear" w:color="auto" w:fill="0079C1"/>
          </w:tcPr>
          <w:p>
            <w:pPr>
              <w:spacing w:after="0"/>
              <w:rPr>
                <w:sz w:val="9"/>
                <w:szCs w:val="9"/>
                <w:color w:val="auto"/>
              </w:rPr>
            </w:pPr>
          </w:p>
        </w:tc>
        <w:tc>
          <w:tcPr>
            <w:tcW w:w="660" w:type="dxa"/>
            <w:vAlign w:val="bottom"/>
            <w:shd w:val="clear" w:color="auto" w:fill="0079C1"/>
          </w:tcPr>
          <w:p>
            <w:pPr>
              <w:spacing w:after="0"/>
              <w:rPr>
                <w:sz w:val="9"/>
                <w:szCs w:val="9"/>
                <w:color w:val="auto"/>
              </w:rPr>
            </w:pPr>
          </w:p>
        </w:tc>
        <w:tc>
          <w:tcPr>
            <w:tcW w:w="1620" w:type="dxa"/>
            <w:vAlign w:val="bottom"/>
            <w:shd w:val="clear" w:color="auto" w:fill="0079C1"/>
          </w:tcPr>
          <w:p>
            <w:pPr>
              <w:spacing w:after="0"/>
              <w:rPr>
                <w:sz w:val="9"/>
                <w:szCs w:val="9"/>
                <w:color w:val="auto"/>
              </w:rPr>
            </w:pPr>
          </w:p>
        </w:tc>
        <w:tc>
          <w:tcPr>
            <w:tcW w:w="1760" w:type="dxa"/>
            <w:vAlign w:val="bottom"/>
            <w:shd w:val="clear" w:color="auto" w:fill="0079C1"/>
          </w:tcPr>
          <w:p>
            <w:pPr>
              <w:spacing w:after="0"/>
              <w:rPr>
                <w:sz w:val="9"/>
                <w:szCs w:val="9"/>
                <w:color w:val="auto"/>
              </w:rPr>
            </w:pPr>
          </w:p>
        </w:tc>
        <w:tc>
          <w:tcPr>
            <w:tcW w:w="2100" w:type="dxa"/>
            <w:vAlign w:val="bottom"/>
            <w:shd w:val="clear" w:color="auto" w:fill="0079C1"/>
          </w:tcPr>
          <w:p>
            <w:pPr>
              <w:spacing w:after="0"/>
              <w:rPr>
                <w:sz w:val="9"/>
                <w:szCs w:val="9"/>
                <w:color w:val="auto"/>
              </w:rPr>
            </w:pPr>
          </w:p>
        </w:tc>
        <w:tc>
          <w:tcPr>
            <w:tcW w:w="960" w:type="dxa"/>
            <w:vAlign w:val="bottom"/>
            <w:shd w:val="clear" w:color="auto" w:fill="0079C1"/>
          </w:tcPr>
          <w:p>
            <w:pPr>
              <w:spacing w:after="0"/>
              <w:rPr>
                <w:sz w:val="9"/>
                <w:szCs w:val="9"/>
                <w:color w:val="auto"/>
              </w:rPr>
            </w:pPr>
          </w:p>
        </w:tc>
        <w:tc>
          <w:tcPr>
            <w:tcW w:w="1580" w:type="dxa"/>
            <w:vAlign w:val="bottom"/>
            <w:shd w:val="clear" w:color="auto" w:fill="0079C1"/>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480,002</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12/27/2026</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150,000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5.60</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4/22/2029</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David Wang</w:t>
            </w: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620" w:type="dxa"/>
            <w:vAlign w:val="bottom"/>
          </w:tcPr>
          <w:p>
            <w:pPr>
              <w:jc w:val="right"/>
              <w:spacing w:after="0"/>
              <w:rPr>
                <w:sz w:val="20"/>
                <w:szCs w:val="20"/>
                <w:color w:val="auto"/>
              </w:rPr>
            </w:pPr>
            <w:r>
              <w:rPr>
                <w:rFonts w:ascii="Arial" w:cs="Arial" w:eastAsia="Arial" w:hAnsi="Arial"/>
                <w:sz w:val="14"/>
                <w:szCs w:val="14"/>
                <w:color w:val="auto"/>
              </w:rPr>
              <w:t>1,090,797</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545,400</w:t>
            </w:r>
          </w:p>
        </w:tc>
        <w:tc>
          <w:tcPr>
            <w:tcW w:w="960" w:type="dxa"/>
            <w:vAlign w:val="bottom"/>
          </w:tcPr>
          <w:p>
            <w:pPr>
              <w:jc w:val="right"/>
              <w:spacing w:after="0"/>
              <w:rPr>
                <w:sz w:val="20"/>
                <w:szCs w:val="20"/>
                <w:color w:val="auto"/>
              </w:rPr>
            </w:pPr>
            <w:r>
              <w:rPr>
                <w:rFonts w:ascii="Arial" w:cs="Arial" w:eastAsia="Arial" w:hAnsi="Arial"/>
                <w:sz w:val="14"/>
                <w:szCs w:val="14"/>
                <w:color w:val="auto"/>
              </w:rPr>
              <w:t>7.36</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3/19/2030</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620" w:type="dxa"/>
            <w:vAlign w:val="bottom"/>
          </w:tcPr>
          <w:p>
            <w:pPr>
              <w:jc w:val="right"/>
              <w:spacing w:after="0"/>
              <w:rPr>
                <w:sz w:val="20"/>
                <w:szCs w:val="20"/>
                <w:color w:val="auto"/>
              </w:rPr>
            </w:pPr>
            <w:r>
              <w:rPr>
                <w:rFonts w:ascii="Arial" w:cs="Arial" w:eastAsia="Arial" w:hAnsi="Arial"/>
                <w:sz w:val="14"/>
                <w:szCs w:val="14"/>
                <w:color w:val="auto"/>
              </w:rPr>
              <w:t>630,000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450,000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13.89</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8/9/2033</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620" w:type="dxa"/>
            <w:vAlign w:val="bottom"/>
          </w:tcPr>
          <w:p>
            <w:pPr>
              <w:jc w:val="right"/>
              <w:spacing w:after="0"/>
              <w:rPr>
                <w:sz w:val="20"/>
                <w:szCs w:val="20"/>
                <w:color w:val="auto"/>
              </w:rPr>
            </w:pPr>
            <w:r>
              <w:rPr>
                <w:rFonts w:ascii="Arial" w:cs="Arial" w:eastAsia="Arial" w:hAnsi="Arial"/>
                <w:sz w:val="14"/>
                <w:szCs w:val="14"/>
                <w:color w:val="auto"/>
              </w:rPr>
              <w:t>625,000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625,000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7.06</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8/2/2028</w:t>
            </w: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Mark McKechnie</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620" w:type="dxa"/>
            <w:vAlign w:val="bottom"/>
          </w:tcPr>
          <w:p>
            <w:pPr>
              <w:jc w:val="right"/>
              <w:spacing w:after="0"/>
              <w:rPr>
                <w:sz w:val="20"/>
                <w:szCs w:val="20"/>
                <w:color w:val="auto"/>
              </w:rPr>
            </w:pPr>
            <w:r>
              <w:rPr>
                <w:rFonts w:ascii="Arial" w:cs="Arial" w:eastAsia="Arial" w:hAnsi="Arial"/>
                <w:sz w:val="14"/>
                <w:szCs w:val="14"/>
                <w:color w:val="auto"/>
              </w:rPr>
              <w:t>83,333</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16,667</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19.49</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08/11/2032</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175,000</w:t>
            </w:r>
          </w:p>
        </w:tc>
        <w:tc>
          <w:tcPr>
            <w:tcW w:w="1760" w:type="dxa"/>
            <w:vAlign w:val="bottom"/>
            <w:vMerge w:val="restart"/>
          </w:tcPr>
          <w:p>
            <w:pPr>
              <w:jc w:val="right"/>
              <w:ind w:right="168"/>
              <w:spacing w:after="0"/>
              <w:rPr>
                <w:sz w:val="20"/>
                <w:szCs w:val="20"/>
                <w:color w:val="auto"/>
              </w:rPr>
            </w:pPr>
            <w:r>
              <w:rPr>
                <w:rFonts w:ascii="Arial" w:cs="Arial" w:eastAsia="Arial" w:hAnsi="Arial"/>
                <w:sz w:val="14"/>
                <w:szCs w:val="14"/>
                <w:color w:val="auto"/>
              </w:rPr>
              <w:t>125,000</w:t>
            </w:r>
          </w:p>
        </w:tc>
        <w:tc>
          <w:tcPr>
            <w:tcW w:w="21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13.89</w:t>
            </w:r>
          </w:p>
        </w:tc>
        <w:tc>
          <w:tcPr>
            <w:tcW w:w="1580" w:type="dxa"/>
            <w:vAlign w:val="bottom"/>
            <w:vMerge w:val="restart"/>
          </w:tcPr>
          <w:p>
            <w:pPr>
              <w:jc w:val="center"/>
              <w:ind w:right="68"/>
              <w:spacing w:after="0"/>
              <w:rPr>
                <w:sz w:val="20"/>
                <w:szCs w:val="20"/>
                <w:color w:val="auto"/>
              </w:rPr>
            </w:pPr>
            <w:r>
              <w:rPr>
                <w:rFonts w:ascii="Arial" w:cs="Arial" w:eastAsia="Arial" w:hAnsi="Arial"/>
                <w:sz w:val="14"/>
                <w:szCs w:val="14"/>
                <w:color w:val="auto"/>
              </w:rPr>
              <w:t>08/09/2033</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Jian Wang</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15,000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25.45</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3/3/2032</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(2)(6)</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465,000</w:t>
            </w:r>
          </w:p>
        </w:tc>
        <w:tc>
          <w:tcPr>
            <w:tcW w:w="1760" w:type="dxa"/>
            <w:vAlign w:val="bottom"/>
            <w:vMerge w:val="restart"/>
          </w:tcPr>
          <w:p>
            <w:pPr>
              <w:jc w:val="right"/>
              <w:ind w:right="168"/>
              <w:spacing w:after="0"/>
              <w:rPr>
                <w:sz w:val="20"/>
                <w:szCs w:val="20"/>
                <w:color w:val="auto"/>
              </w:rPr>
            </w:pPr>
            <w:r>
              <w:rPr>
                <w:rFonts w:ascii="Arial" w:cs="Arial" w:eastAsia="Arial" w:hAnsi="Arial"/>
                <w:sz w:val="14"/>
                <w:szCs w:val="14"/>
                <w:color w:val="auto"/>
              </w:rPr>
              <w:t>465,000</w:t>
            </w:r>
          </w:p>
        </w:tc>
        <w:tc>
          <w:tcPr>
            <w:tcW w:w="210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7.06</w:t>
            </w:r>
          </w:p>
        </w:tc>
        <w:tc>
          <w:tcPr>
            <w:tcW w:w="1580" w:type="dxa"/>
            <w:vAlign w:val="bottom"/>
            <w:vMerge w:val="restart"/>
          </w:tcPr>
          <w:p>
            <w:pPr>
              <w:jc w:val="center"/>
              <w:ind w:right="68"/>
              <w:spacing w:after="0"/>
              <w:rPr>
                <w:sz w:val="20"/>
                <w:szCs w:val="20"/>
                <w:color w:val="auto"/>
              </w:rPr>
            </w:pPr>
            <w:r>
              <w:rPr>
                <w:rFonts w:ascii="Arial" w:cs="Arial" w:eastAsia="Arial" w:hAnsi="Arial"/>
                <w:sz w:val="14"/>
                <w:szCs w:val="14"/>
                <w:color w:val="auto"/>
              </w:rPr>
              <w:t>08/02/2028</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30,000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4.55</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11/03/2029</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30,000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12.75</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04/27/2030</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Lisa Feng</w:t>
            </w: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22,500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25.45</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03/03/2032</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620" w:type="dxa"/>
            <w:vAlign w:val="bottom"/>
          </w:tcPr>
          <w:p>
            <w:pPr>
              <w:jc w:val="right"/>
              <w:spacing w:after="0"/>
              <w:rPr>
                <w:sz w:val="20"/>
                <w:szCs w:val="20"/>
                <w:color w:val="auto"/>
              </w:rPr>
            </w:pPr>
            <w:r>
              <w:rPr>
                <w:rFonts w:ascii="Arial" w:cs="Arial" w:eastAsia="Arial" w:hAnsi="Arial"/>
                <w:sz w:val="14"/>
                <w:szCs w:val="14"/>
                <w:color w:val="auto"/>
              </w:rPr>
              <w:t>58,333</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41,667</w:t>
            </w:r>
          </w:p>
        </w:tc>
        <w:tc>
          <w:tcPr>
            <w:tcW w:w="2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13.89</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03/03/2032</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620" w:type="dxa"/>
            <w:vAlign w:val="bottom"/>
          </w:tcPr>
          <w:p>
            <w:pPr>
              <w:jc w:val="right"/>
              <w:spacing w:after="0"/>
              <w:rPr>
                <w:sz w:val="20"/>
                <w:szCs w:val="20"/>
                <w:color w:val="auto"/>
              </w:rPr>
            </w:pPr>
            <w:r>
              <w:rPr>
                <w:rFonts w:ascii="Arial" w:cs="Arial" w:eastAsia="Arial" w:hAnsi="Arial"/>
                <w:sz w:val="14"/>
                <w:szCs w:val="14"/>
                <w:color w:val="auto"/>
              </w:rPr>
              <w:t>155,000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155,000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7.06</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08/02/2028</w:t>
            </w:r>
          </w:p>
        </w:tc>
        <w:tc>
          <w:tcPr>
            <w:tcW w:w="0" w:type="dxa"/>
            <w:vAlign w:val="bottom"/>
          </w:tcPr>
          <w:p>
            <w:pPr>
              <w:spacing w:after="0"/>
              <w:rPr>
                <w:sz w:val="1"/>
                <w:szCs w:val="1"/>
                <w:color w:val="auto"/>
              </w:rPr>
            </w:pPr>
          </w:p>
        </w:tc>
      </w:tr>
      <w:tr>
        <w:trPr>
          <w:trHeight w:val="62"/>
        </w:trPr>
        <w:tc>
          <w:tcPr>
            <w:tcW w:w="8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21,165</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1.77</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01/24/2028</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30,000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08/03/2029</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Fuping Chen</w:t>
            </w: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60,000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28.42</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07/27/2030</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620" w:type="dxa"/>
            <w:vAlign w:val="bottom"/>
          </w:tcPr>
          <w:p>
            <w:pPr>
              <w:jc w:val="right"/>
              <w:spacing w:after="0"/>
              <w:rPr>
                <w:sz w:val="20"/>
                <w:szCs w:val="20"/>
                <w:color w:val="auto"/>
              </w:rPr>
            </w:pPr>
            <w:r>
              <w:rPr>
                <w:rFonts w:ascii="Arial" w:cs="Arial" w:eastAsia="Arial" w:hAnsi="Arial"/>
                <w:sz w:val="14"/>
                <w:szCs w:val="14"/>
                <w:color w:val="auto"/>
              </w:rPr>
              <w:t>3,000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25.45</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03/03/2032</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620" w:type="dxa"/>
            <w:vAlign w:val="bottom"/>
          </w:tcPr>
          <w:p>
            <w:pPr>
              <w:jc w:val="right"/>
              <w:spacing w:after="0"/>
              <w:rPr>
                <w:sz w:val="20"/>
                <w:szCs w:val="20"/>
                <w:color w:val="auto"/>
              </w:rPr>
            </w:pPr>
            <w:r>
              <w:rPr>
                <w:rFonts w:ascii="Arial" w:cs="Arial" w:eastAsia="Arial" w:hAnsi="Arial"/>
                <w:sz w:val="14"/>
                <w:szCs w:val="14"/>
                <w:color w:val="auto"/>
              </w:rPr>
              <w:t>360,000</w:t>
            </w:r>
          </w:p>
        </w:tc>
        <w:tc>
          <w:tcPr>
            <w:tcW w:w="1760" w:type="dxa"/>
            <w:vAlign w:val="bottom"/>
          </w:tcPr>
          <w:p>
            <w:pPr>
              <w:jc w:val="right"/>
              <w:ind w:right="168"/>
              <w:spacing w:after="0"/>
              <w:rPr>
                <w:sz w:val="20"/>
                <w:szCs w:val="20"/>
                <w:color w:val="auto"/>
              </w:rPr>
            </w:pPr>
            <w:r>
              <w:rPr>
                <w:rFonts w:ascii="Arial" w:cs="Arial" w:eastAsia="Arial" w:hAnsi="Arial"/>
                <w:sz w:val="14"/>
                <w:szCs w:val="14"/>
                <w:color w:val="auto"/>
              </w:rPr>
              <w:t>360,000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7.06</w:t>
            </w: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8/2/2028</w:t>
            </w:r>
          </w:p>
        </w:tc>
        <w:tc>
          <w:tcPr>
            <w:tcW w:w="0" w:type="dxa"/>
            <w:vAlign w:val="bottom"/>
          </w:tcPr>
          <w:p>
            <w:pPr>
              <w:spacing w:after="0"/>
              <w:rPr>
                <w:sz w:val="1"/>
                <w:szCs w:val="1"/>
                <w:color w:val="auto"/>
              </w:rPr>
            </w:pPr>
          </w:p>
        </w:tc>
      </w:tr>
      <w:tr>
        <w:trPr>
          <w:trHeight w:val="62"/>
        </w:trPr>
        <w:tc>
          <w:tcPr>
            <w:tcW w:w="80" w:type="dxa"/>
            <w:vAlign w:val="bottom"/>
            <w:tcBorders>
              <w:bottom w:val="single" w:sz="8" w:color="0079C1"/>
            </w:tcBorders>
          </w:tcPr>
          <w:p>
            <w:pPr>
              <w:spacing w:after="0"/>
              <w:rPr>
                <w:sz w:val="5"/>
                <w:szCs w:val="5"/>
                <w:color w:val="auto"/>
              </w:rPr>
            </w:pPr>
          </w:p>
        </w:tc>
        <w:tc>
          <w:tcPr>
            <w:tcW w:w="2420" w:type="dxa"/>
            <w:vAlign w:val="bottom"/>
            <w:tcBorders>
              <w:bottom w:val="single" w:sz="8" w:color="0079C1"/>
            </w:tcBorders>
          </w:tcPr>
          <w:p>
            <w:pPr>
              <w:spacing w:after="0"/>
              <w:rPr>
                <w:sz w:val="5"/>
                <w:szCs w:val="5"/>
                <w:color w:val="auto"/>
              </w:rPr>
            </w:pPr>
          </w:p>
        </w:tc>
        <w:tc>
          <w:tcPr>
            <w:tcW w:w="660" w:type="dxa"/>
            <w:vAlign w:val="bottom"/>
            <w:tcBorders>
              <w:bottom w:val="single" w:sz="8" w:color="0079C1"/>
            </w:tcBorders>
          </w:tcPr>
          <w:p>
            <w:pPr>
              <w:spacing w:after="0"/>
              <w:rPr>
                <w:sz w:val="5"/>
                <w:szCs w:val="5"/>
                <w:color w:val="auto"/>
              </w:rPr>
            </w:pPr>
          </w:p>
        </w:tc>
        <w:tc>
          <w:tcPr>
            <w:tcW w:w="1620" w:type="dxa"/>
            <w:vAlign w:val="bottom"/>
            <w:tcBorders>
              <w:bottom w:val="single" w:sz="8" w:color="0079C1"/>
            </w:tcBorders>
          </w:tcPr>
          <w:p>
            <w:pPr>
              <w:spacing w:after="0"/>
              <w:rPr>
                <w:sz w:val="5"/>
                <w:szCs w:val="5"/>
                <w:color w:val="auto"/>
              </w:rPr>
            </w:pPr>
          </w:p>
        </w:tc>
        <w:tc>
          <w:tcPr>
            <w:tcW w:w="1760" w:type="dxa"/>
            <w:vAlign w:val="bottom"/>
            <w:tcBorders>
              <w:bottom w:val="single" w:sz="8" w:color="0079C1"/>
            </w:tcBorders>
          </w:tcPr>
          <w:p>
            <w:pPr>
              <w:spacing w:after="0"/>
              <w:rPr>
                <w:sz w:val="5"/>
                <w:szCs w:val="5"/>
                <w:color w:val="auto"/>
              </w:rPr>
            </w:pPr>
          </w:p>
        </w:tc>
        <w:tc>
          <w:tcPr>
            <w:tcW w:w="2100" w:type="dxa"/>
            <w:vAlign w:val="bottom"/>
            <w:tcBorders>
              <w:bottom w:val="single" w:sz="8" w:color="0079C1"/>
            </w:tcBorders>
          </w:tcPr>
          <w:p>
            <w:pPr>
              <w:spacing w:after="0"/>
              <w:rPr>
                <w:sz w:val="5"/>
                <w:szCs w:val="5"/>
                <w:color w:val="auto"/>
              </w:rPr>
            </w:pPr>
          </w:p>
        </w:tc>
        <w:tc>
          <w:tcPr>
            <w:tcW w:w="960" w:type="dxa"/>
            <w:vAlign w:val="bottom"/>
            <w:tcBorders>
              <w:bottom w:val="single" w:sz="8" w:color="0079C1"/>
            </w:tcBorders>
          </w:tcPr>
          <w:p>
            <w:pPr>
              <w:spacing w:after="0"/>
              <w:rPr>
                <w:sz w:val="5"/>
                <w:szCs w:val="5"/>
                <w:color w:val="auto"/>
              </w:rPr>
            </w:pPr>
          </w:p>
        </w:tc>
        <w:tc>
          <w:tcPr>
            <w:tcW w:w="1580" w:type="dxa"/>
            <w:vAlign w:val="bottom"/>
            <w:tcBorders>
              <w:bottom w:val="single" w:sz="8" w:color="0079C1"/>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Option covers Class A common stock.</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Option covers common stock of ACM Shanghai.</w:t>
      </w:r>
    </w:p>
    <w:p>
      <w:pPr>
        <w:spacing w:after="0" w:line="109" w:lineRule="exact"/>
        <w:rPr>
          <w:rFonts w:ascii="Arial" w:cs="Arial" w:eastAsia="Arial" w:hAnsi="Arial"/>
          <w:sz w:val="14"/>
          <w:szCs w:val="14"/>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Option is fully vested.</w:t>
      </w:r>
    </w:p>
    <w:p>
      <w:pPr>
        <w:spacing w:after="0" w:line="109" w:lineRule="exact"/>
        <w:rPr>
          <w:rFonts w:ascii="Arial" w:cs="Arial" w:eastAsia="Arial" w:hAnsi="Arial"/>
          <w:sz w:val="14"/>
          <w:szCs w:val="14"/>
          <w:color w:val="auto"/>
        </w:rPr>
      </w:pPr>
    </w:p>
    <w:p>
      <w:pPr>
        <w:ind w:left="260" w:right="80" w:hanging="252"/>
        <w:spacing w:after="0" w:line="336" w:lineRule="auto"/>
        <w:tabs>
          <w:tab w:leader="none" w:pos="258"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Option was granted on March 20, 2020. An initial 545,397 shares vested and became exercisable on August 5, 2020, which was the first trading day as of which our market capitalization equaled or exceeded $1,553,383,586. A second tranche of 545,397 shares vested and became exercisable on October 27, 2025, which was the first trading day as of which our market capitalization equaled or exceeded $2,553,383,586. The remaining shares will vest and become exercisable upon the first trading day, if any, on which our market capitalization equals or exceeds $3,553,383,586.</w:t>
      </w:r>
    </w:p>
    <w:p>
      <w:pPr>
        <w:spacing w:after="0" w:line="16" w:lineRule="exact"/>
        <w:rPr>
          <w:rFonts w:ascii="Arial" w:cs="Arial" w:eastAsia="Arial" w:hAnsi="Arial"/>
          <w:sz w:val="14"/>
          <w:szCs w:val="14"/>
          <w:color w:val="auto"/>
        </w:rPr>
      </w:pPr>
    </w:p>
    <w:p>
      <w:pPr>
        <w:ind w:left="260" w:right="340" w:hanging="252"/>
        <w:spacing w:after="0" w:line="343" w:lineRule="auto"/>
        <w:tabs>
          <w:tab w:leader="none" w:pos="258"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Option was granted on August 10, 2023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15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0" w:right="220" w:hanging="252"/>
        <w:spacing w:after="0" w:line="362" w:lineRule="auto"/>
        <w:tabs>
          <w:tab w:leader="none" w:pos="2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Option was granted on August 3, 2023 One quarter of the option shall vest and become exercisable on the each of the first four anniversaries of the grant date, subject to continued service through each vesting date. Option accelerates vesting upon a defined change in control of ACM Shanghai.</w:t>
      </w:r>
    </w:p>
    <w:p>
      <w:pPr>
        <w:ind w:left="260" w:right="300" w:hanging="252"/>
        <w:spacing w:after="0" w:line="343" w:lineRule="auto"/>
        <w:tabs>
          <w:tab w:leader="none" w:pos="2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Option was granted on August 12, 2022.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250" w:lineRule="exact"/>
        <w:rPr>
          <w:sz w:val="20"/>
          <w:szCs w:val="20"/>
          <w:color w:val="auto"/>
        </w:rPr>
      </w:pPr>
    </w:p>
    <w:p>
      <w:pPr>
        <w:ind w:right="620"/>
        <w:spacing w:after="0" w:line="374" w:lineRule="auto"/>
        <w:rPr>
          <w:sz w:val="20"/>
          <w:szCs w:val="20"/>
          <w:color w:val="auto"/>
        </w:rPr>
      </w:pPr>
      <w:r>
        <w:rPr>
          <w:rFonts w:ascii="Arial" w:cs="Arial" w:eastAsia="Arial" w:hAnsi="Arial"/>
          <w:sz w:val="16"/>
          <w:szCs w:val="16"/>
          <w:color w:val="auto"/>
        </w:rPr>
        <w:t>For information regarding the vesting acceleration provisions applicable to the options held by our NEOs, please see “Compensation Discussion and Analysis—Potential Payments Upon Termination or Change in Control” above.</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2025 Option Exercises and Stock Vested</w:t>
      </w:r>
    </w:p>
    <w:p>
      <w:pPr>
        <w:spacing w:after="0" w:line="222" w:lineRule="exact"/>
        <w:rPr>
          <w:sz w:val="20"/>
          <w:szCs w:val="20"/>
          <w:color w:val="auto"/>
        </w:rPr>
      </w:pPr>
    </w:p>
    <w:p>
      <w:pPr>
        <w:ind w:right="180"/>
        <w:spacing w:after="0" w:line="374" w:lineRule="auto"/>
        <w:rPr>
          <w:sz w:val="20"/>
          <w:szCs w:val="20"/>
          <w:color w:val="auto"/>
        </w:rPr>
      </w:pPr>
      <w:r>
        <w:rPr>
          <w:rFonts w:ascii="Arial" w:cs="Arial" w:eastAsia="Arial" w:hAnsi="Arial"/>
          <w:sz w:val="16"/>
          <w:szCs w:val="16"/>
          <w:color w:val="auto"/>
        </w:rPr>
        <w:t>The following table provides information regarding the exercise by the NEOs of vested options during the year ended December 31, 2025. All options were exercised for Class A common stock. The NEOs not listed in the table did not exercise vested options during the year ended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760" w:type="dxa"/>
            <w:vAlign w:val="bottom"/>
            <w:shd w:val="clear" w:color="auto" w:fill="80BCE0"/>
          </w:tcPr>
          <w:p>
            <w:pPr>
              <w:jc w:val="right"/>
              <w:ind w:right="128"/>
              <w:spacing w:after="0"/>
              <w:rPr>
                <w:sz w:val="20"/>
                <w:szCs w:val="20"/>
                <w:color w:val="auto"/>
              </w:rPr>
            </w:pPr>
            <w:r>
              <w:rPr>
                <w:rFonts w:ascii="Arial" w:cs="Arial" w:eastAsia="Arial" w:hAnsi="Arial"/>
                <w:sz w:val="14"/>
                <w:szCs w:val="14"/>
                <w:b w:val="1"/>
                <w:bCs w:val="1"/>
                <w:color w:val="FFFFFF"/>
              </w:rPr>
              <w:t>Option Awards</w:t>
            </w:r>
          </w:p>
        </w:tc>
        <w:tc>
          <w:tcPr>
            <w:tcW w:w="1420" w:type="dxa"/>
            <w:vAlign w:val="bottom"/>
            <w:shd w:val="clear" w:color="auto" w:fill="80BCE0"/>
          </w:tcPr>
          <w:p>
            <w:pPr>
              <w:spacing w:after="0"/>
              <w:rPr>
                <w:sz w:val="17"/>
                <w:szCs w:val="17"/>
                <w:color w:val="auto"/>
              </w:rPr>
            </w:pPr>
          </w:p>
        </w:tc>
      </w:tr>
      <w:tr>
        <w:trPr>
          <w:trHeight w:val="193"/>
        </w:trPr>
        <w:tc>
          <w:tcPr>
            <w:tcW w:w="7060" w:type="dxa"/>
            <w:vAlign w:val="bottom"/>
            <w:shd w:val="clear" w:color="auto" w:fill="0079C1"/>
          </w:tcPr>
          <w:p>
            <w:pPr>
              <w:spacing w:after="0"/>
              <w:rPr>
                <w:sz w:val="16"/>
                <w:szCs w:val="16"/>
                <w:color w:val="auto"/>
              </w:rPr>
            </w:pPr>
          </w:p>
        </w:tc>
        <w:tc>
          <w:tcPr>
            <w:tcW w:w="2760" w:type="dxa"/>
            <w:vAlign w:val="bottom"/>
            <w:shd w:val="clear" w:color="auto" w:fill="0079C1"/>
          </w:tcPr>
          <w:p>
            <w:pPr>
              <w:jc w:val="right"/>
              <w:ind w:right="348"/>
              <w:spacing w:after="0"/>
              <w:rPr>
                <w:sz w:val="20"/>
                <w:szCs w:val="20"/>
                <w:color w:val="auto"/>
              </w:rPr>
            </w:pPr>
            <w:r>
              <w:rPr>
                <w:rFonts w:ascii="Arial" w:cs="Arial" w:eastAsia="Arial" w:hAnsi="Arial"/>
                <w:sz w:val="14"/>
                <w:szCs w:val="14"/>
                <w:b w:val="1"/>
                <w:bCs w:val="1"/>
                <w:color w:val="FFFFFF"/>
              </w:rPr>
              <w:t>Number of Shares</w:t>
            </w:r>
          </w:p>
        </w:tc>
        <w:tc>
          <w:tcPr>
            <w:tcW w:w="142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Value Realized</w:t>
            </w:r>
          </w:p>
        </w:tc>
      </w:tr>
      <w:tr>
        <w:trPr>
          <w:trHeight w:val="173"/>
        </w:trPr>
        <w:tc>
          <w:tcPr>
            <w:tcW w:w="7060" w:type="dxa"/>
            <w:vAlign w:val="bottom"/>
            <w:shd w:val="clear" w:color="auto" w:fill="0079C1"/>
          </w:tcPr>
          <w:p>
            <w:pPr>
              <w:spacing w:after="0"/>
              <w:rPr>
                <w:sz w:val="15"/>
                <w:szCs w:val="15"/>
                <w:color w:val="auto"/>
              </w:rPr>
            </w:pPr>
          </w:p>
        </w:tc>
        <w:tc>
          <w:tcPr>
            <w:tcW w:w="2760" w:type="dxa"/>
            <w:vAlign w:val="bottom"/>
            <w:shd w:val="clear" w:color="auto" w:fill="0079C1"/>
          </w:tcPr>
          <w:p>
            <w:pPr>
              <w:jc w:val="right"/>
              <w:ind w:right="388"/>
              <w:spacing w:after="0"/>
              <w:rPr>
                <w:sz w:val="20"/>
                <w:szCs w:val="20"/>
                <w:color w:val="auto"/>
              </w:rPr>
            </w:pPr>
            <w:r>
              <w:rPr>
                <w:rFonts w:ascii="Arial" w:cs="Arial" w:eastAsia="Arial" w:hAnsi="Arial"/>
                <w:sz w:val="14"/>
                <w:szCs w:val="14"/>
                <w:b w:val="1"/>
                <w:bCs w:val="1"/>
                <w:color w:val="FFFFFF"/>
              </w:rPr>
              <w:t>Acquired on Exercise</w:t>
            </w:r>
          </w:p>
        </w:tc>
        <w:tc>
          <w:tcPr>
            <w:tcW w:w="142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on Exercise</w:t>
            </w:r>
          </w:p>
        </w:tc>
      </w:tr>
      <w:tr>
        <w:trPr>
          <w:trHeight w:val="201"/>
        </w:trPr>
        <w:tc>
          <w:tcPr>
            <w:tcW w:w="706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Name</w:t>
            </w:r>
          </w:p>
        </w:tc>
        <w:tc>
          <w:tcPr>
            <w:tcW w:w="2760" w:type="dxa"/>
            <w:vAlign w:val="bottom"/>
            <w:shd w:val="clear" w:color="auto" w:fill="0079C1"/>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0079C1"/>
          </w:tcPr>
          <w:p>
            <w:pPr>
              <w:jc w:val="right"/>
              <w:ind w:right="88"/>
              <w:spacing w:after="0" w:line="20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r>
      <w:tr>
        <w:trPr>
          <w:trHeight w:val="94"/>
        </w:trPr>
        <w:tc>
          <w:tcPr>
            <w:tcW w:w="7060" w:type="dxa"/>
            <w:vAlign w:val="bottom"/>
            <w:shd w:val="clear" w:color="auto" w:fill="0079C1"/>
          </w:tcPr>
          <w:p>
            <w:pPr>
              <w:spacing w:after="0"/>
              <w:rPr>
                <w:sz w:val="8"/>
                <w:szCs w:val="8"/>
                <w:color w:val="auto"/>
              </w:rPr>
            </w:pPr>
          </w:p>
        </w:tc>
        <w:tc>
          <w:tcPr>
            <w:tcW w:w="2760" w:type="dxa"/>
            <w:vAlign w:val="bottom"/>
            <w:shd w:val="clear" w:color="auto" w:fill="0079C1"/>
          </w:tcPr>
          <w:p>
            <w:pPr>
              <w:spacing w:after="0"/>
              <w:rPr>
                <w:sz w:val="8"/>
                <w:szCs w:val="8"/>
                <w:color w:val="auto"/>
              </w:rPr>
            </w:pPr>
          </w:p>
        </w:tc>
        <w:tc>
          <w:tcPr>
            <w:tcW w:w="1420" w:type="dxa"/>
            <w:vAlign w:val="bottom"/>
            <w:shd w:val="clear" w:color="auto" w:fill="0079C1"/>
          </w:tcPr>
          <w:p>
            <w:pPr>
              <w:spacing w:after="0"/>
              <w:rPr>
                <w:sz w:val="8"/>
                <w:szCs w:val="8"/>
                <w:color w:val="auto"/>
              </w:rPr>
            </w:pPr>
          </w:p>
        </w:tc>
      </w:tr>
      <w:tr>
        <w:trPr>
          <w:trHeight w:val="235"/>
        </w:trPr>
        <w:tc>
          <w:tcPr>
            <w:tcW w:w="7060" w:type="dxa"/>
            <w:vAlign w:val="bottom"/>
          </w:tcPr>
          <w:p>
            <w:pPr>
              <w:ind w:left="100"/>
              <w:spacing w:after="0"/>
              <w:rPr>
                <w:sz w:val="20"/>
                <w:szCs w:val="20"/>
                <w:color w:val="auto"/>
              </w:rPr>
            </w:pPr>
            <w:r>
              <w:rPr>
                <w:rFonts w:ascii="Arial" w:cs="Arial" w:eastAsia="Arial" w:hAnsi="Arial"/>
                <w:sz w:val="14"/>
                <w:szCs w:val="14"/>
                <w:b w:val="1"/>
                <w:bCs w:val="1"/>
                <w:color w:val="auto"/>
              </w:rPr>
              <w:t>David Wang</w:t>
            </w:r>
          </w:p>
        </w:tc>
        <w:tc>
          <w:tcPr>
            <w:tcW w:w="2760" w:type="dxa"/>
            <w:vAlign w:val="bottom"/>
          </w:tcPr>
          <w:p>
            <w:pPr>
              <w:jc w:val="right"/>
              <w:ind w:right="348"/>
              <w:spacing w:after="0"/>
              <w:rPr>
                <w:sz w:val="20"/>
                <w:szCs w:val="20"/>
                <w:color w:val="auto"/>
              </w:rPr>
            </w:pPr>
            <w:r>
              <w:rPr>
                <w:rFonts w:ascii="Arial" w:cs="Arial" w:eastAsia="Arial" w:hAnsi="Arial"/>
                <w:sz w:val="14"/>
                <w:szCs w:val="14"/>
                <w:color w:val="auto"/>
              </w:rPr>
              <w:t>730,000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19,242,900</w:t>
            </w:r>
          </w:p>
        </w:tc>
      </w:tr>
      <w:tr>
        <w:trPr>
          <w:trHeight w:val="49"/>
        </w:trPr>
        <w:tc>
          <w:tcPr>
            <w:tcW w:w="706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28"/>
        </w:trPr>
        <w:tc>
          <w:tcPr>
            <w:tcW w:w="7060" w:type="dxa"/>
            <w:vAlign w:val="bottom"/>
          </w:tcPr>
          <w:p>
            <w:pPr>
              <w:ind w:left="100"/>
              <w:spacing w:after="0"/>
              <w:rPr>
                <w:sz w:val="20"/>
                <w:szCs w:val="20"/>
                <w:color w:val="auto"/>
              </w:rPr>
            </w:pPr>
            <w:r>
              <w:rPr>
                <w:rFonts w:ascii="Arial" w:cs="Arial" w:eastAsia="Arial" w:hAnsi="Arial"/>
                <w:sz w:val="14"/>
                <w:szCs w:val="14"/>
                <w:b w:val="1"/>
                <w:bCs w:val="1"/>
                <w:color w:val="auto"/>
              </w:rPr>
              <w:t>Mark McKechnie</w:t>
            </w:r>
          </w:p>
        </w:tc>
        <w:tc>
          <w:tcPr>
            <w:tcW w:w="2760" w:type="dxa"/>
            <w:vAlign w:val="bottom"/>
          </w:tcPr>
          <w:p>
            <w:pPr>
              <w:jc w:val="right"/>
              <w:ind w:right="348"/>
              <w:spacing w:after="0"/>
              <w:rPr>
                <w:sz w:val="20"/>
                <w:szCs w:val="20"/>
                <w:color w:val="auto"/>
              </w:rPr>
            </w:pPr>
            <w:r>
              <w:rPr>
                <w:rFonts w:ascii="Arial" w:cs="Arial" w:eastAsia="Arial" w:hAnsi="Arial"/>
                <w:sz w:val="14"/>
                <w:szCs w:val="14"/>
                <w:color w:val="auto"/>
              </w:rPr>
              <w:t>76,250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1,395,538</w:t>
            </w:r>
          </w:p>
        </w:tc>
      </w:tr>
      <w:tr>
        <w:trPr>
          <w:trHeight w:val="48"/>
        </w:trPr>
        <w:tc>
          <w:tcPr>
            <w:tcW w:w="706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28"/>
        </w:trPr>
        <w:tc>
          <w:tcPr>
            <w:tcW w:w="7060" w:type="dxa"/>
            <w:vAlign w:val="bottom"/>
          </w:tcPr>
          <w:p>
            <w:pPr>
              <w:ind w:left="100"/>
              <w:spacing w:after="0"/>
              <w:rPr>
                <w:sz w:val="20"/>
                <w:szCs w:val="20"/>
                <w:color w:val="auto"/>
              </w:rPr>
            </w:pPr>
            <w:r>
              <w:rPr>
                <w:rFonts w:ascii="Arial" w:cs="Arial" w:eastAsia="Arial" w:hAnsi="Arial"/>
                <w:sz w:val="14"/>
                <w:szCs w:val="14"/>
                <w:b w:val="1"/>
                <w:bCs w:val="1"/>
                <w:color w:val="auto"/>
              </w:rPr>
              <w:t>Lisa Feng</w:t>
            </w:r>
          </w:p>
        </w:tc>
        <w:tc>
          <w:tcPr>
            <w:tcW w:w="2760" w:type="dxa"/>
            <w:vAlign w:val="bottom"/>
          </w:tcPr>
          <w:p>
            <w:pPr>
              <w:jc w:val="right"/>
              <w:ind w:right="348"/>
              <w:spacing w:after="0"/>
              <w:rPr>
                <w:sz w:val="20"/>
                <w:szCs w:val="20"/>
                <w:color w:val="auto"/>
              </w:rPr>
            </w:pPr>
            <w:r>
              <w:rPr>
                <w:rFonts w:ascii="Arial" w:cs="Arial" w:eastAsia="Arial" w:hAnsi="Arial"/>
                <w:sz w:val="14"/>
                <w:szCs w:val="14"/>
                <w:color w:val="auto"/>
              </w:rPr>
              <w:t>60,000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1,473,000</w:t>
            </w:r>
          </w:p>
        </w:tc>
      </w:tr>
      <w:tr>
        <w:trPr>
          <w:trHeight w:val="48"/>
        </w:trPr>
        <w:tc>
          <w:tcPr>
            <w:tcW w:w="7060" w:type="dxa"/>
            <w:vAlign w:val="bottom"/>
            <w:tcBorders>
              <w:bottom w:val="single" w:sz="8" w:color="0079C1"/>
            </w:tcBorders>
          </w:tcPr>
          <w:p>
            <w:pPr>
              <w:spacing w:after="0"/>
              <w:rPr>
                <w:sz w:val="4"/>
                <w:szCs w:val="4"/>
                <w:color w:val="auto"/>
              </w:rPr>
            </w:pPr>
          </w:p>
        </w:tc>
        <w:tc>
          <w:tcPr>
            <w:tcW w:w="2760" w:type="dxa"/>
            <w:vAlign w:val="bottom"/>
            <w:tcBorders>
              <w:bottom w:val="single" w:sz="8" w:color="0079C1"/>
            </w:tcBorders>
          </w:tcPr>
          <w:p>
            <w:pPr>
              <w:spacing w:after="0"/>
              <w:rPr>
                <w:sz w:val="4"/>
                <w:szCs w:val="4"/>
                <w:color w:val="auto"/>
              </w:rPr>
            </w:pPr>
          </w:p>
        </w:tc>
        <w:tc>
          <w:tcPr>
            <w:tcW w:w="1420" w:type="dxa"/>
            <w:vAlign w:val="bottom"/>
            <w:tcBorders>
              <w:bottom w:val="single" w:sz="8" w:color="0079C1"/>
            </w:tcBorders>
          </w:tcPr>
          <w:p>
            <w:pPr>
              <w:spacing w:after="0"/>
              <w:rPr>
                <w:sz w:val="4"/>
                <w:szCs w:val="4"/>
                <w:color w:val="auto"/>
              </w:rPr>
            </w:pPr>
          </w:p>
        </w:tc>
      </w:tr>
    </w:tbl>
    <w:p>
      <w:pPr>
        <w:spacing w:after="0" w:line="166" w:lineRule="exact"/>
        <w:rPr>
          <w:sz w:val="20"/>
          <w:szCs w:val="20"/>
          <w:color w:val="auto"/>
        </w:rPr>
      </w:pPr>
    </w:p>
    <w:p>
      <w:pPr>
        <w:ind w:left="260" w:right="340" w:hanging="252"/>
        <w:spacing w:after="0" w:line="365" w:lineRule="auto"/>
        <w:tabs>
          <w:tab w:leader="none" w:pos="25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value realized on exercise is calculated by multiplying the number of shares of stock by the market value of the underlying shares on each exercise date, minus the aggregate exercise price.</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Potential Payments Upon Termination or Change in Control</w:t>
      </w:r>
    </w:p>
    <w:p>
      <w:pPr>
        <w:spacing w:after="0" w:line="209"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auto"/>
        </w:rPr>
        <w:t>In addition to PRC statutorily required cash severance, our option awards granted under our 2016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 NEOs based in the PRC, who include all NEOs other than U.S.-based Mark McKechnie and David H. Wang, may be entitled to statutory severance as required by applicable law, as disclosed in the table below. The amounts below assume a triggering event occurred on December 31, 2025, and the value shown is calculated by multiplying the number of shares of stock that would accelerate by the market value of the underlying shares on December 31, 2025 ($39.45), minus the aggregate exercise price.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2016 Plan, “change in control” generally means the occurrence of any of the following:</w:t>
      </w:r>
    </w:p>
    <w:p>
      <w:pPr>
        <w:spacing w:after="0" w:line="235" w:lineRule="exact"/>
        <w:rPr>
          <w:sz w:val="20"/>
          <w:szCs w:val="20"/>
          <w:color w:val="auto"/>
        </w:rPr>
      </w:pPr>
    </w:p>
    <w:p>
      <w:pPr>
        <w:ind w:left="260" w:right="260" w:hanging="252"/>
        <w:spacing w:after="0" w:line="369" w:lineRule="auto"/>
        <w:tabs>
          <w:tab w:leader="none" w:pos="2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person becomes the owner of securities in the Company representing more than fifty percent of the combined voting power of the Company, other than as a result of a merger, consolidation or similar transaction;</w:t>
      </w:r>
    </w:p>
    <w:p>
      <w:pPr>
        <w:spacing w:after="0" w:line="1" w:lineRule="exact"/>
        <w:rPr>
          <w:rFonts w:ascii="Arial" w:cs="Arial" w:eastAsia="Arial" w:hAnsi="Arial"/>
          <w:sz w:val="16"/>
          <w:szCs w:val="16"/>
          <w:color w:val="auto"/>
        </w:rPr>
      </w:pPr>
    </w:p>
    <w:p>
      <w:pPr>
        <w:jc w:val="both"/>
        <w:ind w:left="260" w:right="260" w:hanging="252"/>
        <w:spacing w:after="0" w:line="363" w:lineRule="auto"/>
        <w:tabs>
          <w:tab w:leader="none" w:pos="2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Consummation of a merger, consolidation or similar transaction of the Company and after such transaction the stockholders of the Company no longer own 50% of the combined outstanding voting power of the surviving entity or the parent of the surviving entity, in substantially the same proportions as their ownership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151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sale, lease, exclusive license or other disposition of all or substantially all of the assets of the Company and the subsidiary; and</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incumbent board ceases to constitute, for any reason, at least a majority of the members of the board.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0079C1"/>
          </w:tcPr>
          <w:p>
            <w:pPr>
              <w:spacing w:after="0"/>
              <w:rPr>
                <w:sz w:val="16"/>
                <w:szCs w:val="16"/>
                <w:color w:val="auto"/>
              </w:rPr>
            </w:pPr>
          </w:p>
        </w:tc>
        <w:tc>
          <w:tcPr>
            <w:tcW w:w="5460" w:type="dxa"/>
            <w:vAlign w:val="bottom"/>
            <w:shd w:val="clear" w:color="auto" w:fill="0079C1"/>
          </w:tcPr>
          <w:p>
            <w:pPr>
              <w:spacing w:after="0"/>
              <w:rPr>
                <w:sz w:val="16"/>
                <w:szCs w:val="16"/>
                <w:color w:val="auto"/>
              </w:rPr>
            </w:pPr>
          </w:p>
        </w:tc>
        <w:tc>
          <w:tcPr>
            <w:tcW w:w="570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Vesting upon</w:t>
            </w:r>
          </w:p>
        </w:tc>
        <w:tc>
          <w:tcPr>
            <w:tcW w:w="0" w:type="dxa"/>
            <w:vAlign w:val="bottom"/>
          </w:tcPr>
          <w:p>
            <w:pPr>
              <w:spacing w:after="0"/>
              <w:rPr>
                <w:sz w:val="1"/>
                <w:szCs w:val="1"/>
                <w:color w:val="auto"/>
              </w:rPr>
            </w:pPr>
          </w:p>
        </w:tc>
      </w:tr>
      <w:tr>
        <w:trPr>
          <w:trHeight w:val="175"/>
        </w:trPr>
        <w:tc>
          <w:tcPr>
            <w:tcW w:w="80" w:type="dxa"/>
            <w:vAlign w:val="bottom"/>
            <w:shd w:val="clear" w:color="auto" w:fill="0079C1"/>
          </w:tcPr>
          <w:p>
            <w:pPr>
              <w:spacing w:after="0"/>
              <w:rPr>
                <w:sz w:val="15"/>
                <w:szCs w:val="15"/>
                <w:color w:val="auto"/>
              </w:rPr>
            </w:pPr>
          </w:p>
        </w:tc>
        <w:tc>
          <w:tcPr>
            <w:tcW w:w="5460" w:type="dxa"/>
            <w:vAlign w:val="bottom"/>
            <w:vMerge w:val="restart"/>
            <w:shd w:val="clear" w:color="auto" w:fill="0079C1"/>
          </w:tcPr>
          <w:p>
            <w:pPr>
              <w:ind w:left="20"/>
              <w:spacing w:after="0"/>
              <w:rPr>
                <w:sz w:val="20"/>
                <w:szCs w:val="20"/>
                <w:color w:val="auto"/>
              </w:rPr>
            </w:pPr>
            <w:r>
              <w:rPr>
                <w:rFonts w:ascii="Arial" w:cs="Arial" w:eastAsia="Arial" w:hAnsi="Arial"/>
                <w:sz w:val="14"/>
                <w:szCs w:val="14"/>
                <w:b w:val="1"/>
                <w:bCs w:val="1"/>
                <w:color w:val="FFFFFF"/>
              </w:rPr>
              <w:t>Name</w:t>
            </w:r>
          </w:p>
        </w:tc>
        <w:tc>
          <w:tcPr>
            <w:tcW w:w="570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Change in Control</w:t>
            </w:r>
          </w:p>
        </w:tc>
        <w:tc>
          <w:tcPr>
            <w:tcW w:w="0" w:type="dxa"/>
            <w:vAlign w:val="bottom"/>
          </w:tcPr>
          <w:p>
            <w:pPr>
              <w:spacing w:after="0"/>
              <w:rPr>
                <w:sz w:val="1"/>
                <w:szCs w:val="1"/>
                <w:color w:val="auto"/>
              </w:rPr>
            </w:pPr>
          </w:p>
        </w:tc>
      </w:tr>
      <w:tr>
        <w:trPr>
          <w:trHeight w:val="196"/>
        </w:trPr>
        <w:tc>
          <w:tcPr>
            <w:tcW w:w="80" w:type="dxa"/>
            <w:vAlign w:val="bottom"/>
            <w:shd w:val="clear" w:color="auto" w:fill="0079C1"/>
          </w:tcPr>
          <w:p>
            <w:pPr>
              <w:spacing w:after="0"/>
              <w:rPr>
                <w:sz w:val="17"/>
                <w:szCs w:val="17"/>
                <w:color w:val="auto"/>
              </w:rPr>
            </w:pPr>
          </w:p>
        </w:tc>
        <w:tc>
          <w:tcPr>
            <w:tcW w:w="5460" w:type="dxa"/>
            <w:vAlign w:val="bottom"/>
            <w:vMerge w:val="continue"/>
            <w:shd w:val="clear" w:color="auto" w:fill="0079C1"/>
          </w:tcPr>
          <w:p>
            <w:pPr>
              <w:spacing w:after="0"/>
              <w:rPr>
                <w:sz w:val="17"/>
                <w:szCs w:val="17"/>
                <w:color w:val="auto"/>
              </w:rPr>
            </w:pPr>
          </w:p>
        </w:tc>
        <w:tc>
          <w:tcPr>
            <w:tcW w:w="570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7"/>
        </w:trPr>
        <w:tc>
          <w:tcPr>
            <w:tcW w:w="80" w:type="dxa"/>
            <w:vAlign w:val="bottom"/>
            <w:shd w:val="clear" w:color="auto" w:fill="0079C1"/>
          </w:tcPr>
          <w:p>
            <w:pPr>
              <w:spacing w:after="0"/>
              <w:rPr>
                <w:sz w:val="8"/>
                <w:szCs w:val="8"/>
                <w:color w:val="auto"/>
              </w:rPr>
            </w:pPr>
          </w:p>
        </w:tc>
        <w:tc>
          <w:tcPr>
            <w:tcW w:w="5460" w:type="dxa"/>
            <w:vAlign w:val="bottom"/>
            <w:shd w:val="clear" w:color="auto" w:fill="0079C1"/>
          </w:tcPr>
          <w:p>
            <w:pPr>
              <w:spacing w:after="0"/>
              <w:rPr>
                <w:sz w:val="8"/>
                <w:szCs w:val="8"/>
                <w:color w:val="auto"/>
              </w:rPr>
            </w:pPr>
          </w:p>
        </w:tc>
        <w:tc>
          <w:tcPr>
            <w:tcW w:w="5700" w:type="dxa"/>
            <w:vAlign w:val="bottom"/>
            <w:shd w:val="clear" w:color="auto" w:fill="0079C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David Wang</w:t>
            </w:r>
          </w:p>
        </w:tc>
        <w:tc>
          <w:tcPr>
            <w:tcW w:w="5700" w:type="dxa"/>
            <w:vAlign w:val="bottom"/>
          </w:tcPr>
          <w:p>
            <w:pPr>
              <w:jc w:val="right"/>
              <w:ind w:right="148"/>
              <w:spacing w:after="0"/>
              <w:rPr>
                <w:sz w:val="20"/>
                <w:szCs w:val="20"/>
                <w:color w:val="auto"/>
              </w:rPr>
            </w:pPr>
            <w:r>
              <w:rPr>
                <w:rFonts w:ascii="Arial" w:cs="Arial" w:eastAsia="Arial" w:hAnsi="Arial"/>
                <w:sz w:val="14"/>
                <w:szCs w:val="14"/>
                <w:color w:val="auto"/>
              </w:rPr>
              <w:t>103,643,939</w:t>
            </w:r>
          </w:p>
        </w:tc>
        <w:tc>
          <w:tcPr>
            <w:tcW w:w="0" w:type="dxa"/>
            <w:vAlign w:val="bottom"/>
          </w:tcPr>
          <w:p>
            <w:pPr>
              <w:spacing w:after="0"/>
              <w:rPr>
                <w:sz w:val="1"/>
                <w:szCs w:val="1"/>
                <w:color w:val="auto"/>
              </w:rPr>
            </w:pPr>
          </w:p>
        </w:tc>
      </w:tr>
      <w:tr>
        <w:trPr>
          <w:trHeight w:val="48"/>
        </w:trPr>
        <w:tc>
          <w:tcPr>
            <w:tcW w:w="8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Mark McKechnie</w:t>
            </w:r>
          </w:p>
        </w:tc>
        <w:tc>
          <w:tcPr>
            <w:tcW w:w="5700" w:type="dxa"/>
            <w:vAlign w:val="bottom"/>
          </w:tcPr>
          <w:p>
            <w:pPr>
              <w:jc w:val="right"/>
              <w:ind w:right="148"/>
              <w:spacing w:after="0"/>
              <w:rPr>
                <w:sz w:val="20"/>
                <w:szCs w:val="20"/>
                <w:color w:val="auto"/>
              </w:rPr>
            </w:pPr>
            <w:r>
              <w:rPr>
                <w:rFonts w:ascii="Arial" w:cs="Arial" w:eastAsia="Arial" w:hAnsi="Arial"/>
                <w:sz w:val="14"/>
                <w:szCs w:val="14"/>
                <w:color w:val="auto"/>
              </w:rPr>
              <w:t>9,664,000</w:t>
            </w:r>
          </w:p>
        </w:tc>
        <w:tc>
          <w:tcPr>
            <w:tcW w:w="0" w:type="dxa"/>
            <w:vAlign w:val="bottom"/>
          </w:tcPr>
          <w:p>
            <w:pPr>
              <w:spacing w:after="0"/>
              <w:rPr>
                <w:sz w:val="1"/>
                <w:szCs w:val="1"/>
                <w:color w:val="auto"/>
              </w:rPr>
            </w:pPr>
          </w:p>
        </w:tc>
      </w:tr>
      <w:tr>
        <w:trPr>
          <w:trHeight w:val="48"/>
        </w:trPr>
        <w:tc>
          <w:tcPr>
            <w:tcW w:w="8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Jian Wang</w:t>
            </w:r>
          </w:p>
        </w:tc>
        <w:tc>
          <w:tcPr>
            <w:tcW w:w="5700" w:type="dxa"/>
            <w:vAlign w:val="bottom"/>
          </w:tcPr>
          <w:p>
            <w:pPr>
              <w:jc w:val="right"/>
              <w:ind w:right="148"/>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49"/>
        </w:trPr>
        <w:tc>
          <w:tcPr>
            <w:tcW w:w="8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Lisa Feng</w:t>
            </w:r>
          </w:p>
        </w:tc>
        <w:tc>
          <w:tcPr>
            <w:tcW w:w="5700" w:type="dxa"/>
            <w:vAlign w:val="bottom"/>
          </w:tcPr>
          <w:p>
            <w:pPr>
              <w:jc w:val="right"/>
              <w:ind w:right="148"/>
              <w:spacing w:after="0"/>
              <w:rPr>
                <w:sz w:val="20"/>
                <w:szCs w:val="20"/>
                <w:color w:val="auto"/>
              </w:rPr>
            </w:pPr>
            <w:r>
              <w:rPr>
                <w:rFonts w:ascii="Arial" w:cs="Arial" w:eastAsia="Arial" w:hAnsi="Arial"/>
                <w:sz w:val="14"/>
                <w:szCs w:val="14"/>
                <w:color w:val="auto"/>
              </w:rPr>
              <w:t>4,719,000</w:t>
            </w:r>
          </w:p>
        </w:tc>
        <w:tc>
          <w:tcPr>
            <w:tcW w:w="0" w:type="dxa"/>
            <w:vAlign w:val="bottom"/>
          </w:tcPr>
          <w:p>
            <w:pPr>
              <w:spacing w:after="0"/>
              <w:rPr>
                <w:sz w:val="1"/>
                <w:szCs w:val="1"/>
                <w:color w:val="auto"/>
              </w:rPr>
            </w:pPr>
          </w:p>
        </w:tc>
      </w:tr>
      <w:tr>
        <w:trPr>
          <w:trHeight w:val="48"/>
        </w:trPr>
        <w:tc>
          <w:tcPr>
            <w:tcW w:w="8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Fuping Chen</w:t>
            </w:r>
          </w:p>
        </w:tc>
        <w:tc>
          <w:tcPr>
            <w:tcW w:w="5700" w:type="dxa"/>
            <w:vAlign w:val="bottom"/>
          </w:tcPr>
          <w:p>
            <w:pPr>
              <w:jc w:val="right"/>
              <w:ind w:right="148"/>
              <w:spacing w:after="0"/>
              <w:rPr>
                <w:sz w:val="20"/>
                <w:szCs w:val="20"/>
                <w:color w:val="auto"/>
              </w:rPr>
            </w:pPr>
            <w:r>
              <w:rPr>
                <w:rFonts w:ascii="Arial" w:cs="Arial" w:eastAsia="Arial" w:hAnsi="Arial"/>
                <w:sz w:val="14"/>
                <w:szCs w:val="14"/>
                <w:color w:val="auto"/>
              </w:rPr>
              <w:t>2,524,897</w:t>
            </w:r>
          </w:p>
        </w:tc>
        <w:tc>
          <w:tcPr>
            <w:tcW w:w="0" w:type="dxa"/>
            <w:vAlign w:val="bottom"/>
          </w:tcPr>
          <w:p>
            <w:pPr>
              <w:spacing w:after="0"/>
              <w:rPr>
                <w:sz w:val="1"/>
                <w:szCs w:val="1"/>
                <w:color w:val="auto"/>
              </w:rPr>
            </w:pPr>
          </w:p>
        </w:tc>
      </w:tr>
      <w:tr>
        <w:trPr>
          <w:trHeight w:val="49"/>
        </w:trPr>
        <w:tc>
          <w:tcPr>
            <w:tcW w:w="80" w:type="dxa"/>
            <w:vAlign w:val="bottom"/>
            <w:tcBorders>
              <w:bottom w:val="single" w:sz="8" w:color="0079C1"/>
            </w:tcBorders>
          </w:tcPr>
          <w:p>
            <w:pPr>
              <w:spacing w:after="0"/>
              <w:rPr>
                <w:sz w:val="4"/>
                <w:szCs w:val="4"/>
                <w:color w:val="auto"/>
              </w:rPr>
            </w:pPr>
          </w:p>
        </w:tc>
        <w:tc>
          <w:tcPr>
            <w:tcW w:w="5460" w:type="dxa"/>
            <w:vAlign w:val="bottom"/>
            <w:tcBorders>
              <w:bottom w:val="single" w:sz="8" w:color="0079C1"/>
            </w:tcBorders>
          </w:tcPr>
          <w:p>
            <w:pPr>
              <w:spacing w:after="0"/>
              <w:rPr>
                <w:sz w:val="4"/>
                <w:szCs w:val="4"/>
                <w:color w:val="auto"/>
              </w:rPr>
            </w:pPr>
          </w:p>
        </w:tc>
        <w:tc>
          <w:tcPr>
            <w:tcW w:w="5700" w:type="dxa"/>
            <w:vAlign w:val="bottom"/>
            <w:tcBorders>
              <w:bottom w:val="single" w:sz="8" w:color="0079C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Equity Compensation Plan Information</w:t>
      </w:r>
    </w:p>
    <w:p>
      <w:pPr>
        <w:spacing w:after="0" w:line="209" w:lineRule="exact"/>
        <w:rPr>
          <w:sz w:val="20"/>
          <w:szCs w:val="20"/>
          <w:color w:val="auto"/>
        </w:rPr>
      </w:pPr>
    </w:p>
    <w:p>
      <w:pPr>
        <w:ind w:right="400"/>
        <w:spacing w:after="0" w:line="392" w:lineRule="auto"/>
        <w:rPr>
          <w:sz w:val="20"/>
          <w:szCs w:val="20"/>
          <w:color w:val="auto"/>
        </w:rPr>
      </w:pPr>
      <w:r>
        <w:rPr>
          <w:rFonts w:ascii="Arial" w:cs="Arial" w:eastAsia="Arial" w:hAnsi="Arial"/>
          <w:sz w:val="16"/>
          <w:szCs w:val="16"/>
          <w:color w:val="auto"/>
        </w:rPr>
        <w:t>The following table provides information as of December 31, 2025 with respect to shares of Class A common stock that may be issued under our equity plans: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shd w:val="clear" w:color="auto" w:fill="0079C1"/>
          </w:tcPr>
          <w:p>
            <w:pPr>
              <w:spacing w:after="0"/>
              <w:rPr>
                <w:sz w:val="16"/>
                <w:szCs w:val="16"/>
                <w:color w:val="auto"/>
              </w:rPr>
            </w:pP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Number of Securities to</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8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3800" w:type="dxa"/>
            <w:vAlign w:val="bottom"/>
            <w:shd w:val="clear" w:color="auto" w:fill="0079C1"/>
          </w:tcPr>
          <w:p>
            <w:pPr>
              <w:spacing w:after="0"/>
              <w:rPr>
                <w:sz w:val="14"/>
                <w:szCs w:val="14"/>
                <w:color w:val="auto"/>
              </w:rPr>
            </w:pP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be Issued Upon Exercise</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Exercise Price of</w:t>
            </w:r>
          </w:p>
        </w:tc>
        <w:tc>
          <w:tcPr>
            <w:tcW w:w="28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73"/>
        </w:trPr>
        <w:tc>
          <w:tcPr>
            <w:tcW w:w="3800" w:type="dxa"/>
            <w:vAlign w:val="bottom"/>
            <w:shd w:val="clear" w:color="auto" w:fill="0079C1"/>
          </w:tcPr>
          <w:p>
            <w:pPr>
              <w:spacing w:after="0"/>
              <w:rPr>
                <w:sz w:val="15"/>
                <w:szCs w:val="15"/>
                <w:color w:val="auto"/>
              </w:rPr>
            </w:pP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of Outstanding Options,</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Outstanding Options,</w:t>
            </w:r>
          </w:p>
        </w:tc>
        <w:tc>
          <w:tcPr>
            <w:tcW w:w="28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78"/>
        </w:trPr>
        <w:tc>
          <w:tcPr>
            <w:tcW w:w="3800" w:type="dxa"/>
            <w:vAlign w:val="bottom"/>
            <w:shd w:val="clear" w:color="auto" w:fill="0079C1"/>
          </w:tcPr>
          <w:p>
            <w:pPr>
              <w:spacing w:after="0"/>
              <w:rPr>
                <w:sz w:val="15"/>
                <w:szCs w:val="15"/>
                <w:color w:val="auto"/>
              </w:rPr>
            </w:pP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Warrants and Rights</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Warrants and Rights</w:t>
            </w:r>
          </w:p>
        </w:tc>
        <w:tc>
          <w:tcPr>
            <w:tcW w:w="2880" w:type="dxa"/>
            <w:vAlign w:val="bottom"/>
            <w:shd w:val="clear" w:color="auto" w:fill="0079C1"/>
          </w:tcPr>
          <w:p>
            <w:pPr>
              <w:jc w:val="right"/>
              <w:ind w:right="88"/>
              <w:spacing w:after="0" w:line="178" w:lineRule="exact"/>
              <w:rPr>
                <w:sz w:val="20"/>
                <w:szCs w:val="20"/>
                <w:color w:val="auto"/>
              </w:rPr>
            </w:pPr>
            <w:r>
              <w:rPr>
                <w:rFonts w:ascii="Arial" w:cs="Arial" w:eastAsia="Arial" w:hAnsi="Arial"/>
                <w:sz w:val="14"/>
                <w:szCs w:val="14"/>
                <w:b w:val="1"/>
                <w:bCs w:val="1"/>
                <w:color w:val="FFFFFF"/>
              </w:rPr>
              <w:t>Compensation Plans</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76"/>
        </w:trPr>
        <w:tc>
          <w:tcPr>
            <w:tcW w:w="3800" w:type="dxa"/>
            <w:vAlign w:val="bottom"/>
            <w:shd w:val="clear" w:color="auto" w:fill="0079C1"/>
          </w:tcPr>
          <w:p>
            <w:pPr>
              <w:spacing w:after="0"/>
              <w:rPr>
                <w:sz w:val="15"/>
                <w:szCs w:val="15"/>
                <w:color w:val="auto"/>
              </w:rPr>
            </w:pP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(b)</w:t>
            </w:r>
          </w:p>
        </w:tc>
        <w:tc>
          <w:tcPr>
            <w:tcW w:w="28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96"/>
        </w:trPr>
        <w:tc>
          <w:tcPr>
            <w:tcW w:w="3800" w:type="dxa"/>
            <w:vAlign w:val="bottom"/>
            <w:shd w:val="clear" w:color="auto" w:fill="0079C1"/>
          </w:tcPr>
          <w:p>
            <w:pPr>
              <w:ind w:left="20"/>
              <w:spacing w:after="0"/>
              <w:rPr>
                <w:sz w:val="20"/>
                <w:szCs w:val="20"/>
                <w:color w:val="auto"/>
              </w:rPr>
            </w:pPr>
            <w:r>
              <w:rPr>
                <w:rFonts w:ascii="Arial" w:cs="Arial" w:eastAsia="Arial" w:hAnsi="Arial"/>
                <w:sz w:val="14"/>
                <w:szCs w:val="14"/>
                <w:b w:val="1"/>
                <w:bCs w:val="1"/>
                <w:color w:val="FFFFFF"/>
              </w:rPr>
              <w:t>Plan Category</w:t>
            </w:r>
          </w:p>
        </w:tc>
        <w:tc>
          <w:tcPr>
            <w:tcW w:w="2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(#)(2)</w:t>
            </w:r>
          </w:p>
        </w:tc>
        <w:tc>
          <w:tcPr>
            <w:tcW w:w="2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($)(3)</w:t>
            </w:r>
          </w:p>
        </w:tc>
        <w:tc>
          <w:tcPr>
            <w:tcW w:w="28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3800" w:type="dxa"/>
            <w:vAlign w:val="bottom"/>
            <w:shd w:val="clear" w:color="auto" w:fill="0079C1"/>
          </w:tcPr>
          <w:p>
            <w:pPr>
              <w:spacing w:after="0"/>
              <w:rPr>
                <w:sz w:val="9"/>
                <w:szCs w:val="9"/>
                <w:color w:val="auto"/>
              </w:rPr>
            </w:pPr>
          </w:p>
        </w:tc>
        <w:tc>
          <w:tcPr>
            <w:tcW w:w="2240" w:type="dxa"/>
            <w:vAlign w:val="bottom"/>
            <w:shd w:val="clear" w:color="auto" w:fill="0079C1"/>
          </w:tcPr>
          <w:p>
            <w:pPr>
              <w:spacing w:after="0"/>
              <w:rPr>
                <w:sz w:val="9"/>
                <w:szCs w:val="9"/>
                <w:color w:val="auto"/>
              </w:rPr>
            </w:pPr>
          </w:p>
        </w:tc>
        <w:tc>
          <w:tcPr>
            <w:tcW w:w="2320" w:type="dxa"/>
            <w:vAlign w:val="bottom"/>
            <w:shd w:val="clear" w:color="auto" w:fill="0079C1"/>
          </w:tcPr>
          <w:p>
            <w:pPr>
              <w:spacing w:after="0"/>
              <w:rPr>
                <w:sz w:val="9"/>
                <w:szCs w:val="9"/>
                <w:color w:val="auto"/>
              </w:rPr>
            </w:pPr>
          </w:p>
        </w:tc>
        <w:tc>
          <w:tcPr>
            <w:tcW w:w="2880" w:type="dxa"/>
            <w:vAlign w:val="bottom"/>
            <w:shd w:val="clear" w:color="auto" w:fill="0079C1"/>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Equity compensation plans approved by stockholders</w:t>
            </w:r>
          </w:p>
        </w:tc>
        <w:tc>
          <w:tcPr>
            <w:tcW w:w="2240" w:type="dxa"/>
            <w:vAlign w:val="bottom"/>
          </w:tcPr>
          <w:p>
            <w:pPr>
              <w:jc w:val="right"/>
              <w:spacing w:after="0"/>
              <w:rPr>
                <w:sz w:val="20"/>
                <w:szCs w:val="20"/>
                <w:color w:val="auto"/>
              </w:rPr>
            </w:pPr>
            <w:r>
              <w:rPr>
                <w:rFonts w:ascii="Arial" w:cs="Arial" w:eastAsia="Arial" w:hAnsi="Arial"/>
                <w:sz w:val="14"/>
                <w:szCs w:val="14"/>
                <w:color w:val="auto"/>
              </w:rPr>
              <w:t>7,010,312</w:t>
            </w:r>
          </w:p>
        </w:tc>
        <w:tc>
          <w:tcPr>
            <w:tcW w:w="2320" w:type="dxa"/>
            <w:vAlign w:val="bottom"/>
          </w:tcPr>
          <w:p>
            <w:pPr>
              <w:jc w:val="right"/>
              <w:spacing w:after="0"/>
              <w:rPr>
                <w:sz w:val="20"/>
                <w:szCs w:val="20"/>
                <w:color w:val="auto"/>
              </w:rPr>
            </w:pPr>
            <w:r>
              <w:rPr>
                <w:rFonts w:ascii="Arial" w:cs="Arial" w:eastAsia="Arial" w:hAnsi="Arial"/>
                <w:sz w:val="14"/>
                <w:szCs w:val="14"/>
                <w:color w:val="auto"/>
              </w:rPr>
              <w:t>12.10</w:t>
            </w:r>
          </w:p>
        </w:tc>
        <w:tc>
          <w:tcPr>
            <w:tcW w:w="2880" w:type="dxa"/>
            <w:vAlign w:val="bottom"/>
          </w:tcPr>
          <w:p>
            <w:pPr>
              <w:jc w:val="right"/>
              <w:ind w:right="88"/>
              <w:spacing w:after="0"/>
              <w:rPr>
                <w:sz w:val="20"/>
                <w:szCs w:val="20"/>
                <w:color w:val="auto"/>
              </w:rPr>
            </w:pPr>
            <w:r>
              <w:rPr>
                <w:rFonts w:ascii="Arial" w:cs="Arial" w:eastAsia="Arial" w:hAnsi="Arial"/>
                <w:sz w:val="14"/>
                <w:szCs w:val="14"/>
                <w:color w:val="auto"/>
              </w:rPr>
              <w:t>9,999,760</w:t>
            </w:r>
          </w:p>
        </w:tc>
        <w:tc>
          <w:tcPr>
            <w:tcW w:w="0" w:type="dxa"/>
            <w:vAlign w:val="bottom"/>
          </w:tcPr>
          <w:p>
            <w:pPr>
              <w:spacing w:after="0"/>
              <w:rPr>
                <w:sz w:val="1"/>
                <w:szCs w:val="1"/>
                <w:color w:val="auto"/>
              </w:rPr>
            </w:pPr>
          </w:p>
        </w:tc>
      </w:tr>
      <w:tr>
        <w:trPr>
          <w:trHeight w:val="48"/>
        </w:trPr>
        <w:tc>
          <w:tcPr>
            <w:tcW w:w="38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Equity compensation plans not approved by</w:t>
            </w: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stockholders</w:t>
            </w:r>
          </w:p>
        </w:tc>
        <w:tc>
          <w:tcPr>
            <w:tcW w:w="2240" w:type="dxa"/>
            <w:vAlign w:val="bottom"/>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0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380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Totals</w:t>
            </w:r>
          </w:p>
        </w:tc>
        <w:tc>
          <w:tcPr>
            <w:tcW w:w="2240" w:type="dxa"/>
            <w:vAlign w:val="bottom"/>
          </w:tcPr>
          <w:p>
            <w:pPr>
              <w:jc w:val="right"/>
              <w:spacing w:after="0"/>
              <w:rPr>
                <w:sz w:val="20"/>
                <w:szCs w:val="20"/>
                <w:color w:val="auto"/>
              </w:rPr>
            </w:pPr>
            <w:r>
              <w:rPr>
                <w:rFonts w:ascii="Arial" w:cs="Arial" w:eastAsia="Arial" w:hAnsi="Arial"/>
                <w:sz w:val="14"/>
                <w:szCs w:val="14"/>
                <w:color w:val="auto"/>
              </w:rPr>
              <w:t>7,010,312</w:t>
            </w:r>
          </w:p>
        </w:tc>
        <w:tc>
          <w:tcPr>
            <w:tcW w:w="2320" w:type="dxa"/>
            <w:vAlign w:val="bottom"/>
          </w:tcPr>
          <w:p>
            <w:pPr>
              <w:jc w:val="right"/>
              <w:spacing w:after="0"/>
              <w:rPr>
                <w:sz w:val="20"/>
                <w:szCs w:val="20"/>
                <w:color w:val="auto"/>
              </w:rPr>
            </w:pPr>
            <w:r>
              <w:rPr>
                <w:rFonts w:ascii="Arial" w:cs="Arial" w:eastAsia="Arial" w:hAnsi="Arial"/>
                <w:sz w:val="14"/>
                <w:szCs w:val="14"/>
                <w:color w:val="auto"/>
              </w:rPr>
              <w:t>12.10</w:t>
            </w:r>
          </w:p>
        </w:tc>
        <w:tc>
          <w:tcPr>
            <w:tcW w:w="2880" w:type="dxa"/>
            <w:vAlign w:val="bottom"/>
          </w:tcPr>
          <w:p>
            <w:pPr>
              <w:jc w:val="right"/>
              <w:ind w:right="88"/>
              <w:spacing w:after="0"/>
              <w:rPr>
                <w:sz w:val="20"/>
                <w:szCs w:val="20"/>
                <w:color w:val="auto"/>
              </w:rPr>
            </w:pPr>
            <w:r>
              <w:rPr>
                <w:rFonts w:ascii="Arial" w:cs="Arial" w:eastAsia="Arial" w:hAnsi="Arial"/>
                <w:sz w:val="14"/>
                <w:szCs w:val="14"/>
                <w:b w:val="1"/>
                <w:bCs w:val="1"/>
                <w:color w:val="auto"/>
              </w:rPr>
              <w:t>9,999,760</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0079C1"/>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0079C1"/>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right="20" w:hanging="172"/>
        <w:spacing w:after="0" w:line="348"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shares of Class A common stock available as of December 31, 2025 for awards under our 2016 Omnibus Incentive Plan. Excludes securities reflected in column (a). Under the terms of the 2016 Omnibus Incentive Plan, 2,624,473 shares became available for grant effective as of January 1, 2026, which are excluded in column (d). The 2016 Omnibus Incentive Plan provided for an increase on the first day of 2026 equal to the lesser of (i) 4% of the shares outstanding (on an as converted basis) on the last day of the immediately preceding fiscal year and (ii) such smaller number of shares as may be determined by the Board.</w:t>
      </w:r>
    </w:p>
    <w:p>
      <w:pPr>
        <w:spacing w:after="0" w:line="124" w:lineRule="exact"/>
        <w:rPr>
          <w:rFonts w:ascii="Arial" w:cs="Arial" w:eastAsia="Arial" w:hAnsi="Arial"/>
          <w:sz w:val="16"/>
          <w:szCs w:val="16"/>
          <w:color w:val="auto"/>
        </w:rPr>
      </w:pPr>
    </w:p>
    <w:p>
      <w:pPr>
        <w:ind w:left="180" w:hanging="172"/>
        <w:spacing w:after="0"/>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shares of Class A common stock underlying options granted under our 2016 Omnibus Incentive Plan.</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the weighted average exercise price of outstanding options disclosed under 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151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CEO Pay Ratio</w:t>
      </w:r>
    </w:p>
    <w:p>
      <w:pPr>
        <w:spacing w:after="0" w:line="209" w:lineRule="exact"/>
        <w:rPr>
          <w:sz w:val="20"/>
          <w:szCs w:val="20"/>
          <w:color w:val="auto"/>
        </w:rPr>
      </w:pPr>
    </w:p>
    <w:p>
      <w:pPr>
        <w:ind w:right="80"/>
        <w:spacing w:after="0" w:line="363" w:lineRule="auto"/>
        <w:rPr>
          <w:sz w:val="20"/>
          <w:szCs w:val="20"/>
          <w:color w:val="auto"/>
        </w:rPr>
      </w:pPr>
      <w:r>
        <w:rPr>
          <w:rFonts w:ascii="Arial" w:cs="Arial" w:eastAsia="Arial" w:hAnsi="Arial"/>
          <w:sz w:val="16"/>
          <w:szCs w:val="16"/>
          <w:color w:val="auto"/>
        </w:rPr>
        <w:t>As required by applicable SEC rules, we are providing the following information about the relationship of the annual total compensation of our median compensated employee (excluding our CEO) and the annual total compensation of David Wang, our chief executive officer as of December 31, 2025, or our CEO. For 2025, our last completed fiscal year:</w:t>
      </w:r>
    </w:p>
    <w:p>
      <w:pPr>
        <w:spacing w:after="0" w:line="110"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annual total compensation of our median compensated employee (excluding our CEO) for 2025 was $30,498.</w:t>
      </w:r>
    </w:p>
    <w:p>
      <w:pPr>
        <w:spacing w:after="0" w:line="126" w:lineRule="exact"/>
        <w:rPr>
          <w:rFonts w:ascii="Arial" w:cs="Arial" w:eastAsia="Arial" w:hAnsi="Arial"/>
          <w:sz w:val="16"/>
          <w:szCs w:val="16"/>
          <w:color w:val="auto"/>
        </w:rPr>
      </w:pPr>
    </w:p>
    <w:p>
      <w:pPr>
        <w:ind w:left="260" w:right="360" w:hanging="252"/>
        <w:spacing w:after="0" w:line="374" w:lineRule="auto"/>
        <w:tabs>
          <w:tab w:leader="none" w:pos="222"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our CEO’s annual total compensation, we used the amount reported in the “Total” column of the table included under “—Summary Compensation Table” above. The annual total compensation of our CEO, for the purposes of this disclosure, was $632,769.</w:t>
      </w:r>
    </w:p>
    <w:p>
      <w:pPr>
        <w:spacing w:after="0" w:line="115"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Based on this information, for 2025 the ratio of the annual total compensation of our CEO to the annual total compensation of our median compensated employee (excluding our CEO) was 21 to 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We took the following steps to identify our median compensated employee for 2025.</w:t>
      </w:r>
    </w:p>
    <w:p>
      <w:pPr>
        <w:spacing w:after="0" w:line="235" w:lineRule="exact"/>
        <w:rPr>
          <w:sz w:val="20"/>
          <w:szCs w:val="20"/>
          <w:color w:val="auto"/>
        </w:rPr>
      </w:pPr>
    </w:p>
    <w:p>
      <w:pPr>
        <w:ind w:left="340" w:right="160" w:hanging="332"/>
        <w:spacing w:after="0" w:line="374"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determined that, as of December 31, 2025, our employee population consisted of 2,518 individuals. This population consisted of our full-time, part-time and temporary employees employed with us as of the December 31, 2025 determination date.</w:t>
      </w:r>
    </w:p>
    <w:p>
      <w:pPr>
        <w:spacing w:after="0" w:line="101" w:lineRule="exact"/>
        <w:rPr>
          <w:rFonts w:ascii="Arial" w:cs="Arial" w:eastAsia="Arial" w:hAnsi="Arial"/>
          <w:sz w:val="16"/>
          <w:szCs w:val="16"/>
          <w:color w:val="auto"/>
        </w:rPr>
      </w:pPr>
    </w:p>
    <w:p>
      <w:pPr>
        <w:ind w:left="340" w:right="60" w:hanging="332"/>
        <w:spacing w:after="0" w:line="343"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identify the “median employee” from our employee population, we aggregated for each applicable employee, excluding our CEO, (a) annual base salary (or hourly rate multiplied by estimated work schedule, for hourly employees), (b) the bonus amount earned for 2025, which was paid in 2026, and</w:t>
      </w:r>
    </w:p>
    <w:p>
      <w:pPr>
        <w:ind w:left="340" w:right="20"/>
        <w:spacing w:after="0" w:line="354" w:lineRule="auto"/>
        <w:rPr>
          <w:rFonts w:ascii="Arial" w:cs="Arial" w:eastAsia="Arial" w:hAnsi="Arial"/>
          <w:sz w:val="16"/>
          <w:szCs w:val="16"/>
          <w:color w:val="auto"/>
        </w:rPr>
      </w:pPr>
      <w:r>
        <w:rPr>
          <w:rFonts w:ascii="Arial" w:cs="Arial" w:eastAsia="Arial" w:hAnsi="Arial"/>
          <w:sz w:val="16"/>
          <w:szCs w:val="16"/>
          <w:color w:val="auto"/>
        </w:rPr>
        <w:t>(c) the grant date fair value of equity awards granted in 2025. Once aggregated, we ranked this compensation measure for our employees from lowest to highest and selected the median employee. We annualized the compensation for permanent employees (full-time or part-time) that were employed by us for less than the full fiscal year. We did not make any cost of living adjustments.</w:t>
      </w:r>
    </w:p>
    <w:p>
      <w:pPr>
        <w:spacing w:after="0" w:line="117" w:lineRule="exact"/>
        <w:rPr>
          <w:sz w:val="20"/>
          <w:szCs w:val="20"/>
          <w:color w:val="auto"/>
        </w:rPr>
      </w:pPr>
    </w:p>
    <w:p>
      <w:pPr>
        <w:ind w:right="720"/>
        <w:spacing w:after="0" w:line="392" w:lineRule="auto"/>
        <w:rPr>
          <w:sz w:val="20"/>
          <w:szCs w:val="20"/>
          <w:color w:val="auto"/>
        </w:rPr>
      </w:pPr>
      <w:r>
        <w:rPr>
          <w:rFonts w:ascii="Arial" w:cs="Arial" w:eastAsia="Arial" w:hAnsi="Arial"/>
          <w:sz w:val="16"/>
          <w:szCs w:val="16"/>
          <w:color w:val="auto"/>
        </w:rPr>
        <w:t>For the annual total compensation of our median employee, we identified and calculated the elements of that employee’s compensation for 2025 in accordance with the requirements of Item 402(c)(2)(x) of Regulation S-K of the SEC, resulting in annual total compensation of $30,498.</w:t>
      </w:r>
    </w:p>
    <w:p>
      <w:pPr>
        <w:spacing w:after="0" w:line="168" w:lineRule="exact"/>
        <w:rPr>
          <w:sz w:val="20"/>
          <w:szCs w:val="20"/>
          <w:color w:val="auto"/>
        </w:rPr>
      </w:pPr>
    </w:p>
    <w:p>
      <w:pPr>
        <w:ind w:right="460"/>
        <w:spacing w:after="0" w:line="374" w:lineRule="auto"/>
        <w:rPr>
          <w:sz w:val="20"/>
          <w:szCs w:val="20"/>
          <w:color w:val="auto"/>
        </w:rPr>
      </w:pPr>
      <w:r>
        <w:rPr>
          <w:rFonts w:ascii="Arial" w:cs="Arial" w:eastAsia="Arial" w:hAnsi="Arial"/>
          <w:sz w:val="16"/>
          <w:szCs w:val="16"/>
          <w:color w:val="auto"/>
        </w:rPr>
        <w:t>Compensation amounts paid in RMB have been converted, for purposes of this pay ratio disclosure, to U.S. dollars at the average RMB per U.S. dollar exchange rate during 2025.</w:t>
      </w:r>
    </w:p>
    <w:p>
      <w:pPr>
        <w:spacing w:after="0" w:line="102" w:lineRule="exact"/>
        <w:rPr>
          <w:sz w:val="20"/>
          <w:szCs w:val="20"/>
          <w:color w:val="auto"/>
        </w:rPr>
      </w:pPr>
    </w:p>
    <w:p>
      <w:pPr>
        <w:ind w:right="80"/>
        <w:spacing w:after="0" w:line="346"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2" w:name="page53"/>
    <w:bookmarkEnd w:id="52"/>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Pay Versus Performance</w:t>
      </w:r>
    </w:p>
    <w:p>
      <w:pPr>
        <w:spacing w:after="0" w:line="209"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certain information, including information about the relationship between executive compensation actually paid to our principal executive officer (PEO) and Non-PEO NEOs by the Company and certain financial performance of the Company. For further information concerning the Company’s pay-for-performance philosophy and how the Company aligns executive compensation with the Company’s performance, refer to the Compensation Discussion and Analysis section of this Proxy Statement.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100" w:type="dxa"/>
            <w:vAlign w:val="bottom"/>
            <w:shd w:val="clear" w:color="auto" w:fill="0079C1"/>
          </w:tcPr>
          <w:p>
            <w:pPr>
              <w:spacing w:after="0"/>
              <w:rPr>
                <w:sz w:val="24"/>
                <w:szCs w:val="24"/>
                <w:color w:val="auto"/>
              </w:rPr>
            </w:pPr>
          </w:p>
        </w:tc>
        <w:tc>
          <w:tcPr>
            <w:tcW w:w="1440" w:type="dxa"/>
            <w:vAlign w:val="bottom"/>
            <w:shd w:val="clear" w:color="auto" w:fill="0079C1"/>
          </w:tcPr>
          <w:p>
            <w:pPr>
              <w:spacing w:after="0"/>
              <w:rPr>
                <w:sz w:val="24"/>
                <w:szCs w:val="24"/>
                <w:color w:val="auto"/>
              </w:rPr>
            </w:pPr>
          </w:p>
        </w:tc>
        <w:tc>
          <w:tcPr>
            <w:tcW w:w="1200" w:type="dxa"/>
            <w:vAlign w:val="bottom"/>
            <w:shd w:val="clear" w:color="auto" w:fill="0079C1"/>
          </w:tcPr>
          <w:p>
            <w:pPr>
              <w:spacing w:after="0"/>
              <w:rPr>
                <w:sz w:val="24"/>
                <w:szCs w:val="24"/>
                <w:color w:val="auto"/>
              </w:rPr>
            </w:pPr>
          </w:p>
        </w:tc>
        <w:tc>
          <w:tcPr>
            <w:tcW w:w="1380" w:type="dxa"/>
            <w:vAlign w:val="bottom"/>
            <w:shd w:val="clear" w:color="auto" w:fill="0079C1"/>
          </w:tcPr>
          <w:p>
            <w:pPr>
              <w:spacing w:after="0"/>
              <w:rPr>
                <w:sz w:val="24"/>
                <w:szCs w:val="24"/>
                <w:color w:val="auto"/>
              </w:rPr>
            </w:pPr>
          </w:p>
        </w:tc>
        <w:tc>
          <w:tcPr>
            <w:tcW w:w="1240" w:type="dxa"/>
            <w:vAlign w:val="bottom"/>
            <w:shd w:val="clear" w:color="auto" w:fill="0079C1"/>
          </w:tcPr>
          <w:p>
            <w:pPr>
              <w:spacing w:after="0"/>
              <w:rPr>
                <w:sz w:val="24"/>
                <w:szCs w:val="24"/>
                <w:color w:val="auto"/>
              </w:rPr>
            </w:pPr>
          </w:p>
        </w:tc>
        <w:tc>
          <w:tcPr>
            <w:tcW w:w="2460" w:type="dxa"/>
            <w:vAlign w:val="bottom"/>
            <w:gridSpan w:val="2"/>
            <w:shd w:val="clear" w:color="auto" w:fill="80BCE0"/>
          </w:tcPr>
          <w:p>
            <w:pPr>
              <w:jc w:val="right"/>
              <w:ind w:right="288"/>
              <w:spacing w:after="0"/>
              <w:rPr>
                <w:sz w:val="20"/>
                <w:szCs w:val="20"/>
                <w:color w:val="auto"/>
              </w:rPr>
            </w:pPr>
            <w:r>
              <w:rPr>
                <w:rFonts w:ascii="Arial" w:cs="Arial" w:eastAsia="Arial" w:hAnsi="Arial"/>
                <w:sz w:val="14"/>
                <w:szCs w:val="14"/>
                <w:b w:val="1"/>
                <w:bCs w:val="1"/>
                <w:color w:val="FFFFFF"/>
              </w:rPr>
              <w:t>Value of Initial Fixed $100</w:t>
            </w:r>
          </w:p>
        </w:tc>
        <w:tc>
          <w:tcPr>
            <w:tcW w:w="1180" w:type="dxa"/>
            <w:vAlign w:val="bottom"/>
            <w:shd w:val="clear" w:color="auto" w:fill="0079C1"/>
          </w:tcPr>
          <w:p>
            <w:pPr>
              <w:spacing w:after="0"/>
              <w:rPr>
                <w:sz w:val="24"/>
                <w:szCs w:val="24"/>
                <w:color w:val="auto"/>
              </w:rPr>
            </w:pPr>
          </w:p>
        </w:tc>
        <w:tc>
          <w:tcPr>
            <w:tcW w:w="1100" w:type="dxa"/>
            <w:vAlign w:val="bottom"/>
            <w:shd w:val="clear" w:color="auto" w:fill="0079C1"/>
          </w:tcPr>
          <w:p>
            <w:pPr>
              <w:spacing w:after="0"/>
              <w:rPr>
                <w:sz w:val="24"/>
                <w:szCs w:val="24"/>
                <w:color w:val="auto"/>
              </w:rPr>
            </w:pPr>
          </w:p>
        </w:tc>
        <w:tc>
          <w:tcPr>
            <w:tcW w:w="140" w:type="dxa"/>
            <w:vAlign w:val="bottom"/>
            <w:shd w:val="clear" w:color="auto" w:fill="0079C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0079C1"/>
          </w:tcPr>
          <w:p>
            <w:pPr>
              <w:spacing w:after="0"/>
              <w:rPr>
                <w:sz w:val="17"/>
                <w:szCs w:val="17"/>
                <w:color w:val="auto"/>
              </w:rPr>
            </w:pPr>
          </w:p>
        </w:tc>
        <w:tc>
          <w:tcPr>
            <w:tcW w:w="1440" w:type="dxa"/>
            <w:vAlign w:val="bottom"/>
            <w:shd w:val="clear" w:color="auto" w:fill="0079C1"/>
          </w:tcPr>
          <w:p>
            <w:pPr>
              <w:spacing w:after="0"/>
              <w:rPr>
                <w:sz w:val="17"/>
                <w:szCs w:val="17"/>
                <w:color w:val="auto"/>
              </w:rPr>
            </w:pPr>
          </w:p>
        </w:tc>
        <w:tc>
          <w:tcPr>
            <w:tcW w:w="1200" w:type="dxa"/>
            <w:vAlign w:val="bottom"/>
            <w:shd w:val="clear" w:color="auto" w:fill="0079C1"/>
          </w:tcPr>
          <w:p>
            <w:pPr>
              <w:spacing w:after="0"/>
              <w:rPr>
                <w:sz w:val="17"/>
                <w:szCs w:val="17"/>
                <w:color w:val="auto"/>
              </w:rPr>
            </w:pPr>
          </w:p>
        </w:tc>
        <w:tc>
          <w:tcPr>
            <w:tcW w:w="1380" w:type="dxa"/>
            <w:vAlign w:val="bottom"/>
            <w:shd w:val="clear" w:color="auto" w:fill="0079C1"/>
          </w:tcPr>
          <w:p>
            <w:pPr>
              <w:spacing w:after="0"/>
              <w:rPr>
                <w:sz w:val="17"/>
                <w:szCs w:val="17"/>
                <w:color w:val="auto"/>
              </w:rPr>
            </w:pPr>
          </w:p>
        </w:tc>
        <w:tc>
          <w:tcPr>
            <w:tcW w:w="1240" w:type="dxa"/>
            <w:vAlign w:val="bottom"/>
            <w:shd w:val="clear" w:color="auto" w:fill="0079C1"/>
          </w:tcPr>
          <w:p>
            <w:pPr>
              <w:spacing w:after="0"/>
              <w:rPr>
                <w:sz w:val="17"/>
                <w:szCs w:val="17"/>
                <w:color w:val="auto"/>
              </w:rPr>
            </w:pPr>
          </w:p>
        </w:tc>
        <w:tc>
          <w:tcPr>
            <w:tcW w:w="2460" w:type="dxa"/>
            <w:vAlign w:val="bottom"/>
            <w:gridSpan w:val="2"/>
            <w:shd w:val="clear" w:color="auto" w:fill="80BCE0"/>
          </w:tcPr>
          <w:p>
            <w:pPr>
              <w:jc w:val="right"/>
              <w:ind w:right="408"/>
              <w:spacing w:after="0"/>
              <w:rPr>
                <w:sz w:val="20"/>
                <w:szCs w:val="20"/>
                <w:color w:val="auto"/>
              </w:rPr>
            </w:pPr>
            <w:r>
              <w:rPr>
                <w:rFonts w:ascii="Arial" w:cs="Arial" w:eastAsia="Arial" w:hAnsi="Arial"/>
                <w:sz w:val="14"/>
                <w:szCs w:val="14"/>
                <w:b w:val="1"/>
                <w:bCs w:val="1"/>
                <w:color w:val="FFFFFF"/>
              </w:rPr>
              <w:t>Investment Based On:</w:t>
            </w:r>
          </w:p>
        </w:tc>
        <w:tc>
          <w:tcPr>
            <w:tcW w:w="1180" w:type="dxa"/>
            <w:vAlign w:val="bottom"/>
            <w:shd w:val="clear" w:color="auto" w:fill="0079C1"/>
          </w:tcPr>
          <w:p>
            <w:pPr>
              <w:spacing w:after="0"/>
              <w:rPr>
                <w:sz w:val="17"/>
                <w:szCs w:val="17"/>
                <w:color w:val="auto"/>
              </w:rPr>
            </w:pPr>
          </w:p>
        </w:tc>
        <w:tc>
          <w:tcPr>
            <w:tcW w:w="1100" w:type="dxa"/>
            <w:vAlign w:val="bottom"/>
            <w:shd w:val="clear" w:color="auto" w:fill="0079C1"/>
          </w:tcPr>
          <w:p>
            <w:pPr>
              <w:spacing w:after="0"/>
              <w:rPr>
                <w:sz w:val="17"/>
                <w:szCs w:val="17"/>
                <w:color w:val="auto"/>
              </w:rPr>
            </w:pPr>
          </w:p>
        </w:tc>
        <w:tc>
          <w:tcPr>
            <w:tcW w:w="140" w:type="dxa"/>
            <w:vAlign w:val="bottom"/>
            <w:shd w:val="clear" w:color="auto" w:fill="0079C1"/>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100" w:type="dxa"/>
            <w:vAlign w:val="bottom"/>
            <w:shd w:val="clear" w:color="auto" w:fill="0079C1"/>
          </w:tcPr>
          <w:p>
            <w:pPr>
              <w:spacing w:after="0"/>
              <w:rPr>
                <w:sz w:val="11"/>
                <w:szCs w:val="11"/>
                <w:color w:val="auto"/>
              </w:rPr>
            </w:pPr>
          </w:p>
        </w:tc>
        <w:tc>
          <w:tcPr>
            <w:tcW w:w="1440" w:type="dxa"/>
            <w:vAlign w:val="bottom"/>
            <w:vMerge w:val="restart"/>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0079C1"/>
          </w:tcPr>
          <w:p>
            <w:pPr>
              <w:spacing w:after="0"/>
              <w:rPr>
                <w:sz w:val="11"/>
                <w:szCs w:val="11"/>
                <w:color w:val="auto"/>
              </w:rPr>
            </w:pPr>
          </w:p>
        </w:tc>
        <w:tc>
          <w:tcPr>
            <w:tcW w:w="1380" w:type="dxa"/>
            <w:vAlign w:val="bottom"/>
            <w:vMerge w:val="restart"/>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Average Summary</w:t>
            </w:r>
          </w:p>
        </w:tc>
        <w:tc>
          <w:tcPr>
            <w:tcW w:w="1240" w:type="dxa"/>
            <w:vAlign w:val="bottom"/>
            <w:vMerge w:val="restart"/>
            <w:shd w:val="clear" w:color="auto" w:fill="0079C1"/>
          </w:tcPr>
          <w:p>
            <w:pPr>
              <w:jc w:val="right"/>
              <w:spacing w:after="0"/>
              <w:rPr>
                <w:sz w:val="20"/>
                <w:szCs w:val="20"/>
                <w:color w:val="auto"/>
              </w:rPr>
            </w:pPr>
            <w:r>
              <w:rPr>
                <w:rFonts w:ascii="Arial" w:cs="Arial" w:eastAsia="Arial" w:hAnsi="Arial"/>
                <w:sz w:val="14"/>
                <w:szCs w:val="14"/>
                <w:b w:val="1"/>
                <w:bCs w:val="1"/>
                <w:color w:val="FFFFFF"/>
              </w:rPr>
              <w:t>Average</w:t>
            </w:r>
          </w:p>
        </w:tc>
        <w:tc>
          <w:tcPr>
            <w:tcW w:w="1220" w:type="dxa"/>
            <w:vAlign w:val="bottom"/>
            <w:shd w:val="clear" w:color="auto" w:fill="80BCE0"/>
          </w:tcPr>
          <w:p>
            <w:pPr>
              <w:spacing w:after="0"/>
              <w:rPr>
                <w:sz w:val="11"/>
                <w:szCs w:val="11"/>
                <w:color w:val="auto"/>
              </w:rPr>
            </w:pPr>
          </w:p>
        </w:tc>
        <w:tc>
          <w:tcPr>
            <w:tcW w:w="1240" w:type="dxa"/>
            <w:vAlign w:val="bottom"/>
            <w:shd w:val="clear" w:color="auto" w:fill="80BCE0"/>
          </w:tcPr>
          <w:p>
            <w:pPr>
              <w:spacing w:after="0"/>
              <w:rPr>
                <w:sz w:val="11"/>
                <w:szCs w:val="11"/>
                <w:color w:val="auto"/>
              </w:rPr>
            </w:pPr>
          </w:p>
        </w:tc>
        <w:tc>
          <w:tcPr>
            <w:tcW w:w="1180" w:type="dxa"/>
            <w:vAlign w:val="bottom"/>
            <w:shd w:val="clear" w:color="auto" w:fill="0079C1"/>
          </w:tcPr>
          <w:p>
            <w:pPr>
              <w:spacing w:after="0"/>
              <w:rPr>
                <w:sz w:val="11"/>
                <w:szCs w:val="11"/>
                <w:color w:val="auto"/>
              </w:rPr>
            </w:pPr>
          </w:p>
        </w:tc>
        <w:tc>
          <w:tcPr>
            <w:tcW w:w="1100" w:type="dxa"/>
            <w:vAlign w:val="bottom"/>
            <w:shd w:val="clear" w:color="auto" w:fill="0079C1"/>
          </w:tcPr>
          <w:p>
            <w:pPr>
              <w:spacing w:after="0"/>
              <w:rPr>
                <w:sz w:val="11"/>
                <w:szCs w:val="11"/>
                <w:color w:val="auto"/>
              </w:rPr>
            </w:pPr>
          </w:p>
        </w:tc>
        <w:tc>
          <w:tcPr>
            <w:tcW w:w="140" w:type="dxa"/>
            <w:vAlign w:val="bottom"/>
            <w:shd w:val="clear" w:color="auto" w:fill="0079C1"/>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100" w:type="dxa"/>
            <w:vAlign w:val="bottom"/>
            <w:shd w:val="clear" w:color="auto" w:fill="0079C1"/>
          </w:tcPr>
          <w:p>
            <w:pPr>
              <w:spacing w:after="0"/>
              <w:rPr>
                <w:sz w:val="17"/>
                <w:szCs w:val="17"/>
                <w:color w:val="auto"/>
              </w:rPr>
            </w:pPr>
          </w:p>
        </w:tc>
        <w:tc>
          <w:tcPr>
            <w:tcW w:w="1440" w:type="dxa"/>
            <w:vAlign w:val="bottom"/>
            <w:vMerge w:val="continue"/>
            <w:shd w:val="clear" w:color="auto" w:fill="0079C1"/>
          </w:tcPr>
          <w:p>
            <w:pPr>
              <w:spacing w:after="0"/>
              <w:rPr>
                <w:sz w:val="17"/>
                <w:szCs w:val="17"/>
                <w:color w:val="auto"/>
              </w:rPr>
            </w:pPr>
          </w:p>
        </w:tc>
        <w:tc>
          <w:tcPr>
            <w:tcW w:w="1200" w:type="dxa"/>
            <w:vAlign w:val="bottom"/>
            <w:shd w:val="clear" w:color="auto" w:fill="0079C1"/>
          </w:tcPr>
          <w:p>
            <w:pPr>
              <w:spacing w:after="0"/>
              <w:rPr>
                <w:sz w:val="17"/>
                <w:szCs w:val="17"/>
                <w:color w:val="auto"/>
              </w:rPr>
            </w:pPr>
          </w:p>
        </w:tc>
        <w:tc>
          <w:tcPr>
            <w:tcW w:w="1380" w:type="dxa"/>
            <w:vAlign w:val="bottom"/>
            <w:vMerge w:val="continue"/>
            <w:shd w:val="clear" w:color="auto" w:fill="0079C1"/>
          </w:tcPr>
          <w:p>
            <w:pPr>
              <w:spacing w:after="0"/>
              <w:rPr>
                <w:sz w:val="17"/>
                <w:szCs w:val="17"/>
                <w:color w:val="auto"/>
              </w:rPr>
            </w:pPr>
          </w:p>
        </w:tc>
        <w:tc>
          <w:tcPr>
            <w:tcW w:w="1240" w:type="dxa"/>
            <w:vAlign w:val="bottom"/>
            <w:vMerge w:val="continue"/>
            <w:shd w:val="clear" w:color="auto" w:fill="0079C1"/>
          </w:tcPr>
          <w:p>
            <w:pPr>
              <w:spacing w:after="0"/>
              <w:rPr>
                <w:sz w:val="17"/>
                <w:szCs w:val="17"/>
                <w:color w:val="auto"/>
              </w:rPr>
            </w:pPr>
          </w:p>
        </w:tc>
        <w:tc>
          <w:tcPr>
            <w:tcW w:w="1220" w:type="dxa"/>
            <w:vAlign w:val="bottom"/>
            <w:shd w:val="clear" w:color="auto" w:fill="0079C1"/>
          </w:tcPr>
          <w:p>
            <w:pPr>
              <w:spacing w:after="0"/>
              <w:rPr>
                <w:sz w:val="17"/>
                <w:szCs w:val="17"/>
                <w:color w:val="auto"/>
              </w:rPr>
            </w:pPr>
          </w:p>
        </w:tc>
        <w:tc>
          <w:tcPr>
            <w:tcW w:w="1240" w:type="dxa"/>
            <w:vAlign w:val="bottom"/>
            <w:shd w:val="clear" w:color="auto" w:fill="0079C1"/>
          </w:tcPr>
          <w:p>
            <w:pPr>
              <w:spacing w:after="0"/>
              <w:rPr>
                <w:sz w:val="17"/>
                <w:szCs w:val="17"/>
                <w:color w:val="auto"/>
              </w:rPr>
            </w:pPr>
          </w:p>
        </w:tc>
        <w:tc>
          <w:tcPr>
            <w:tcW w:w="1180" w:type="dxa"/>
            <w:vAlign w:val="bottom"/>
            <w:shd w:val="clear" w:color="auto" w:fill="0079C1"/>
          </w:tcPr>
          <w:p>
            <w:pPr>
              <w:spacing w:after="0"/>
              <w:rPr>
                <w:sz w:val="17"/>
                <w:szCs w:val="17"/>
                <w:color w:val="auto"/>
              </w:rPr>
            </w:pPr>
          </w:p>
        </w:tc>
        <w:tc>
          <w:tcPr>
            <w:tcW w:w="1100" w:type="dxa"/>
            <w:vAlign w:val="bottom"/>
            <w:shd w:val="clear" w:color="auto" w:fill="0079C1"/>
          </w:tcPr>
          <w:p>
            <w:pPr>
              <w:spacing w:after="0"/>
              <w:rPr>
                <w:sz w:val="17"/>
                <w:szCs w:val="17"/>
                <w:color w:val="auto"/>
              </w:rPr>
            </w:pPr>
          </w:p>
        </w:tc>
        <w:tc>
          <w:tcPr>
            <w:tcW w:w="140" w:type="dxa"/>
            <w:vAlign w:val="bottom"/>
            <w:shd w:val="clear" w:color="auto" w:fill="0079C1"/>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0079C1"/>
          </w:tcPr>
          <w:p>
            <w:pPr>
              <w:spacing w:after="0"/>
              <w:rPr>
                <w:sz w:val="15"/>
                <w:szCs w:val="15"/>
                <w:color w:val="auto"/>
              </w:rPr>
            </w:pPr>
          </w:p>
        </w:tc>
        <w:tc>
          <w:tcPr>
            <w:tcW w:w="144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Total</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Peer Group Total</w:t>
            </w:r>
          </w:p>
        </w:tc>
        <w:tc>
          <w:tcPr>
            <w:tcW w:w="1180" w:type="dxa"/>
            <w:vAlign w:val="bottom"/>
            <w:vMerge w:val="restart"/>
            <w:shd w:val="clear" w:color="auto" w:fill="0079C1"/>
          </w:tcPr>
          <w:p>
            <w:pPr>
              <w:jc w:val="right"/>
              <w:spacing w:after="0"/>
              <w:rPr>
                <w:sz w:val="20"/>
                <w:szCs w:val="20"/>
                <w:color w:val="auto"/>
              </w:rPr>
            </w:pPr>
            <w:r>
              <w:rPr>
                <w:rFonts w:ascii="Arial" w:cs="Arial" w:eastAsia="Arial" w:hAnsi="Arial"/>
                <w:sz w:val="14"/>
                <w:szCs w:val="14"/>
                <w:b w:val="1"/>
                <w:bCs w:val="1"/>
                <w:color w:val="FFFFFF"/>
              </w:rPr>
              <w:t>Net Income</w:t>
            </w:r>
          </w:p>
        </w:tc>
        <w:tc>
          <w:tcPr>
            <w:tcW w:w="1100" w:type="dxa"/>
            <w:vAlign w:val="bottom"/>
            <w:vMerge w:val="restart"/>
            <w:shd w:val="clear" w:color="auto" w:fill="0079C1"/>
          </w:tcPr>
          <w:p>
            <w:pPr>
              <w:jc w:val="right"/>
              <w:spacing w:after="0"/>
              <w:rPr>
                <w:sz w:val="20"/>
                <w:szCs w:val="20"/>
                <w:color w:val="auto"/>
              </w:rPr>
            </w:pPr>
            <w:r>
              <w:rPr>
                <w:rFonts w:ascii="Arial" w:cs="Arial" w:eastAsia="Arial" w:hAnsi="Arial"/>
                <w:sz w:val="14"/>
                <w:szCs w:val="14"/>
                <w:b w:val="1"/>
                <w:bCs w:val="1"/>
                <w:color w:val="FFFFFF"/>
              </w:rPr>
              <w:t>Revenue</w:t>
            </w:r>
          </w:p>
        </w:tc>
        <w:tc>
          <w:tcPr>
            <w:tcW w:w="140" w:type="dxa"/>
            <w:vAlign w:val="bottom"/>
            <w:shd w:val="clear" w:color="auto" w:fill="0079C1"/>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00" w:type="dxa"/>
            <w:vAlign w:val="bottom"/>
            <w:shd w:val="clear" w:color="auto" w:fill="0079C1"/>
          </w:tcPr>
          <w:p>
            <w:pPr>
              <w:spacing w:after="0"/>
              <w:rPr>
                <w:sz w:val="13"/>
                <w:szCs w:val="13"/>
                <w:color w:val="auto"/>
              </w:rPr>
            </w:pPr>
          </w:p>
        </w:tc>
        <w:tc>
          <w:tcPr>
            <w:tcW w:w="1440" w:type="dxa"/>
            <w:vAlign w:val="bottom"/>
            <w:shd w:val="clear" w:color="auto" w:fill="0079C1"/>
          </w:tcPr>
          <w:p>
            <w:pPr>
              <w:jc w:val="right"/>
              <w:ind w:right="28"/>
              <w:spacing w:after="0" w:line="159" w:lineRule="exact"/>
              <w:rPr>
                <w:sz w:val="20"/>
                <w:szCs w:val="20"/>
                <w:color w:val="auto"/>
              </w:rPr>
            </w:pPr>
            <w:r>
              <w:rPr>
                <w:rFonts w:ascii="Arial" w:cs="Arial" w:eastAsia="Arial" w:hAnsi="Arial"/>
                <w:sz w:val="14"/>
                <w:szCs w:val="14"/>
                <w:b w:val="1"/>
                <w:bCs w:val="1"/>
                <w:color w:val="FFFFFF"/>
              </w:rPr>
              <w:t>Table Total for</w:t>
            </w:r>
          </w:p>
        </w:tc>
        <w:tc>
          <w:tcPr>
            <w:tcW w:w="1200" w:type="dxa"/>
            <w:vAlign w:val="bottom"/>
            <w:shd w:val="clear" w:color="auto" w:fill="0079C1"/>
          </w:tcPr>
          <w:p>
            <w:pPr>
              <w:jc w:val="right"/>
              <w:spacing w:after="0" w:line="159" w:lineRule="exact"/>
              <w:rPr>
                <w:sz w:val="20"/>
                <w:szCs w:val="20"/>
                <w:color w:val="auto"/>
              </w:rPr>
            </w:pPr>
            <w:r>
              <w:rPr>
                <w:rFonts w:ascii="Arial" w:cs="Arial" w:eastAsia="Arial" w:hAnsi="Arial"/>
                <w:sz w:val="14"/>
                <w:szCs w:val="14"/>
                <w:b w:val="1"/>
                <w:bCs w:val="1"/>
                <w:color w:val="FFFFFF"/>
              </w:rPr>
              <w:t>Actually Paid to</w:t>
            </w:r>
          </w:p>
        </w:tc>
        <w:tc>
          <w:tcPr>
            <w:tcW w:w="1380" w:type="dxa"/>
            <w:vAlign w:val="bottom"/>
            <w:shd w:val="clear" w:color="auto" w:fill="0079C1"/>
          </w:tcPr>
          <w:p>
            <w:pPr>
              <w:jc w:val="right"/>
              <w:ind w:right="8"/>
              <w:spacing w:after="0" w:line="159" w:lineRule="exact"/>
              <w:rPr>
                <w:sz w:val="20"/>
                <w:szCs w:val="20"/>
                <w:color w:val="auto"/>
              </w:rPr>
            </w:pPr>
            <w:r>
              <w:rPr>
                <w:rFonts w:ascii="Arial" w:cs="Arial" w:eastAsia="Arial" w:hAnsi="Arial"/>
                <w:sz w:val="14"/>
                <w:szCs w:val="14"/>
                <w:b w:val="1"/>
                <w:bCs w:val="1"/>
                <w:color w:val="FFFFFF"/>
              </w:rPr>
              <w:t>Table Total for</w:t>
            </w:r>
          </w:p>
        </w:tc>
        <w:tc>
          <w:tcPr>
            <w:tcW w:w="1240" w:type="dxa"/>
            <w:vAlign w:val="bottom"/>
            <w:shd w:val="clear" w:color="auto" w:fill="0079C1"/>
          </w:tcPr>
          <w:p>
            <w:pPr>
              <w:jc w:val="right"/>
              <w:spacing w:after="0" w:line="159" w:lineRule="exact"/>
              <w:rPr>
                <w:sz w:val="20"/>
                <w:szCs w:val="20"/>
                <w:color w:val="auto"/>
              </w:rPr>
            </w:pPr>
            <w:r>
              <w:rPr>
                <w:rFonts w:ascii="Arial" w:cs="Arial" w:eastAsia="Arial" w:hAnsi="Arial"/>
                <w:sz w:val="14"/>
                <w:szCs w:val="14"/>
                <w:b w:val="1"/>
                <w:bCs w:val="1"/>
                <w:color w:val="FFFFFF"/>
              </w:rPr>
              <w:t>Actually Paid to</w:t>
            </w:r>
          </w:p>
        </w:tc>
        <w:tc>
          <w:tcPr>
            <w:tcW w:w="1220" w:type="dxa"/>
            <w:vAlign w:val="bottom"/>
            <w:shd w:val="clear" w:color="auto" w:fill="0079C1"/>
          </w:tcPr>
          <w:p>
            <w:pPr>
              <w:jc w:val="right"/>
              <w:spacing w:after="0" w:line="159" w:lineRule="exact"/>
              <w:rPr>
                <w:sz w:val="20"/>
                <w:szCs w:val="20"/>
                <w:color w:val="auto"/>
              </w:rPr>
            </w:pPr>
            <w:r>
              <w:rPr>
                <w:rFonts w:ascii="Arial" w:cs="Arial" w:eastAsia="Arial" w:hAnsi="Arial"/>
                <w:sz w:val="14"/>
                <w:szCs w:val="14"/>
                <w:b w:val="1"/>
                <w:bCs w:val="1"/>
                <w:color w:val="FFFFFF"/>
              </w:rPr>
              <w:t>Stockholder</w:t>
            </w:r>
          </w:p>
        </w:tc>
        <w:tc>
          <w:tcPr>
            <w:tcW w:w="1240" w:type="dxa"/>
            <w:vAlign w:val="bottom"/>
            <w:shd w:val="clear" w:color="auto" w:fill="0079C1"/>
          </w:tcPr>
          <w:p>
            <w:pPr>
              <w:jc w:val="right"/>
              <w:spacing w:after="0" w:line="159" w:lineRule="exact"/>
              <w:rPr>
                <w:sz w:val="20"/>
                <w:szCs w:val="20"/>
                <w:color w:val="auto"/>
              </w:rPr>
            </w:pPr>
            <w:r>
              <w:rPr>
                <w:rFonts w:ascii="Arial" w:cs="Arial" w:eastAsia="Arial" w:hAnsi="Arial"/>
                <w:sz w:val="14"/>
                <w:szCs w:val="14"/>
                <w:b w:val="1"/>
                <w:bCs w:val="1"/>
                <w:color w:val="FFFFFF"/>
              </w:rPr>
              <w:t>Stockholder</w:t>
            </w:r>
          </w:p>
        </w:tc>
        <w:tc>
          <w:tcPr>
            <w:tcW w:w="1180" w:type="dxa"/>
            <w:vAlign w:val="bottom"/>
            <w:vMerge w:val="continue"/>
            <w:shd w:val="clear" w:color="auto" w:fill="0079C1"/>
          </w:tcPr>
          <w:p>
            <w:pPr>
              <w:spacing w:after="0"/>
              <w:rPr>
                <w:sz w:val="13"/>
                <w:szCs w:val="13"/>
                <w:color w:val="auto"/>
              </w:rPr>
            </w:pPr>
          </w:p>
        </w:tc>
        <w:tc>
          <w:tcPr>
            <w:tcW w:w="1100" w:type="dxa"/>
            <w:vAlign w:val="bottom"/>
            <w:vMerge w:val="continue"/>
            <w:shd w:val="clear" w:color="auto" w:fill="0079C1"/>
          </w:tcPr>
          <w:p>
            <w:pPr>
              <w:spacing w:after="0"/>
              <w:rPr>
                <w:sz w:val="13"/>
                <w:szCs w:val="13"/>
                <w:color w:val="auto"/>
              </w:rPr>
            </w:pPr>
          </w:p>
        </w:tc>
        <w:tc>
          <w:tcPr>
            <w:tcW w:w="140" w:type="dxa"/>
            <w:vAlign w:val="bottom"/>
            <w:shd w:val="clear" w:color="auto" w:fill="0079C1"/>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0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Year</w:t>
            </w:r>
          </w:p>
        </w:tc>
        <w:tc>
          <w:tcPr>
            <w:tcW w:w="144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1</w:t>
            </w:r>
          </w:p>
        </w:tc>
        <w:tc>
          <w:tcPr>
            <w:tcW w:w="120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2</w:t>
            </w:r>
          </w:p>
        </w:tc>
        <w:tc>
          <w:tcPr>
            <w:tcW w:w="1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8"/>
                <w:szCs w:val="18"/>
                <w:b w:val="1"/>
                <w:bCs w:val="1"/>
                <w:color w:val="FFFFFF"/>
                <w:vertAlign w:val="superscript"/>
              </w:rPr>
              <w:t>3</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8"/>
                <w:szCs w:val="18"/>
                <w:b w:val="1"/>
                <w:bCs w:val="1"/>
                <w:color w:val="FFFFFF"/>
                <w:vertAlign w:val="superscript"/>
              </w:rPr>
              <w:t>4</w:t>
            </w:r>
          </w:p>
        </w:tc>
        <w:tc>
          <w:tcPr>
            <w:tcW w:w="12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5</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6</w:t>
            </w:r>
          </w:p>
        </w:tc>
        <w:tc>
          <w:tcPr>
            <w:tcW w:w="11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(millions)</w:t>
            </w:r>
            <w:r>
              <w:rPr>
                <w:rFonts w:ascii="Arial" w:cs="Arial" w:eastAsia="Arial" w:hAnsi="Arial"/>
                <w:sz w:val="18"/>
                <w:szCs w:val="18"/>
                <w:b w:val="1"/>
                <w:bCs w:val="1"/>
                <w:color w:val="FFFFFF"/>
                <w:vertAlign w:val="superscript"/>
              </w:rPr>
              <w:t>7</w:t>
            </w:r>
          </w:p>
        </w:tc>
        <w:tc>
          <w:tcPr>
            <w:tcW w:w="110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(millions)</w:t>
            </w:r>
            <w:r>
              <w:rPr>
                <w:rFonts w:ascii="Arial" w:cs="Arial" w:eastAsia="Arial" w:hAnsi="Arial"/>
                <w:sz w:val="18"/>
                <w:szCs w:val="18"/>
                <w:b w:val="1"/>
                <w:bCs w:val="1"/>
                <w:color w:val="FFFFFF"/>
                <w:vertAlign w:val="superscript"/>
              </w:rPr>
              <w:t>8</w:t>
            </w:r>
          </w:p>
        </w:tc>
        <w:tc>
          <w:tcPr>
            <w:tcW w:w="140" w:type="dxa"/>
            <w:vAlign w:val="bottom"/>
            <w:shd w:val="clear" w:color="auto" w:fill="0079C1"/>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00" w:type="dxa"/>
            <w:vAlign w:val="bottom"/>
            <w:shd w:val="clear" w:color="auto" w:fill="0079C1"/>
          </w:tcPr>
          <w:p>
            <w:pPr>
              <w:spacing w:after="0"/>
              <w:rPr>
                <w:sz w:val="8"/>
                <w:szCs w:val="8"/>
                <w:color w:val="auto"/>
              </w:rPr>
            </w:pPr>
          </w:p>
        </w:tc>
        <w:tc>
          <w:tcPr>
            <w:tcW w:w="1440" w:type="dxa"/>
            <w:vAlign w:val="bottom"/>
            <w:shd w:val="clear" w:color="auto" w:fill="0079C1"/>
          </w:tcPr>
          <w:p>
            <w:pPr>
              <w:spacing w:after="0"/>
              <w:rPr>
                <w:sz w:val="8"/>
                <w:szCs w:val="8"/>
                <w:color w:val="auto"/>
              </w:rPr>
            </w:pPr>
          </w:p>
        </w:tc>
        <w:tc>
          <w:tcPr>
            <w:tcW w:w="1200" w:type="dxa"/>
            <w:vAlign w:val="bottom"/>
            <w:shd w:val="clear" w:color="auto" w:fill="0079C1"/>
          </w:tcPr>
          <w:p>
            <w:pPr>
              <w:spacing w:after="0"/>
              <w:rPr>
                <w:sz w:val="8"/>
                <w:szCs w:val="8"/>
                <w:color w:val="auto"/>
              </w:rPr>
            </w:pPr>
          </w:p>
        </w:tc>
        <w:tc>
          <w:tcPr>
            <w:tcW w:w="1380" w:type="dxa"/>
            <w:vAlign w:val="bottom"/>
            <w:shd w:val="clear" w:color="auto" w:fill="0079C1"/>
          </w:tcPr>
          <w:p>
            <w:pPr>
              <w:spacing w:after="0"/>
              <w:rPr>
                <w:sz w:val="8"/>
                <w:szCs w:val="8"/>
                <w:color w:val="auto"/>
              </w:rPr>
            </w:pPr>
          </w:p>
        </w:tc>
        <w:tc>
          <w:tcPr>
            <w:tcW w:w="1240" w:type="dxa"/>
            <w:vAlign w:val="bottom"/>
            <w:shd w:val="clear" w:color="auto" w:fill="0079C1"/>
          </w:tcPr>
          <w:p>
            <w:pPr>
              <w:spacing w:after="0"/>
              <w:rPr>
                <w:sz w:val="8"/>
                <w:szCs w:val="8"/>
                <w:color w:val="auto"/>
              </w:rPr>
            </w:pPr>
          </w:p>
        </w:tc>
        <w:tc>
          <w:tcPr>
            <w:tcW w:w="1220" w:type="dxa"/>
            <w:vAlign w:val="bottom"/>
            <w:shd w:val="clear" w:color="auto" w:fill="0079C1"/>
          </w:tcPr>
          <w:p>
            <w:pPr>
              <w:spacing w:after="0"/>
              <w:rPr>
                <w:sz w:val="8"/>
                <w:szCs w:val="8"/>
                <w:color w:val="auto"/>
              </w:rPr>
            </w:pPr>
          </w:p>
        </w:tc>
        <w:tc>
          <w:tcPr>
            <w:tcW w:w="1240" w:type="dxa"/>
            <w:vAlign w:val="bottom"/>
            <w:shd w:val="clear" w:color="auto" w:fill="0079C1"/>
          </w:tcPr>
          <w:p>
            <w:pPr>
              <w:spacing w:after="0"/>
              <w:rPr>
                <w:sz w:val="8"/>
                <w:szCs w:val="8"/>
                <w:color w:val="auto"/>
              </w:rPr>
            </w:pPr>
          </w:p>
        </w:tc>
        <w:tc>
          <w:tcPr>
            <w:tcW w:w="1180" w:type="dxa"/>
            <w:vAlign w:val="bottom"/>
            <w:shd w:val="clear" w:color="auto" w:fill="0079C1"/>
          </w:tcPr>
          <w:p>
            <w:pPr>
              <w:spacing w:after="0"/>
              <w:rPr>
                <w:sz w:val="8"/>
                <w:szCs w:val="8"/>
                <w:color w:val="auto"/>
              </w:rPr>
            </w:pPr>
          </w:p>
        </w:tc>
        <w:tc>
          <w:tcPr>
            <w:tcW w:w="1100" w:type="dxa"/>
            <w:vAlign w:val="bottom"/>
            <w:shd w:val="clear" w:color="auto" w:fill="0079C1"/>
          </w:tcPr>
          <w:p>
            <w:pPr>
              <w:spacing w:after="0"/>
              <w:rPr>
                <w:sz w:val="8"/>
                <w:szCs w:val="8"/>
                <w:color w:val="auto"/>
              </w:rPr>
            </w:pPr>
          </w:p>
        </w:tc>
        <w:tc>
          <w:tcPr>
            <w:tcW w:w="140" w:type="dxa"/>
            <w:vAlign w:val="bottom"/>
            <w:shd w:val="clear" w:color="auto" w:fill="0079C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2025</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$632,769</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$59,473,472</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$422,468</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$9,613,916</w:t>
            </w:r>
          </w:p>
        </w:tc>
        <w:tc>
          <w:tcPr>
            <w:tcW w:w="1220" w:type="dxa"/>
            <w:vAlign w:val="bottom"/>
          </w:tcPr>
          <w:p>
            <w:pPr>
              <w:jc w:val="right"/>
              <w:spacing w:after="0"/>
              <w:rPr>
                <w:sz w:val="20"/>
                <w:szCs w:val="20"/>
                <w:color w:val="auto"/>
              </w:rPr>
            </w:pPr>
            <w:r>
              <w:rPr>
                <w:rFonts w:ascii="Arial" w:cs="Arial" w:eastAsia="Arial" w:hAnsi="Arial"/>
                <w:sz w:val="14"/>
                <w:szCs w:val="14"/>
                <w:color w:val="auto"/>
              </w:rPr>
              <w:t>$146</w:t>
            </w:r>
          </w:p>
        </w:tc>
        <w:tc>
          <w:tcPr>
            <w:tcW w:w="1240" w:type="dxa"/>
            <w:vAlign w:val="bottom"/>
          </w:tcPr>
          <w:p>
            <w:pPr>
              <w:jc w:val="right"/>
              <w:spacing w:after="0"/>
              <w:rPr>
                <w:sz w:val="20"/>
                <w:szCs w:val="20"/>
                <w:color w:val="auto"/>
              </w:rPr>
            </w:pPr>
            <w:r>
              <w:rPr>
                <w:rFonts w:ascii="Arial" w:cs="Arial" w:eastAsia="Arial" w:hAnsi="Arial"/>
                <w:sz w:val="14"/>
                <w:szCs w:val="14"/>
                <w:color w:val="auto"/>
              </w:rPr>
              <w:t>$176</w:t>
            </w:r>
          </w:p>
        </w:tc>
        <w:tc>
          <w:tcPr>
            <w:tcW w:w="1180" w:type="dxa"/>
            <w:vAlign w:val="bottom"/>
          </w:tcPr>
          <w:p>
            <w:pPr>
              <w:jc w:val="right"/>
              <w:spacing w:after="0"/>
              <w:rPr>
                <w:sz w:val="20"/>
                <w:szCs w:val="20"/>
                <w:color w:val="auto"/>
              </w:rPr>
            </w:pPr>
            <w:r>
              <w:rPr>
                <w:rFonts w:ascii="Arial" w:cs="Arial" w:eastAsia="Arial" w:hAnsi="Arial"/>
                <w:sz w:val="14"/>
                <w:szCs w:val="14"/>
                <w:color w:val="auto"/>
              </w:rPr>
              <w:t>$122</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$901.3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2024</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$498,607</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($13,612,486)</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$357,974</w:t>
            </w:r>
          </w:p>
        </w:tc>
        <w:tc>
          <w:tcPr>
            <w:tcW w:w="1240" w:type="dxa"/>
            <w:vAlign w:val="bottom"/>
          </w:tcPr>
          <w:p>
            <w:pPr>
              <w:jc w:val="right"/>
              <w:spacing w:after="0"/>
              <w:rPr>
                <w:sz w:val="20"/>
                <w:szCs w:val="20"/>
                <w:color w:val="auto"/>
              </w:rPr>
            </w:pPr>
            <w:r>
              <w:rPr>
                <w:rFonts w:ascii="Arial" w:cs="Arial" w:eastAsia="Arial" w:hAnsi="Arial"/>
                <w:sz w:val="14"/>
                <w:szCs w:val="14"/>
                <w:color w:val="auto"/>
              </w:rPr>
              <w:t>($938,422)</w:t>
            </w: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c>
          <w:tcPr>
            <w:tcW w:w="1240" w:type="dxa"/>
            <w:vAlign w:val="bottom"/>
          </w:tcPr>
          <w:p>
            <w:pPr>
              <w:jc w:val="right"/>
              <w:spacing w:after="0"/>
              <w:rPr>
                <w:sz w:val="20"/>
                <w:szCs w:val="20"/>
                <w:color w:val="auto"/>
              </w:rPr>
            </w:pPr>
            <w:r>
              <w:rPr>
                <w:rFonts w:ascii="Arial" w:cs="Arial" w:eastAsia="Arial" w:hAnsi="Arial"/>
                <w:sz w:val="14"/>
                <w:szCs w:val="14"/>
                <w:color w:val="auto"/>
              </w:rPr>
              <w:t>$152</w:t>
            </w:r>
          </w:p>
        </w:tc>
        <w:tc>
          <w:tcPr>
            <w:tcW w:w="1180" w:type="dxa"/>
            <w:vAlign w:val="bottom"/>
          </w:tcPr>
          <w:p>
            <w:pPr>
              <w:jc w:val="right"/>
              <w:spacing w:after="0"/>
              <w:rPr>
                <w:sz w:val="20"/>
                <w:szCs w:val="20"/>
                <w:color w:val="auto"/>
              </w:rPr>
            </w:pPr>
            <w:r>
              <w:rPr>
                <w:rFonts w:ascii="Arial" w:cs="Arial" w:eastAsia="Arial" w:hAnsi="Arial"/>
                <w:sz w:val="14"/>
                <w:szCs w:val="14"/>
                <w:color w:val="auto"/>
              </w:rPr>
              <w:t>$131</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2023</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$23,533,975</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$39,640,249</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$5,041,649</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$6,772,362</w:t>
            </w:r>
          </w:p>
        </w:tc>
        <w:tc>
          <w:tcPr>
            <w:tcW w:w="1220" w:type="dxa"/>
            <w:vAlign w:val="bottom"/>
          </w:tcPr>
          <w:p>
            <w:pPr>
              <w:jc w:val="right"/>
              <w:spacing w:after="0"/>
              <w:rPr>
                <w:sz w:val="20"/>
                <w:szCs w:val="20"/>
                <w:color w:val="auto"/>
              </w:rPr>
            </w:pPr>
            <w:r>
              <w:rPr>
                <w:rFonts w:ascii="Arial" w:cs="Arial" w:eastAsia="Arial" w:hAnsi="Arial"/>
                <w:sz w:val="14"/>
                <w:szCs w:val="14"/>
                <w:color w:val="auto"/>
              </w:rPr>
              <w:t>$72</w:t>
            </w:r>
          </w:p>
        </w:tc>
        <w:tc>
          <w:tcPr>
            <w:tcW w:w="1240" w:type="dxa"/>
            <w:vAlign w:val="bottom"/>
          </w:tcPr>
          <w:p>
            <w:pPr>
              <w:jc w:val="right"/>
              <w:spacing w:after="0"/>
              <w:rPr>
                <w:sz w:val="20"/>
                <w:szCs w:val="20"/>
                <w:color w:val="auto"/>
              </w:rPr>
            </w:pPr>
            <w:r>
              <w:rPr>
                <w:rFonts w:ascii="Arial" w:cs="Arial" w:eastAsia="Arial" w:hAnsi="Arial"/>
                <w:sz w:val="14"/>
                <w:szCs w:val="14"/>
                <w:color w:val="auto"/>
              </w:rPr>
              <w:t>$124</w:t>
            </w:r>
          </w:p>
        </w:tc>
        <w:tc>
          <w:tcPr>
            <w:tcW w:w="1180" w:type="dxa"/>
            <w:vAlign w:val="bottom"/>
          </w:tcPr>
          <w:p>
            <w:pPr>
              <w:jc w:val="right"/>
              <w:spacing w:after="0"/>
              <w:rPr>
                <w:sz w:val="20"/>
                <w:szCs w:val="20"/>
                <w:color w:val="auto"/>
              </w:rPr>
            </w:pPr>
            <w:r>
              <w:rPr>
                <w:rFonts w:ascii="Arial" w:cs="Arial" w:eastAsia="Arial" w:hAnsi="Arial"/>
                <w:sz w:val="14"/>
                <w:szCs w:val="14"/>
                <w:color w:val="auto"/>
              </w:rPr>
              <w:t>$97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$558.0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$404,982</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($20,877,170)</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$1,114,059</w:t>
            </w:r>
          </w:p>
        </w:tc>
        <w:tc>
          <w:tcPr>
            <w:tcW w:w="1240" w:type="dxa"/>
            <w:vAlign w:val="bottom"/>
          </w:tcPr>
          <w:p>
            <w:pPr>
              <w:jc w:val="right"/>
              <w:spacing w:after="0"/>
              <w:rPr>
                <w:sz w:val="20"/>
                <w:szCs w:val="20"/>
                <w:color w:val="auto"/>
              </w:rPr>
            </w:pPr>
            <w:r>
              <w:rPr>
                <w:rFonts w:ascii="Arial" w:cs="Arial" w:eastAsia="Arial" w:hAnsi="Arial"/>
                <w:sz w:val="14"/>
                <w:szCs w:val="14"/>
                <w:color w:val="auto"/>
              </w:rPr>
              <w:t>($1,948,838)</w:t>
            </w: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1240" w:type="dxa"/>
            <w:vAlign w:val="bottom"/>
          </w:tcPr>
          <w:p>
            <w:pPr>
              <w:jc w:val="right"/>
              <w:spacing w:after="0"/>
              <w:rPr>
                <w:sz w:val="20"/>
                <w:szCs w:val="20"/>
                <w:color w:val="auto"/>
              </w:rPr>
            </w:pPr>
            <w:r>
              <w:rPr>
                <w:rFonts w:ascii="Arial" w:cs="Arial" w:eastAsia="Arial" w:hAnsi="Arial"/>
                <w:sz w:val="14"/>
                <w:szCs w:val="14"/>
                <w:color w:val="auto"/>
              </w:rPr>
              <w:t>$83</w:t>
            </w: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$398,876</w:t>
            </w:r>
          </w:p>
        </w:tc>
        <w:tc>
          <w:tcPr>
            <w:tcW w:w="1200" w:type="dxa"/>
            <w:vAlign w:val="bottom"/>
          </w:tcPr>
          <w:p>
            <w:pPr>
              <w:jc w:val="center"/>
              <w:ind w:left="168"/>
              <w:spacing w:after="0"/>
              <w:rPr>
                <w:sz w:val="20"/>
                <w:szCs w:val="20"/>
                <w:color w:val="auto"/>
              </w:rPr>
            </w:pPr>
            <w:r>
              <w:rPr>
                <w:rFonts w:ascii="Arial" w:cs="Arial" w:eastAsia="Arial" w:hAnsi="Arial"/>
                <w:sz w:val="14"/>
                <w:szCs w:val="14"/>
                <w:color w:val="auto"/>
              </w:rPr>
              <w:t>$10,772,637</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$240,810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$4,119,010</w:t>
            </w:r>
          </w:p>
        </w:tc>
        <w:tc>
          <w:tcPr>
            <w:tcW w:w="1220" w:type="dxa"/>
            <w:vAlign w:val="bottom"/>
          </w:tcPr>
          <w:p>
            <w:pPr>
              <w:jc w:val="right"/>
              <w:spacing w:after="0"/>
              <w:rPr>
                <w:sz w:val="20"/>
                <w:szCs w:val="20"/>
                <w:color w:val="auto"/>
              </w:rPr>
            </w:pPr>
            <w:r>
              <w:rPr>
                <w:rFonts w:ascii="Arial" w:cs="Arial" w:eastAsia="Arial" w:hAnsi="Arial"/>
                <w:sz w:val="14"/>
                <w:szCs w:val="14"/>
                <w:color w:val="auto"/>
              </w:rPr>
              <w:t>$105</w:t>
            </w:r>
          </w:p>
        </w:tc>
        <w:tc>
          <w:tcPr>
            <w:tcW w:w="1240" w:type="dxa"/>
            <w:vAlign w:val="bottom"/>
          </w:tcPr>
          <w:p>
            <w:pPr>
              <w:jc w:val="right"/>
              <w:spacing w:after="0"/>
              <w:rPr>
                <w:sz w:val="20"/>
                <w:szCs w:val="20"/>
                <w:color w:val="auto"/>
              </w:rPr>
            </w:pPr>
            <w:r>
              <w:rPr>
                <w:rFonts w:ascii="Arial" w:cs="Arial" w:eastAsia="Arial" w:hAnsi="Arial"/>
                <w:sz w:val="14"/>
                <w:szCs w:val="14"/>
                <w:color w:val="auto"/>
              </w:rPr>
              <w:t>$106</w:t>
            </w:r>
          </w:p>
        </w:tc>
        <w:tc>
          <w:tcPr>
            <w:tcW w:w="1180" w:type="dxa"/>
            <w:vAlign w:val="bottom"/>
          </w:tcPr>
          <w:p>
            <w:pPr>
              <w:jc w:val="right"/>
              <w:spacing w:after="0"/>
              <w:rPr>
                <w:sz w:val="20"/>
                <w:szCs w:val="20"/>
                <w:color w:val="auto"/>
              </w:rPr>
            </w:pPr>
            <w:r>
              <w:rPr>
                <w:rFonts w:ascii="Arial" w:cs="Arial" w:eastAsia="Arial" w:hAnsi="Arial"/>
                <w:sz w:val="14"/>
                <w:szCs w:val="14"/>
                <w:color w:val="auto"/>
              </w:rPr>
              <w:t>$43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100" w:type="dxa"/>
            <w:vAlign w:val="bottom"/>
            <w:tcBorders>
              <w:bottom w:val="single" w:sz="8" w:color="0079C1"/>
            </w:tcBorders>
          </w:tcPr>
          <w:p>
            <w:pPr>
              <w:spacing w:after="0"/>
              <w:rPr>
                <w:sz w:val="4"/>
                <w:szCs w:val="4"/>
                <w:color w:val="auto"/>
              </w:rPr>
            </w:pPr>
          </w:p>
        </w:tc>
        <w:tc>
          <w:tcPr>
            <w:tcW w:w="1440" w:type="dxa"/>
            <w:vAlign w:val="bottom"/>
            <w:tcBorders>
              <w:bottom w:val="single" w:sz="8" w:color="0079C1"/>
            </w:tcBorders>
          </w:tcPr>
          <w:p>
            <w:pPr>
              <w:spacing w:after="0"/>
              <w:rPr>
                <w:sz w:val="4"/>
                <w:szCs w:val="4"/>
                <w:color w:val="auto"/>
              </w:rPr>
            </w:pPr>
          </w:p>
        </w:tc>
        <w:tc>
          <w:tcPr>
            <w:tcW w:w="1200" w:type="dxa"/>
            <w:vAlign w:val="bottom"/>
            <w:tcBorders>
              <w:bottom w:val="single" w:sz="8" w:color="0079C1"/>
            </w:tcBorders>
          </w:tcPr>
          <w:p>
            <w:pPr>
              <w:spacing w:after="0"/>
              <w:rPr>
                <w:sz w:val="4"/>
                <w:szCs w:val="4"/>
                <w:color w:val="auto"/>
              </w:rPr>
            </w:pPr>
          </w:p>
        </w:tc>
        <w:tc>
          <w:tcPr>
            <w:tcW w:w="1380" w:type="dxa"/>
            <w:vAlign w:val="bottom"/>
            <w:tcBorders>
              <w:bottom w:val="single" w:sz="8" w:color="0079C1"/>
            </w:tcBorders>
          </w:tcPr>
          <w:p>
            <w:pPr>
              <w:spacing w:after="0"/>
              <w:rPr>
                <w:sz w:val="4"/>
                <w:szCs w:val="4"/>
                <w:color w:val="auto"/>
              </w:rPr>
            </w:pPr>
          </w:p>
        </w:tc>
        <w:tc>
          <w:tcPr>
            <w:tcW w:w="1240" w:type="dxa"/>
            <w:vAlign w:val="bottom"/>
            <w:tcBorders>
              <w:bottom w:val="single" w:sz="8" w:color="0079C1"/>
            </w:tcBorders>
          </w:tcPr>
          <w:p>
            <w:pPr>
              <w:spacing w:after="0"/>
              <w:rPr>
                <w:sz w:val="4"/>
                <w:szCs w:val="4"/>
                <w:color w:val="auto"/>
              </w:rPr>
            </w:pPr>
          </w:p>
        </w:tc>
        <w:tc>
          <w:tcPr>
            <w:tcW w:w="1220" w:type="dxa"/>
            <w:vAlign w:val="bottom"/>
            <w:tcBorders>
              <w:bottom w:val="single" w:sz="8" w:color="0079C1"/>
            </w:tcBorders>
          </w:tcPr>
          <w:p>
            <w:pPr>
              <w:spacing w:after="0"/>
              <w:rPr>
                <w:sz w:val="4"/>
                <w:szCs w:val="4"/>
                <w:color w:val="auto"/>
              </w:rPr>
            </w:pPr>
          </w:p>
        </w:tc>
        <w:tc>
          <w:tcPr>
            <w:tcW w:w="1240" w:type="dxa"/>
            <w:vAlign w:val="bottom"/>
            <w:tcBorders>
              <w:bottom w:val="single" w:sz="8" w:color="0079C1"/>
            </w:tcBorders>
          </w:tcPr>
          <w:p>
            <w:pPr>
              <w:spacing w:after="0"/>
              <w:rPr>
                <w:sz w:val="4"/>
                <w:szCs w:val="4"/>
                <w:color w:val="auto"/>
              </w:rPr>
            </w:pPr>
          </w:p>
        </w:tc>
        <w:tc>
          <w:tcPr>
            <w:tcW w:w="1180" w:type="dxa"/>
            <w:vAlign w:val="bottom"/>
            <w:tcBorders>
              <w:bottom w:val="single" w:sz="8" w:color="0079C1"/>
            </w:tcBorders>
          </w:tcPr>
          <w:p>
            <w:pPr>
              <w:spacing w:after="0"/>
              <w:rPr>
                <w:sz w:val="4"/>
                <w:szCs w:val="4"/>
                <w:color w:val="auto"/>
              </w:rPr>
            </w:pPr>
          </w:p>
        </w:tc>
        <w:tc>
          <w:tcPr>
            <w:tcW w:w="1100" w:type="dxa"/>
            <w:vAlign w:val="bottom"/>
            <w:tcBorders>
              <w:bottom w:val="single" w:sz="8" w:color="0079C1"/>
            </w:tcBorders>
          </w:tcPr>
          <w:p>
            <w:pPr>
              <w:spacing w:after="0"/>
              <w:rPr>
                <w:sz w:val="4"/>
                <w:szCs w:val="4"/>
                <w:color w:val="auto"/>
              </w:rPr>
            </w:pPr>
          </w:p>
        </w:tc>
        <w:tc>
          <w:tcPr>
            <w:tcW w:w="140" w:type="dxa"/>
            <w:vAlign w:val="bottom"/>
            <w:tcBorders>
              <w:bottom w:val="single" w:sz="8" w:color="0079C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460" w:hanging="252"/>
        <w:spacing w:after="0" w:line="362" w:lineRule="auto"/>
        <w:tabs>
          <w:tab w:leader="none" w:pos="2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column represents the amount of total compensation reported for Mr. Wang (our Chief Executive Officer and President) for each corresponding year in the “Total” column of the Summary Compensation Table (“total compensation”). Please refer to the Summary Compensation Table in the applicable proxy statement.</w:t>
      </w:r>
    </w:p>
    <w:p>
      <w:pPr>
        <w:ind w:left="260" w:right="40" w:hanging="252"/>
        <w:spacing w:after="0" w:line="343" w:lineRule="auto"/>
        <w:tabs>
          <w:tab w:leader="none" w:pos="25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column represents the amount of “compensation actually paid” to Mr. Wang, as computed in accordance with Item 402(v) of Regulation S-K. The amounts do not reflect the actual amount of compensation earned by or paid to Mr. Wang during the applicable year. In accordance with the requirements of Item 402(v) of Regulation S-K, the following adjustments were made to Mr. Wang’s total compensation for 2025 to determine the “compensation actually paid”:</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1920" w:type="dxa"/>
            <w:vAlign w:val="bottom"/>
            <w:shd w:val="clear" w:color="auto" w:fill="0079C1"/>
          </w:tcPr>
          <w:p>
            <w:pPr>
              <w:spacing w:after="0"/>
              <w:rPr>
                <w:sz w:val="16"/>
                <w:szCs w:val="16"/>
                <w:color w:val="auto"/>
              </w:rPr>
            </w:pPr>
          </w:p>
        </w:tc>
        <w:tc>
          <w:tcPr>
            <w:tcW w:w="302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Reported Summary</w:t>
            </w:r>
          </w:p>
        </w:tc>
        <w:tc>
          <w:tcPr>
            <w:tcW w:w="2600" w:type="dxa"/>
            <w:vAlign w:val="bottom"/>
            <w:shd w:val="clear" w:color="auto" w:fill="0079C1"/>
          </w:tcPr>
          <w:p>
            <w:pPr>
              <w:jc w:val="right"/>
              <w:ind w:right="428"/>
              <w:spacing w:after="0"/>
              <w:rPr>
                <w:sz w:val="20"/>
                <w:szCs w:val="20"/>
                <w:color w:val="auto"/>
              </w:rPr>
            </w:pPr>
            <w:r>
              <w:rPr>
                <w:rFonts w:ascii="Arial" w:cs="Arial" w:eastAsia="Arial" w:hAnsi="Arial"/>
                <w:sz w:val="14"/>
                <w:szCs w:val="14"/>
                <w:b w:val="1"/>
                <w:bCs w:val="1"/>
                <w:color w:val="FFFFFF"/>
              </w:rPr>
              <w:t>Reported Summary</w:t>
            </w:r>
          </w:p>
        </w:tc>
        <w:tc>
          <w:tcPr>
            <w:tcW w:w="1620" w:type="dxa"/>
            <w:vAlign w:val="bottom"/>
            <w:shd w:val="clear" w:color="auto" w:fill="0079C1"/>
          </w:tcPr>
          <w:p>
            <w:pPr>
              <w:spacing w:after="0"/>
              <w:rPr>
                <w:sz w:val="16"/>
                <w:szCs w:val="16"/>
                <w:color w:val="auto"/>
              </w:rPr>
            </w:pPr>
          </w:p>
        </w:tc>
        <w:tc>
          <w:tcPr>
            <w:tcW w:w="15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Compensation</w:t>
            </w:r>
          </w:p>
        </w:tc>
      </w:tr>
      <w:tr>
        <w:trPr>
          <w:trHeight w:val="173"/>
        </w:trPr>
        <w:tc>
          <w:tcPr>
            <w:tcW w:w="1920" w:type="dxa"/>
            <w:vAlign w:val="bottom"/>
            <w:shd w:val="clear" w:color="auto" w:fill="0079C1"/>
          </w:tcPr>
          <w:p>
            <w:pPr>
              <w:spacing w:after="0"/>
              <w:rPr>
                <w:sz w:val="15"/>
                <w:szCs w:val="15"/>
                <w:color w:val="auto"/>
              </w:rPr>
            </w:pPr>
          </w:p>
        </w:tc>
        <w:tc>
          <w:tcPr>
            <w:tcW w:w="302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Compensation Table</w:t>
            </w:r>
          </w:p>
        </w:tc>
        <w:tc>
          <w:tcPr>
            <w:tcW w:w="2600" w:type="dxa"/>
            <w:vAlign w:val="bottom"/>
            <w:shd w:val="clear" w:color="auto" w:fill="0079C1"/>
          </w:tcPr>
          <w:p>
            <w:pPr>
              <w:jc w:val="right"/>
              <w:ind w:right="428"/>
              <w:spacing w:after="0"/>
              <w:rPr>
                <w:sz w:val="20"/>
                <w:szCs w:val="20"/>
                <w:color w:val="auto"/>
              </w:rPr>
            </w:pPr>
            <w:r>
              <w:rPr>
                <w:rFonts w:ascii="Arial" w:cs="Arial" w:eastAsia="Arial" w:hAnsi="Arial"/>
                <w:sz w:val="14"/>
                <w:szCs w:val="14"/>
                <w:b w:val="1"/>
                <w:bCs w:val="1"/>
                <w:color w:val="FFFFFF"/>
              </w:rPr>
              <w:t>Compensation Table Value of</w:t>
            </w:r>
          </w:p>
        </w:tc>
        <w:tc>
          <w:tcPr>
            <w:tcW w:w="1620" w:type="dxa"/>
            <w:vAlign w:val="bottom"/>
            <w:shd w:val="clear" w:color="auto" w:fill="0079C1"/>
          </w:tcPr>
          <w:p>
            <w:pPr>
              <w:jc w:val="right"/>
              <w:ind w:right="308"/>
              <w:spacing w:after="0"/>
              <w:rPr>
                <w:sz w:val="20"/>
                <w:szCs w:val="20"/>
                <w:color w:val="auto"/>
              </w:rPr>
            </w:pPr>
            <w:r>
              <w:rPr>
                <w:rFonts w:ascii="Arial" w:cs="Arial" w:eastAsia="Arial" w:hAnsi="Arial"/>
                <w:sz w:val="14"/>
                <w:szCs w:val="14"/>
                <w:b w:val="1"/>
                <w:bCs w:val="1"/>
                <w:color w:val="FFFFFF"/>
              </w:rPr>
              <w:t>Adjusted</w:t>
            </w:r>
          </w:p>
        </w:tc>
        <w:tc>
          <w:tcPr>
            <w:tcW w:w="15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Actually</w:t>
            </w:r>
          </w:p>
        </w:tc>
      </w:tr>
      <w:tr>
        <w:trPr>
          <w:trHeight w:val="164"/>
        </w:trPr>
        <w:tc>
          <w:tcPr>
            <w:tcW w:w="1920" w:type="dxa"/>
            <w:vAlign w:val="bottom"/>
            <w:shd w:val="clear" w:color="auto" w:fill="0079C1"/>
          </w:tcPr>
          <w:p>
            <w:pPr>
              <w:spacing w:after="0"/>
              <w:rPr>
                <w:sz w:val="14"/>
                <w:szCs w:val="14"/>
                <w:color w:val="auto"/>
              </w:rPr>
            </w:pPr>
          </w:p>
        </w:tc>
        <w:tc>
          <w:tcPr>
            <w:tcW w:w="3020" w:type="dxa"/>
            <w:vAlign w:val="bottom"/>
            <w:shd w:val="clear" w:color="auto" w:fill="0079C1"/>
          </w:tcPr>
          <w:p>
            <w:pPr>
              <w:jc w:val="right"/>
              <w:ind w:right="28"/>
              <w:spacing w:after="0" w:line="164" w:lineRule="exact"/>
              <w:rPr>
                <w:sz w:val="20"/>
                <w:szCs w:val="20"/>
                <w:color w:val="auto"/>
              </w:rPr>
            </w:pPr>
            <w:r>
              <w:rPr>
                <w:rFonts w:ascii="Arial" w:cs="Arial" w:eastAsia="Arial" w:hAnsi="Arial"/>
                <w:sz w:val="14"/>
                <w:szCs w:val="14"/>
                <w:b w:val="1"/>
                <w:bCs w:val="1"/>
                <w:color w:val="FFFFFF"/>
              </w:rPr>
              <w:t>Total for PEO</w:t>
            </w:r>
            <w:r>
              <w:rPr>
                <w:rFonts w:ascii="Arial" w:cs="Arial" w:eastAsia="Arial" w:hAnsi="Arial"/>
                <w:sz w:val="18"/>
                <w:szCs w:val="18"/>
                <w:b w:val="1"/>
                <w:bCs w:val="1"/>
                <w:color w:val="FFFFFF"/>
                <w:vertAlign w:val="superscript"/>
              </w:rPr>
              <w:t>(a)</w:t>
            </w:r>
          </w:p>
        </w:tc>
        <w:tc>
          <w:tcPr>
            <w:tcW w:w="4220" w:type="dxa"/>
            <w:vAlign w:val="bottom"/>
            <w:gridSpan w:val="2"/>
            <w:shd w:val="clear" w:color="auto" w:fill="0079C1"/>
          </w:tcPr>
          <w:p>
            <w:pPr>
              <w:jc w:val="right"/>
              <w:ind w:right="308"/>
              <w:spacing w:after="0" w:line="164" w:lineRule="exact"/>
              <w:rPr>
                <w:sz w:val="20"/>
                <w:szCs w:val="20"/>
                <w:color w:val="auto"/>
              </w:rPr>
            </w:pPr>
            <w:r>
              <w:rPr>
                <w:rFonts w:ascii="Arial" w:cs="Arial" w:eastAsia="Arial" w:hAnsi="Arial"/>
                <w:sz w:val="14"/>
                <w:szCs w:val="14"/>
                <w:b w:val="1"/>
                <w:bCs w:val="1"/>
                <w:color w:val="FFFFFF"/>
              </w:rPr>
              <w:t>PEO Equity Awards</w:t>
            </w:r>
            <w:r>
              <w:rPr>
                <w:rFonts w:ascii="Arial" w:cs="Arial" w:eastAsia="Arial" w:hAnsi="Arial"/>
                <w:sz w:val="18"/>
                <w:szCs w:val="18"/>
                <w:b w:val="1"/>
                <w:bCs w:val="1"/>
                <w:color w:val="FFFFFF"/>
                <w:vertAlign w:val="superscript"/>
              </w:rPr>
              <w:t>(b)</w:t>
            </w:r>
            <w:r>
              <w:rPr>
                <w:rFonts w:ascii="Arial" w:cs="Arial" w:eastAsia="Arial" w:hAnsi="Arial"/>
                <w:sz w:val="14"/>
                <w:szCs w:val="14"/>
                <w:b w:val="1"/>
                <w:bCs w:val="1"/>
                <w:color w:val="FFFFFF"/>
              </w:rPr>
              <w:t xml:space="preserve"> Value of Equity Awards</w:t>
            </w:r>
            <w:r>
              <w:rPr>
                <w:rFonts w:ascii="Arial" w:cs="Arial" w:eastAsia="Arial" w:hAnsi="Arial"/>
                <w:sz w:val="18"/>
                <w:szCs w:val="18"/>
                <w:b w:val="1"/>
                <w:bCs w:val="1"/>
                <w:color w:val="FFFFFF"/>
                <w:vertAlign w:val="superscript"/>
              </w:rPr>
              <w:t>(c)</w:t>
            </w:r>
          </w:p>
        </w:tc>
        <w:tc>
          <w:tcPr>
            <w:tcW w:w="15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Paid to PEO</w:t>
            </w:r>
          </w:p>
        </w:tc>
      </w:tr>
      <w:tr>
        <w:trPr>
          <w:trHeight w:val="210"/>
        </w:trPr>
        <w:tc>
          <w:tcPr>
            <w:tcW w:w="192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Year</w:t>
            </w:r>
          </w:p>
        </w:tc>
        <w:tc>
          <w:tcPr>
            <w:tcW w:w="302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w:t>
            </w:r>
          </w:p>
        </w:tc>
        <w:tc>
          <w:tcPr>
            <w:tcW w:w="2600" w:type="dxa"/>
            <w:vAlign w:val="bottom"/>
            <w:shd w:val="clear" w:color="auto" w:fill="0079C1"/>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79C1"/>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96"/>
        </w:trPr>
        <w:tc>
          <w:tcPr>
            <w:tcW w:w="1920" w:type="dxa"/>
            <w:vAlign w:val="bottom"/>
            <w:shd w:val="clear" w:color="auto" w:fill="0079C1"/>
          </w:tcPr>
          <w:p>
            <w:pPr>
              <w:spacing w:after="0"/>
              <w:rPr>
                <w:sz w:val="8"/>
                <w:szCs w:val="8"/>
                <w:color w:val="auto"/>
              </w:rPr>
            </w:pPr>
          </w:p>
        </w:tc>
        <w:tc>
          <w:tcPr>
            <w:tcW w:w="3020" w:type="dxa"/>
            <w:vAlign w:val="bottom"/>
            <w:shd w:val="clear" w:color="auto" w:fill="0079C1"/>
          </w:tcPr>
          <w:p>
            <w:pPr>
              <w:spacing w:after="0"/>
              <w:rPr>
                <w:sz w:val="8"/>
                <w:szCs w:val="8"/>
                <w:color w:val="auto"/>
              </w:rPr>
            </w:pPr>
          </w:p>
        </w:tc>
        <w:tc>
          <w:tcPr>
            <w:tcW w:w="2600" w:type="dxa"/>
            <w:vAlign w:val="bottom"/>
            <w:shd w:val="clear" w:color="auto" w:fill="0079C1"/>
          </w:tcPr>
          <w:p>
            <w:pPr>
              <w:spacing w:after="0"/>
              <w:rPr>
                <w:sz w:val="8"/>
                <w:szCs w:val="8"/>
                <w:color w:val="auto"/>
              </w:rPr>
            </w:pPr>
          </w:p>
        </w:tc>
        <w:tc>
          <w:tcPr>
            <w:tcW w:w="1620" w:type="dxa"/>
            <w:vAlign w:val="bottom"/>
            <w:shd w:val="clear" w:color="auto" w:fill="0079C1"/>
          </w:tcPr>
          <w:p>
            <w:pPr>
              <w:spacing w:after="0"/>
              <w:rPr>
                <w:sz w:val="8"/>
                <w:szCs w:val="8"/>
                <w:color w:val="auto"/>
              </w:rPr>
            </w:pPr>
          </w:p>
        </w:tc>
        <w:tc>
          <w:tcPr>
            <w:tcW w:w="1520" w:type="dxa"/>
            <w:vAlign w:val="bottom"/>
            <w:shd w:val="clear" w:color="auto" w:fill="0079C1"/>
          </w:tcPr>
          <w:p>
            <w:pPr>
              <w:spacing w:after="0"/>
              <w:rPr>
                <w:sz w:val="8"/>
                <w:szCs w:val="8"/>
                <w:color w:val="auto"/>
              </w:rPr>
            </w:pPr>
          </w:p>
        </w:tc>
      </w:tr>
      <w:tr>
        <w:trPr>
          <w:trHeight w:val="235"/>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2025</w:t>
            </w:r>
          </w:p>
        </w:tc>
        <w:tc>
          <w:tcPr>
            <w:tcW w:w="3020" w:type="dxa"/>
            <w:vAlign w:val="bottom"/>
          </w:tcPr>
          <w:p>
            <w:pPr>
              <w:jc w:val="right"/>
              <w:ind w:right="68"/>
              <w:spacing w:after="0"/>
              <w:rPr>
                <w:sz w:val="20"/>
                <w:szCs w:val="20"/>
                <w:color w:val="auto"/>
              </w:rPr>
            </w:pPr>
            <w:r>
              <w:rPr>
                <w:rFonts w:ascii="Arial" w:cs="Arial" w:eastAsia="Arial" w:hAnsi="Arial"/>
                <w:sz w:val="14"/>
                <w:szCs w:val="14"/>
                <w:color w:val="auto"/>
              </w:rPr>
              <w:t>632,769</w:t>
            </w:r>
          </w:p>
        </w:tc>
        <w:tc>
          <w:tcPr>
            <w:tcW w:w="26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58,840,703</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59,473,472</w:t>
            </w:r>
          </w:p>
        </w:tc>
      </w:tr>
      <w:tr>
        <w:trPr>
          <w:trHeight w:val="48"/>
        </w:trPr>
        <w:tc>
          <w:tcPr>
            <w:tcW w:w="1920" w:type="dxa"/>
            <w:vAlign w:val="bottom"/>
            <w:tcBorders>
              <w:bottom w:val="single" w:sz="8" w:color="0079C1"/>
            </w:tcBorders>
          </w:tcPr>
          <w:p>
            <w:pPr>
              <w:spacing w:after="0"/>
              <w:rPr>
                <w:sz w:val="4"/>
                <w:szCs w:val="4"/>
                <w:color w:val="auto"/>
              </w:rPr>
            </w:pPr>
          </w:p>
        </w:tc>
        <w:tc>
          <w:tcPr>
            <w:tcW w:w="3020" w:type="dxa"/>
            <w:vAlign w:val="bottom"/>
            <w:tcBorders>
              <w:bottom w:val="single" w:sz="8" w:color="0079C1"/>
            </w:tcBorders>
          </w:tcPr>
          <w:p>
            <w:pPr>
              <w:spacing w:after="0"/>
              <w:rPr>
                <w:sz w:val="4"/>
                <w:szCs w:val="4"/>
                <w:color w:val="auto"/>
              </w:rPr>
            </w:pPr>
          </w:p>
        </w:tc>
        <w:tc>
          <w:tcPr>
            <w:tcW w:w="2600" w:type="dxa"/>
            <w:vAlign w:val="bottom"/>
            <w:tcBorders>
              <w:bottom w:val="single" w:sz="8" w:color="0079C1"/>
            </w:tcBorders>
          </w:tcPr>
          <w:p>
            <w:pPr>
              <w:spacing w:after="0"/>
              <w:rPr>
                <w:sz w:val="4"/>
                <w:szCs w:val="4"/>
                <w:color w:val="auto"/>
              </w:rPr>
            </w:pPr>
          </w:p>
        </w:tc>
        <w:tc>
          <w:tcPr>
            <w:tcW w:w="1620" w:type="dxa"/>
            <w:vAlign w:val="bottom"/>
            <w:tcBorders>
              <w:bottom w:val="single" w:sz="8" w:color="0079C1"/>
            </w:tcBorders>
          </w:tcPr>
          <w:p>
            <w:pPr>
              <w:spacing w:after="0"/>
              <w:rPr>
                <w:sz w:val="4"/>
                <w:szCs w:val="4"/>
                <w:color w:val="auto"/>
              </w:rPr>
            </w:pPr>
          </w:p>
        </w:tc>
        <w:tc>
          <w:tcPr>
            <w:tcW w:w="1520" w:type="dxa"/>
            <w:vAlign w:val="bottom"/>
            <w:tcBorders>
              <w:bottom w:val="single" w:sz="8" w:color="0079C1"/>
            </w:tcBorders>
          </w:tcPr>
          <w:p>
            <w:pPr>
              <w:spacing w:after="0"/>
              <w:rPr>
                <w:sz w:val="4"/>
                <w:szCs w:val="4"/>
                <w:color w:val="auto"/>
              </w:rPr>
            </w:pPr>
          </w:p>
        </w:tc>
      </w:tr>
    </w:tbl>
    <w:p>
      <w:pPr>
        <w:spacing w:after="0" w:line="193" w:lineRule="exact"/>
        <w:rPr>
          <w:sz w:val="20"/>
          <w:szCs w:val="20"/>
          <w:color w:val="auto"/>
        </w:rPr>
      </w:pPr>
    </w:p>
    <w:p>
      <w:pPr>
        <w:ind w:left="500" w:right="80" w:hanging="249"/>
        <w:spacing w:after="0" w:line="362" w:lineRule="auto"/>
        <w:tabs>
          <w:tab w:leader="none" w:pos="512"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This column represents the amount of total compensation reported for Mr. Wang for 2025 in the “Total” column of the Summary Compensation Table. Please refer to the Summary Compensation Table in this Proxy Statement.</w:t>
      </w:r>
    </w:p>
    <w:p>
      <w:pPr>
        <w:ind w:left="500" w:right="300" w:hanging="249"/>
        <w:spacing w:after="0" w:line="343" w:lineRule="auto"/>
        <w:tabs>
          <w:tab w:leader="none" w:pos="498"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This column represents the grant date fair value of equity awards reported in the “Option Awards” column in the Summary Compensation Table for 2025. No equity awards were granted to Mr. Wang in 2025. Please refer to the Summary Compensation Table in this Proxy Statement.The amount in this column is replaced with the amount reported in the Adjusted Value of Equity Awards column in order to arrive at compensation actually paid to PEO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15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right="140" w:hanging="249"/>
        <w:spacing w:after="0" w:line="327" w:lineRule="auto"/>
        <w:tabs>
          <w:tab w:leader="none" w:pos="504"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column represents an adjustment to the amounts in the “Option Awards” column in the Summary Compensation Table for 2025. For 2025, the adjusted amount replaces the “Option Awards” column in the Summary Compensation Table for Mr. Wang for 2025. The adjusted amount is determined by adding (or subtracting, as applicable) the following for 2025: (i) the year-end fair value of any equity awards granted in 2025 that are outstanding and unvested as of the end of 2025; (ii) the amount of change as of the end of 2025 (from the end of 2024) in the fair value of any awards granted in prior years that are outstanding and unvested as of the end of 2025; (iii) for awards that are granted and vest in 2025, the fair value as of the vesting date; (iv) for awards granted in prior years that vest in 2025, the amount equal to the change as of the vesting date (from the end of the prior fiscal year) in the fair value; (v) for awards granted in prior years that are determined to fail to meet the applicable vesting conditions during 2025, a deduction for the amount equal to the fair value at the end of the prior fiscal year; and (vi) the dollar value of any dividends or other earnings paid on stock awards in 2025 prior to the vesting date that are not otherwise reflected in the fair value of such award or included in any other component of total compensation for 2025.</w:t>
      </w:r>
    </w:p>
    <w:p>
      <w:pPr>
        <w:spacing w:after="0" w:line="2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The amounts added or subtracted to determine the adjusted amount for our PEO are as follows:</w:t>
      </w:r>
    </w:p>
    <w:p>
      <w:pPr>
        <w:spacing w:after="0" w:line="118"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760" w:type="dxa"/>
            <w:vAlign w:val="bottom"/>
            <w:shd w:val="clear" w:color="auto" w:fill="0079C1"/>
          </w:tcPr>
          <w:p>
            <w:pPr>
              <w:spacing w:after="0"/>
              <w:rPr>
                <w:sz w:val="16"/>
                <w:szCs w:val="16"/>
                <w:color w:val="auto"/>
              </w:rPr>
            </w:pPr>
          </w:p>
        </w:tc>
        <w:tc>
          <w:tcPr>
            <w:tcW w:w="1280" w:type="dxa"/>
            <w:vAlign w:val="bottom"/>
            <w:shd w:val="clear" w:color="auto" w:fill="0079C1"/>
          </w:tcPr>
          <w:p>
            <w:pPr>
              <w:spacing w:after="0"/>
              <w:rPr>
                <w:sz w:val="16"/>
                <w:szCs w:val="16"/>
                <w:color w:val="auto"/>
              </w:rPr>
            </w:pPr>
          </w:p>
        </w:tc>
        <w:tc>
          <w:tcPr>
            <w:tcW w:w="1260" w:type="dxa"/>
            <w:vAlign w:val="bottom"/>
            <w:shd w:val="clear" w:color="auto" w:fill="0079C1"/>
          </w:tcPr>
          <w:p>
            <w:pPr>
              <w:spacing w:after="0"/>
              <w:rPr>
                <w:sz w:val="16"/>
                <w:szCs w:val="16"/>
                <w:color w:val="auto"/>
              </w:rPr>
            </w:pPr>
          </w:p>
        </w:tc>
        <w:tc>
          <w:tcPr>
            <w:tcW w:w="1360" w:type="dxa"/>
            <w:vAlign w:val="bottom"/>
            <w:shd w:val="clear" w:color="auto" w:fill="0079C1"/>
          </w:tcPr>
          <w:p>
            <w:pPr>
              <w:spacing w:after="0"/>
              <w:rPr>
                <w:sz w:val="16"/>
                <w:szCs w:val="16"/>
                <w:color w:val="auto"/>
              </w:rPr>
            </w:pPr>
          </w:p>
        </w:tc>
        <w:tc>
          <w:tcPr>
            <w:tcW w:w="1240" w:type="dxa"/>
            <w:vAlign w:val="bottom"/>
            <w:shd w:val="clear" w:color="auto" w:fill="0079C1"/>
          </w:tcPr>
          <w:p>
            <w:pPr>
              <w:spacing w:after="0"/>
              <w:rPr>
                <w:sz w:val="16"/>
                <w:szCs w:val="16"/>
                <w:color w:val="auto"/>
              </w:rPr>
            </w:pPr>
          </w:p>
        </w:tc>
        <w:tc>
          <w:tcPr>
            <w:tcW w:w="1320" w:type="dxa"/>
            <w:vAlign w:val="bottom"/>
            <w:shd w:val="clear" w:color="auto" w:fill="0079C1"/>
          </w:tcPr>
          <w:p>
            <w:pPr>
              <w:spacing w:after="0"/>
              <w:rPr>
                <w:sz w:val="16"/>
                <w:szCs w:val="16"/>
                <w:color w:val="auto"/>
              </w:rPr>
            </w:pP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Value of Dividends</w:t>
            </w:r>
          </w:p>
        </w:tc>
        <w:tc>
          <w:tcPr>
            <w:tcW w:w="1080" w:type="dxa"/>
            <w:vAlign w:val="bottom"/>
            <w:shd w:val="clear" w:color="auto" w:fill="0079C1"/>
          </w:tcPr>
          <w:p>
            <w:pPr>
              <w:spacing w:after="0"/>
              <w:rPr>
                <w:sz w:val="16"/>
                <w:szCs w:val="16"/>
                <w:color w:val="auto"/>
              </w:rPr>
            </w:pPr>
          </w:p>
        </w:tc>
      </w:tr>
      <w:tr>
        <w:trPr>
          <w:trHeight w:val="176"/>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spacing w:after="0"/>
              <w:rPr>
                <w:sz w:val="15"/>
                <w:szCs w:val="15"/>
                <w:color w:val="auto"/>
              </w:rPr>
            </w:pP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 over Year</w:t>
            </w:r>
          </w:p>
        </w:tc>
        <w:tc>
          <w:tcPr>
            <w:tcW w:w="1360" w:type="dxa"/>
            <w:vAlign w:val="bottom"/>
            <w:shd w:val="clear" w:color="auto" w:fill="0079C1"/>
          </w:tcPr>
          <w:p>
            <w:pPr>
              <w:spacing w:after="0"/>
              <w:rPr>
                <w:sz w:val="15"/>
                <w:szCs w:val="15"/>
                <w:color w:val="auto"/>
              </w:rPr>
            </w:pPr>
          </w:p>
        </w:tc>
        <w:tc>
          <w:tcPr>
            <w:tcW w:w="1240" w:type="dxa"/>
            <w:vAlign w:val="bottom"/>
            <w:shd w:val="clear" w:color="auto" w:fill="0079C1"/>
          </w:tcPr>
          <w:p>
            <w:pPr>
              <w:spacing w:after="0"/>
              <w:rPr>
                <w:sz w:val="15"/>
                <w:szCs w:val="15"/>
                <w:color w:val="auto"/>
              </w:rPr>
            </w:pP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Fair Value at the</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or other Earnings Paid</w:t>
            </w:r>
          </w:p>
        </w:tc>
        <w:tc>
          <w:tcPr>
            <w:tcW w:w="1080" w:type="dxa"/>
            <w:vAlign w:val="bottom"/>
            <w:shd w:val="clear" w:color="auto" w:fill="0079C1"/>
          </w:tcPr>
          <w:p>
            <w:pPr>
              <w:spacing w:after="0"/>
              <w:rPr>
                <w:sz w:val="15"/>
                <w:szCs w:val="15"/>
                <w:color w:val="auto"/>
              </w:rPr>
            </w:pPr>
          </w:p>
        </w:tc>
      </w:tr>
      <w:tr>
        <w:trPr>
          <w:trHeight w:val="162"/>
        </w:trPr>
        <w:tc>
          <w:tcPr>
            <w:tcW w:w="760" w:type="dxa"/>
            <w:vAlign w:val="bottom"/>
            <w:shd w:val="clear" w:color="auto" w:fill="0079C1"/>
          </w:tcPr>
          <w:p>
            <w:pPr>
              <w:spacing w:after="0"/>
              <w:rPr>
                <w:sz w:val="14"/>
                <w:szCs w:val="14"/>
                <w:color w:val="auto"/>
              </w:rPr>
            </w:pPr>
          </w:p>
        </w:tc>
        <w:tc>
          <w:tcPr>
            <w:tcW w:w="1280" w:type="dxa"/>
            <w:vAlign w:val="bottom"/>
            <w:shd w:val="clear" w:color="auto" w:fill="0079C1"/>
          </w:tcPr>
          <w:p>
            <w:pPr>
              <w:spacing w:after="0"/>
              <w:rPr>
                <w:sz w:val="14"/>
                <w:szCs w:val="14"/>
                <w:color w:val="auto"/>
              </w:rPr>
            </w:pP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Change in Fair</w:t>
            </w:r>
          </w:p>
        </w:tc>
        <w:tc>
          <w:tcPr>
            <w:tcW w:w="1360" w:type="dxa"/>
            <w:vAlign w:val="bottom"/>
            <w:shd w:val="clear" w:color="auto" w:fill="0079C1"/>
          </w:tcPr>
          <w:p>
            <w:pPr>
              <w:spacing w:after="0"/>
              <w:rPr>
                <w:sz w:val="14"/>
                <w:szCs w:val="14"/>
                <w:color w:val="auto"/>
              </w:rPr>
            </w:pP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Change in Fair</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End of the Prior</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on Stock or Option</w:t>
            </w:r>
          </w:p>
        </w:tc>
        <w:tc>
          <w:tcPr>
            <w:tcW w:w="1080" w:type="dxa"/>
            <w:vAlign w:val="bottom"/>
            <w:shd w:val="clear" w:color="auto" w:fill="0079C1"/>
          </w:tcPr>
          <w:p>
            <w:pPr>
              <w:spacing w:after="0"/>
              <w:rPr>
                <w:sz w:val="14"/>
                <w:szCs w:val="14"/>
                <w:color w:val="auto"/>
              </w:rPr>
            </w:pPr>
          </w:p>
        </w:tc>
      </w:tr>
      <w:tr>
        <w:trPr>
          <w:trHeight w:val="176"/>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Year End</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Value of</w:t>
            </w:r>
          </w:p>
        </w:tc>
        <w:tc>
          <w:tcPr>
            <w:tcW w:w="1360" w:type="dxa"/>
            <w:vAlign w:val="bottom"/>
            <w:shd w:val="clear" w:color="auto" w:fill="0079C1"/>
          </w:tcPr>
          <w:p>
            <w:pPr>
              <w:spacing w:after="0"/>
              <w:rPr>
                <w:sz w:val="15"/>
                <w:szCs w:val="15"/>
                <w:color w:val="auto"/>
              </w:rPr>
            </w:pP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Value (from the</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Year of Equity</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Awards not Otherwise</w:t>
            </w:r>
          </w:p>
        </w:tc>
        <w:tc>
          <w:tcPr>
            <w:tcW w:w="1080" w:type="dxa"/>
            <w:vAlign w:val="bottom"/>
            <w:shd w:val="clear" w:color="auto" w:fill="0079C1"/>
          </w:tcPr>
          <w:p>
            <w:pPr>
              <w:spacing w:after="0"/>
              <w:rPr>
                <w:sz w:val="15"/>
                <w:szCs w:val="15"/>
                <w:color w:val="auto"/>
              </w:rPr>
            </w:pPr>
          </w:p>
        </w:tc>
      </w:tr>
      <w:tr>
        <w:trPr>
          <w:trHeight w:val="175"/>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Fair Value of</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Outstanding and</w:t>
            </w:r>
          </w:p>
        </w:tc>
        <w:tc>
          <w:tcPr>
            <w:tcW w:w="1360" w:type="dxa"/>
            <w:vAlign w:val="bottom"/>
            <w:shd w:val="clear" w:color="auto" w:fill="0079C1"/>
          </w:tcPr>
          <w:p>
            <w:pPr>
              <w:jc w:val="right"/>
              <w:ind w:right="48"/>
              <w:spacing w:after="0"/>
              <w:rPr>
                <w:sz w:val="20"/>
                <w:szCs w:val="20"/>
                <w:color w:val="auto"/>
              </w:rPr>
            </w:pPr>
            <w:r>
              <w:rPr>
                <w:rFonts w:ascii="Arial" w:cs="Arial" w:eastAsia="Arial" w:hAnsi="Arial"/>
                <w:sz w:val="14"/>
                <w:szCs w:val="14"/>
                <w:b w:val="1"/>
                <w:bCs w:val="1"/>
                <w:color w:val="FFFFFF"/>
              </w:rPr>
              <w:t>Fair Value</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end of the Prior</w:t>
            </w:r>
          </w:p>
        </w:tc>
        <w:tc>
          <w:tcPr>
            <w:tcW w:w="3180" w:type="dxa"/>
            <w:vAlign w:val="bottom"/>
            <w:gridSpan w:val="2"/>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Awards that Reflected in Fair Value or</w:t>
            </w:r>
          </w:p>
        </w:tc>
        <w:tc>
          <w:tcPr>
            <w:tcW w:w="1080" w:type="dxa"/>
            <w:vAlign w:val="bottom"/>
            <w:shd w:val="clear" w:color="auto" w:fill="0079C1"/>
          </w:tcPr>
          <w:p>
            <w:pPr>
              <w:spacing w:after="0"/>
              <w:rPr>
                <w:sz w:val="15"/>
                <w:szCs w:val="15"/>
                <w:color w:val="auto"/>
              </w:rPr>
            </w:pPr>
          </w:p>
        </w:tc>
      </w:tr>
      <w:tr>
        <w:trPr>
          <w:trHeight w:val="162"/>
        </w:trPr>
        <w:tc>
          <w:tcPr>
            <w:tcW w:w="760" w:type="dxa"/>
            <w:vAlign w:val="bottom"/>
            <w:shd w:val="clear" w:color="auto" w:fill="0079C1"/>
          </w:tcPr>
          <w:p>
            <w:pPr>
              <w:spacing w:after="0"/>
              <w:rPr>
                <w:sz w:val="14"/>
                <w:szCs w:val="14"/>
                <w:color w:val="auto"/>
              </w:rPr>
            </w:pP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Equity</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Unvested Equity</w:t>
            </w:r>
          </w:p>
        </w:tc>
        <w:tc>
          <w:tcPr>
            <w:tcW w:w="136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as of Vesting Date</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 of Equity</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Failed to Meet</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Total Compensation in</w:t>
            </w:r>
          </w:p>
        </w:tc>
        <w:tc>
          <w:tcPr>
            <w:tcW w:w="1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Adjusted</w:t>
            </w:r>
          </w:p>
        </w:tc>
      </w:tr>
      <w:tr>
        <w:trPr>
          <w:trHeight w:val="175"/>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 at FYE</w:t>
            </w:r>
          </w:p>
        </w:tc>
        <w:tc>
          <w:tcPr>
            <w:tcW w:w="136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of Equity Awards</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 Granted</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Vesting</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the Summary</w:t>
            </w:r>
          </w:p>
        </w:tc>
        <w:tc>
          <w:tcPr>
            <w:tcW w:w="1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Value</w:t>
            </w:r>
          </w:p>
        </w:tc>
      </w:tr>
      <w:tr>
        <w:trPr>
          <w:trHeight w:val="176"/>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Granted in</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Granted in Prior</w:t>
            </w:r>
          </w:p>
        </w:tc>
        <w:tc>
          <w:tcPr>
            <w:tcW w:w="2600" w:type="dxa"/>
            <w:vAlign w:val="bottom"/>
            <w:gridSpan w:val="2"/>
            <w:shd w:val="clear" w:color="auto" w:fill="0079C1"/>
          </w:tcPr>
          <w:p>
            <w:pPr>
              <w:jc w:val="right"/>
              <w:spacing w:after="0"/>
              <w:rPr>
                <w:sz w:val="20"/>
                <w:szCs w:val="20"/>
                <w:color w:val="auto"/>
              </w:rPr>
            </w:pPr>
            <w:r>
              <w:rPr>
                <w:rFonts w:ascii="Arial" w:cs="Arial" w:eastAsia="Arial" w:hAnsi="Arial"/>
                <w:sz w:val="14"/>
                <w:szCs w:val="14"/>
                <w:b w:val="1"/>
                <w:bCs w:val="1"/>
                <w:color w:val="FFFFFF"/>
              </w:rPr>
              <w:t>Granted and in Prior Years that</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Conditions in the</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Compensation Table for</w:t>
            </w:r>
          </w:p>
        </w:tc>
        <w:tc>
          <w:tcPr>
            <w:tcW w:w="1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of Equity</w:t>
            </w:r>
          </w:p>
        </w:tc>
      </w:tr>
      <w:tr>
        <w:trPr>
          <w:trHeight w:val="175"/>
        </w:trPr>
        <w:tc>
          <w:tcPr>
            <w:tcW w:w="760" w:type="dxa"/>
            <w:vAlign w:val="bottom"/>
            <w:shd w:val="clear" w:color="auto" w:fill="0079C1"/>
          </w:tcPr>
          <w:p>
            <w:pPr>
              <w:spacing w:after="0"/>
              <w:rPr>
                <w:sz w:val="15"/>
                <w:szCs w:val="15"/>
                <w:color w:val="auto"/>
              </w:rPr>
            </w:pP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the Year</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Years</w:t>
            </w:r>
          </w:p>
        </w:tc>
        <w:tc>
          <w:tcPr>
            <w:tcW w:w="2600" w:type="dxa"/>
            <w:vAlign w:val="bottom"/>
            <w:gridSpan w:val="2"/>
            <w:shd w:val="clear" w:color="auto" w:fill="0079C1"/>
          </w:tcPr>
          <w:p>
            <w:pPr>
              <w:jc w:val="right"/>
              <w:spacing w:after="0"/>
              <w:rPr>
                <w:sz w:val="20"/>
                <w:szCs w:val="20"/>
                <w:color w:val="auto"/>
              </w:rPr>
            </w:pPr>
            <w:r>
              <w:rPr>
                <w:rFonts w:ascii="Arial" w:cs="Arial" w:eastAsia="Arial" w:hAnsi="Arial"/>
                <w:sz w:val="14"/>
                <w:szCs w:val="14"/>
                <w:b w:val="1"/>
                <w:bCs w:val="1"/>
                <w:color w:val="FFFFFF"/>
              </w:rPr>
              <w:t>Vested in the Year Vested in the Year</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Year</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the Year</w:t>
            </w:r>
          </w:p>
        </w:tc>
        <w:tc>
          <w:tcPr>
            <w:tcW w:w="1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Awards</w:t>
            </w:r>
          </w:p>
        </w:tc>
      </w:tr>
      <w:tr>
        <w:trPr>
          <w:trHeight w:val="210"/>
        </w:trPr>
        <w:tc>
          <w:tcPr>
            <w:tcW w:w="76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Year</w:t>
            </w:r>
          </w:p>
        </w:tc>
        <w:tc>
          <w:tcPr>
            <w:tcW w:w="1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97"/>
        </w:trPr>
        <w:tc>
          <w:tcPr>
            <w:tcW w:w="760" w:type="dxa"/>
            <w:vAlign w:val="bottom"/>
            <w:shd w:val="clear" w:color="auto" w:fill="0079C1"/>
          </w:tcPr>
          <w:p>
            <w:pPr>
              <w:spacing w:after="0"/>
              <w:rPr>
                <w:sz w:val="8"/>
                <w:szCs w:val="8"/>
                <w:color w:val="auto"/>
              </w:rPr>
            </w:pPr>
          </w:p>
        </w:tc>
        <w:tc>
          <w:tcPr>
            <w:tcW w:w="1280" w:type="dxa"/>
            <w:vAlign w:val="bottom"/>
            <w:shd w:val="clear" w:color="auto" w:fill="0079C1"/>
          </w:tcPr>
          <w:p>
            <w:pPr>
              <w:spacing w:after="0"/>
              <w:rPr>
                <w:sz w:val="8"/>
                <w:szCs w:val="8"/>
                <w:color w:val="auto"/>
              </w:rPr>
            </w:pPr>
          </w:p>
        </w:tc>
        <w:tc>
          <w:tcPr>
            <w:tcW w:w="1260" w:type="dxa"/>
            <w:vAlign w:val="bottom"/>
            <w:shd w:val="clear" w:color="auto" w:fill="0079C1"/>
          </w:tcPr>
          <w:p>
            <w:pPr>
              <w:spacing w:after="0"/>
              <w:rPr>
                <w:sz w:val="8"/>
                <w:szCs w:val="8"/>
                <w:color w:val="auto"/>
              </w:rPr>
            </w:pPr>
          </w:p>
        </w:tc>
        <w:tc>
          <w:tcPr>
            <w:tcW w:w="1360" w:type="dxa"/>
            <w:vAlign w:val="bottom"/>
            <w:shd w:val="clear" w:color="auto" w:fill="0079C1"/>
          </w:tcPr>
          <w:p>
            <w:pPr>
              <w:spacing w:after="0"/>
              <w:rPr>
                <w:sz w:val="8"/>
                <w:szCs w:val="8"/>
                <w:color w:val="auto"/>
              </w:rPr>
            </w:pPr>
          </w:p>
        </w:tc>
        <w:tc>
          <w:tcPr>
            <w:tcW w:w="1240" w:type="dxa"/>
            <w:vAlign w:val="bottom"/>
            <w:shd w:val="clear" w:color="auto" w:fill="0079C1"/>
          </w:tcPr>
          <w:p>
            <w:pPr>
              <w:spacing w:after="0"/>
              <w:rPr>
                <w:sz w:val="8"/>
                <w:szCs w:val="8"/>
                <w:color w:val="auto"/>
              </w:rPr>
            </w:pPr>
          </w:p>
        </w:tc>
        <w:tc>
          <w:tcPr>
            <w:tcW w:w="1320" w:type="dxa"/>
            <w:vAlign w:val="bottom"/>
            <w:shd w:val="clear" w:color="auto" w:fill="0079C1"/>
          </w:tcPr>
          <w:p>
            <w:pPr>
              <w:spacing w:after="0"/>
              <w:rPr>
                <w:sz w:val="8"/>
                <w:szCs w:val="8"/>
                <w:color w:val="auto"/>
              </w:rPr>
            </w:pPr>
          </w:p>
        </w:tc>
        <w:tc>
          <w:tcPr>
            <w:tcW w:w="1860" w:type="dxa"/>
            <w:vAlign w:val="bottom"/>
            <w:shd w:val="clear" w:color="auto" w:fill="0079C1"/>
          </w:tcPr>
          <w:p>
            <w:pPr>
              <w:spacing w:after="0"/>
              <w:rPr>
                <w:sz w:val="8"/>
                <w:szCs w:val="8"/>
                <w:color w:val="auto"/>
              </w:rPr>
            </w:pPr>
          </w:p>
        </w:tc>
        <w:tc>
          <w:tcPr>
            <w:tcW w:w="1080" w:type="dxa"/>
            <w:vAlign w:val="bottom"/>
            <w:shd w:val="clear" w:color="auto" w:fill="0079C1"/>
          </w:tcPr>
          <w:p>
            <w:pPr>
              <w:spacing w:after="0"/>
              <w:rPr>
                <w:sz w:val="8"/>
                <w:szCs w:val="8"/>
                <w:color w:val="auto"/>
              </w:rPr>
            </w:pPr>
          </w:p>
        </w:tc>
      </w:tr>
      <w:tr>
        <w:trPr>
          <w:trHeight w:val="235"/>
        </w:trPr>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2025</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36,499,596</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22,341,107</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58,840,703</w:t>
            </w:r>
          </w:p>
        </w:tc>
      </w:tr>
      <w:tr>
        <w:trPr>
          <w:trHeight w:val="48"/>
        </w:trPr>
        <w:tc>
          <w:tcPr>
            <w:tcW w:w="760" w:type="dxa"/>
            <w:vAlign w:val="bottom"/>
            <w:tcBorders>
              <w:bottom w:val="single" w:sz="8" w:color="0079C1"/>
            </w:tcBorders>
          </w:tcPr>
          <w:p>
            <w:pPr>
              <w:spacing w:after="0"/>
              <w:rPr>
                <w:sz w:val="4"/>
                <w:szCs w:val="4"/>
                <w:color w:val="auto"/>
              </w:rPr>
            </w:pPr>
          </w:p>
        </w:tc>
        <w:tc>
          <w:tcPr>
            <w:tcW w:w="1280" w:type="dxa"/>
            <w:vAlign w:val="bottom"/>
            <w:tcBorders>
              <w:bottom w:val="single" w:sz="8" w:color="0079C1"/>
            </w:tcBorders>
          </w:tcPr>
          <w:p>
            <w:pPr>
              <w:spacing w:after="0"/>
              <w:rPr>
                <w:sz w:val="4"/>
                <w:szCs w:val="4"/>
                <w:color w:val="auto"/>
              </w:rPr>
            </w:pPr>
          </w:p>
        </w:tc>
        <w:tc>
          <w:tcPr>
            <w:tcW w:w="1260" w:type="dxa"/>
            <w:vAlign w:val="bottom"/>
            <w:tcBorders>
              <w:bottom w:val="single" w:sz="8" w:color="0079C1"/>
            </w:tcBorders>
          </w:tcPr>
          <w:p>
            <w:pPr>
              <w:spacing w:after="0"/>
              <w:rPr>
                <w:sz w:val="4"/>
                <w:szCs w:val="4"/>
                <w:color w:val="auto"/>
              </w:rPr>
            </w:pPr>
          </w:p>
        </w:tc>
        <w:tc>
          <w:tcPr>
            <w:tcW w:w="1360" w:type="dxa"/>
            <w:vAlign w:val="bottom"/>
            <w:tcBorders>
              <w:bottom w:val="single" w:sz="8" w:color="0079C1"/>
            </w:tcBorders>
          </w:tcPr>
          <w:p>
            <w:pPr>
              <w:spacing w:after="0"/>
              <w:rPr>
                <w:sz w:val="4"/>
                <w:szCs w:val="4"/>
                <w:color w:val="auto"/>
              </w:rPr>
            </w:pPr>
          </w:p>
        </w:tc>
        <w:tc>
          <w:tcPr>
            <w:tcW w:w="1240" w:type="dxa"/>
            <w:vAlign w:val="bottom"/>
            <w:tcBorders>
              <w:bottom w:val="single" w:sz="8" w:color="0079C1"/>
            </w:tcBorders>
          </w:tcPr>
          <w:p>
            <w:pPr>
              <w:spacing w:after="0"/>
              <w:rPr>
                <w:sz w:val="4"/>
                <w:szCs w:val="4"/>
                <w:color w:val="auto"/>
              </w:rPr>
            </w:pPr>
          </w:p>
        </w:tc>
        <w:tc>
          <w:tcPr>
            <w:tcW w:w="1320" w:type="dxa"/>
            <w:vAlign w:val="bottom"/>
            <w:tcBorders>
              <w:bottom w:val="single" w:sz="8" w:color="0079C1"/>
            </w:tcBorders>
          </w:tcPr>
          <w:p>
            <w:pPr>
              <w:spacing w:after="0"/>
              <w:rPr>
                <w:sz w:val="4"/>
                <w:szCs w:val="4"/>
                <w:color w:val="auto"/>
              </w:rPr>
            </w:pPr>
          </w:p>
        </w:tc>
        <w:tc>
          <w:tcPr>
            <w:tcW w:w="1860" w:type="dxa"/>
            <w:vAlign w:val="bottom"/>
            <w:tcBorders>
              <w:bottom w:val="single" w:sz="8" w:color="0079C1"/>
            </w:tcBorders>
          </w:tcPr>
          <w:p>
            <w:pPr>
              <w:spacing w:after="0"/>
              <w:rPr>
                <w:sz w:val="4"/>
                <w:szCs w:val="4"/>
                <w:color w:val="auto"/>
              </w:rPr>
            </w:pPr>
          </w:p>
        </w:tc>
        <w:tc>
          <w:tcPr>
            <w:tcW w:w="1080" w:type="dxa"/>
            <w:vAlign w:val="bottom"/>
            <w:tcBorders>
              <w:bottom w:val="single" w:sz="8" w:color="0079C1"/>
            </w:tcBorders>
          </w:tcPr>
          <w:p>
            <w:pPr>
              <w:spacing w:after="0"/>
              <w:rPr>
                <w:sz w:val="4"/>
                <w:szCs w:val="4"/>
                <w:color w:val="auto"/>
              </w:rPr>
            </w:pPr>
          </w:p>
        </w:tc>
      </w:tr>
    </w:tbl>
    <w:p>
      <w:pPr>
        <w:spacing w:after="0" w:line="166" w:lineRule="exact"/>
        <w:rPr>
          <w:sz w:val="20"/>
          <w:szCs w:val="20"/>
          <w:color w:val="auto"/>
        </w:rPr>
      </w:pPr>
    </w:p>
    <w:p>
      <w:pPr>
        <w:ind w:right="140"/>
        <w:spacing w:after="0" w:line="343" w:lineRule="auto"/>
        <w:rPr>
          <w:sz w:val="20"/>
          <w:szCs w:val="20"/>
          <w:color w:val="auto"/>
        </w:rPr>
      </w:pPr>
      <w:r>
        <w:rPr>
          <w:rFonts w:ascii="Arial" w:cs="Arial" w:eastAsia="Arial" w:hAnsi="Arial"/>
          <w:sz w:val="14"/>
          <w:szCs w:val="14"/>
          <w:color w:val="auto"/>
        </w:rPr>
        <w:t>For stock options, the fair value or change in fair value, as applicable, was determined using a Black-Scholes valuation model. The model references the closing stock price, in addition to the stock option’s strike price, expected life, volatility, expected dividend yield, and risk-free rate as of the measurement date. No pension adjustments were applicable as the NEOs do not participate in a pension program.</w:t>
      </w:r>
    </w:p>
    <w:p>
      <w:pPr>
        <w:spacing w:after="0" w:line="12" w:lineRule="exact"/>
        <w:rPr>
          <w:sz w:val="20"/>
          <w:szCs w:val="20"/>
          <w:color w:val="auto"/>
        </w:rPr>
      </w:pPr>
    </w:p>
    <w:p>
      <w:pPr>
        <w:ind w:left="260" w:right="20" w:hanging="252"/>
        <w:spacing w:after="0" w:line="336" w:lineRule="auto"/>
        <w:tabs>
          <w:tab w:leader="none" w:pos="258"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column represents the average of the amounts reported for the Company’s NEOs as a group (excluding Mr. Wang) in the “Total” column of the Summary Compensation Table in each applicable year. Please refer to the Summary Compensation Table in the Company’s Proxy Statement for the applicable year. The names of each of the NEOs (excluding Mr. Wang) included for purposes of calculating the average amounts in each applicable year are as follows: for 2025, 2024, 2023, 2022, and 2021, Mark McKechnie, Jian Wang, Lisa Feng, and Fuping Chen.</w:t>
      </w:r>
    </w:p>
    <w:p>
      <w:pPr>
        <w:spacing w:after="0" w:line="16" w:lineRule="exact"/>
        <w:rPr>
          <w:rFonts w:ascii="Arial" w:cs="Arial" w:eastAsia="Arial" w:hAnsi="Arial"/>
          <w:sz w:val="14"/>
          <w:szCs w:val="14"/>
          <w:color w:val="auto"/>
        </w:rPr>
      </w:pPr>
    </w:p>
    <w:p>
      <w:pPr>
        <w:ind w:left="260" w:right="60" w:hanging="252"/>
        <w:spacing w:after="0" w:line="336" w:lineRule="auto"/>
        <w:tabs>
          <w:tab w:leader="none" w:pos="258"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column represents the average amount of “compensation actually paid” to the NEOs as a group (excluding Mr. Wang), as computed in accordance with Item 402(v) of Regulation S-K. The dollar amounts do not reflect the actual average amount of compensation earned by or paid to the NEOs as a group (excluding Mr. Wang) during the applicable year. In accordance with the requirements of Item 402(v) of Regulation S-K, the following adjustments were made to average total compensation for the NEOs as a group (excluding Mr. Wang) for 2025 to determine the “compensation actually paid”, using the same adjustment methodology described above in Note 2(c):</w:t>
      </w:r>
    </w:p>
    <w:p>
      <w:pPr>
        <w:spacing w:after="0" w:line="80"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940" w:type="dxa"/>
            <w:vAlign w:val="bottom"/>
            <w:shd w:val="clear" w:color="auto" w:fill="0079C1"/>
          </w:tcPr>
          <w:p>
            <w:pPr>
              <w:spacing w:after="0"/>
              <w:rPr>
                <w:sz w:val="15"/>
                <w:szCs w:val="15"/>
                <w:color w:val="auto"/>
              </w:rPr>
            </w:pPr>
          </w:p>
        </w:tc>
        <w:tc>
          <w:tcPr>
            <w:tcW w:w="2660" w:type="dxa"/>
            <w:vAlign w:val="bottom"/>
            <w:shd w:val="clear" w:color="auto" w:fill="0079C1"/>
          </w:tcPr>
          <w:p>
            <w:pPr>
              <w:spacing w:after="0"/>
              <w:rPr>
                <w:sz w:val="15"/>
                <w:szCs w:val="15"/>
                <w:color w:val="auto"/>
              </w:rPr>
            </w:pPr>
          </w:p>
        </w:tc>
        <w:tc>
          <w:tcPr>
            <w:tcW w:w="2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Average Reported</w:t>
            </w:r>
          </w:p>
        </w:tc>
        <w:tc>
          <w:tcPr>
            <w:tcW w:w="2380" w:type="dxa"/>
            <w:vAlign w:val="bottom"/>
            <w:shd w:val="clear" w:color="auto" w:fill="0079C1"/>
          </w:tcPr>
          <w:p>
            <w:pPr>
              <w:spacing w:after="0"/>
              <w:rPr>
                <w:sz w:val="15"/>
                <w:szCs w:val="15"/>
                <w:color w:val="auto"/>
              </w:rPr>
            </w:pPr>
          </w:p>
        </w:tc>
        <w:tc>
          <w:tcPr>
            <w:tcW w:w="2420" w:type="dxa"/>
            <w:vAlign w:val="bottom"/>
            <w:shd w:val="clear" w:color="auto" w:fill="0079C1"/>
          </w:tcPr>
          <w:p>
            <w:pPr>
              <w:spacing w:after="0"/>
              <w:rPr>
                <w:sz w:val="15"/>
                <w:szCs w:val="15"/>
                <w:color w:val="auto"/>
              </w:rPr>
            </w:pPr>
          </w:p>
        </w:tc>
      </w:tr>
      <w:tr>
        <w:trPr>
          <w:trHeight w:val="175"/>
        </w:trPr>
        <w:tc>
          <w:tcPr>
            <w:tcW w:w="940" w:type="dxa"/>
            <w:vAlign w:val="bottom"/>
            <w:shd w:val="clear" w:color="auto" w:fill="0079C1"/>
          </w:tcPr>
          <w:p>
            <w:pPr>
              <w:spacing w:after="0"/>
              <w:rPr>
                <w:sz w:val="15"/>
                <w:szCs w:val="15"/>
                <w:color w:val="auto"/>
              </w:rPr>
            </w:pPr>
          </w:p>
        </w:tc>
        <w:tc>
          <w:tcPr>
            <w:tcW w:w="2660" w:type="dxa"/>
            <w:vAlign w:val="bottom"/>
            <w:shd w:val="clear" w:color="auto" w:fill="0079C1"/>
          </w:tcPr>
          <w:p>
            <w:pPr>
              <w:jc w:val="right"/>
              <w:ind w:right="48"/>
              <w:spacing w:after="0"/>
              <w:rPr>
                <w:sz w:val="20"/>
                <w:szCs w:val="20"/>
                <w:color w:val="auto"/>
              </w:rPr>
            </w:pPr>
            <w:r>
              <w:rPr>
                <w:rFonts w:ascii="Arial" w:cs="Arial" w:eastAsia="Arial" w:hAnsi="Arial"/>
                <w:sz w:val="14"/>
                <w:szCs w:val="14"/>
                <w:b w:val="1"/>
                <w:bCs w:val="1"/>
                <w:color w:val="FFFFFF"/>
              </w:rPr>
              <w:t>Average Reported Summary</w:t>
            </w:r>
          </w:p>
        </w:tc>
        <w:tc>
          <w:tcPr>
            <w:tcW w:w="2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Summary Compensation Table</w:t>
            </w:r>
          </w:p>
        </w:tc>
        <w:tc>
          <w:tcPr>
            <w:tcW w:w="2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Average Non-PEO NEO Adjusted</w:t>
            </w:r>
          </w:p>
        </w:tc>
        <w:tc>
          <w:tcPr>
            <w:tcW w:w="24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Average Compensation Actually</w:t>
            </w:r>
          </w:p>
        </w:tc>
      </w:tr>
      <w:tr>
        <w:trPr>
          <w:trHeight w:val="173"/>
        </w:trPr>
        <w:tc>
          <w:tcPr>
            <w:tcW w:w="940" w:type="dxa"/>
            <w:vAlign w:val="bottom"/>
            <w:shd w:val="clear" w:color="auto" w:fill="0079C1"/>
          </w:tcPr>
          <w:p>
            <w:pPr>
              <w:spacing w:after="0"/>
              <w:rPr>
                <w:sz w:val="15"/>
                <w:szCs w:val="15"/>
                <w:color w:val="auto"/>
              </w:rPr>
            </w:pPr>
          </w:p>
        </w:tc>
        <w:tc>
          <w:tcPr>
            <w:tcW w:w="2660" w:type="dxa"/>
            <w:vAlign w:val="bottom"/>
            <w:shd w:val="clear" w:color="auto" w:fill="0079C1"/>
          </w:tcPr>
          <w:p>
            <w:pPr>
              <w:jc w:val="right"/>
              <w:ind w:right="48"/>
              <w:spacing w:after="0"/>
              <w:rPr>
                <w:sz w:val="20"/>
                <w:szCs w:val="20"/>
                <w:color w:val="auto"/>
              </w:rPr>
            </w:pPr>
            <w:r>
              <w:rPr>
                <w:rFonts w:ascii="Arial" w:cs="Arial" w:eastAsia="Arial" w:hAnsi="Arial"/>
                <w:sz w:val="14"/>
                <w:szCs w:val="14"/>
                <w:b w:val="1"/>
                <w:bCs w:val="1"/>
                <w:color w:val="FFFFFF"/>
              </w:rPr>
              <w:t>Compensation Table Total for</w:t>
            </w:r>
          </w:p>
        </w:tc>
        <w:tc>
          <w:tcPr>
            <w:tcW w:w="2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Value of Non-PEO NEO Equity</w:t>
            </w:r>
          </w:p>
        </w:tc>
        <w:tc>
          <w:tcPr>
            <w:tcW w:w="2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Value</w:t>
            </w:r>
          </w:p>
        </w:tc>
        <w:tc>
          <w:tcPr>
            <w:tcW w:w="24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Paid to</w:t>
            </w:r>
          </w:p>
        </w:tc>
      </w:tr>
      <w:tr>
        <w:trPr>
          <w:trHeight w:val="178"/>
        </w:trPr>
        <w:tc>
          <w:tcPr>
            <w:tcW w:w="940" w:type="dxa"/>
            <w:vAlign w:val="bottom"/>
            <w:shd w:val="clear" w:color="auto" w:fill="0079C1"/>
          </w:tcPr>
          <w:p>
            <w:pPr>
              <w:spacing w:after="0"/>
              <w:rPr>
                <w:sz w:val="15"/>
                <w:szCs w:val="15"/>
                <w:color w:val="auto"/>
              </w:rPr>
            </w:pPr>
          </w:p>
        </w:tc>
        <w:tc>
          <w:tcPr>
            <w:tcW w:w="2660" w:type="dxa"/>
            <w:vAlign w:val="bottom"/>
            <w:shd w:val="clear" w:color="auto" w:fill="0079C1"/>
          </w:tcPr>
          <w:p>
            <w:pPr>
              <w:jc w:val="right"/>
              <w:ind w:right="48"/>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9"/>
                <w:szCs w:val="9"/>
                <w:b w:val="1"/>
                <w:bCs w:val="1"/>
                <w:color w:val="FFFFFF"/>
              </w:rPr>
              <w:t>(a)</w:t>
            </w:r>
          </w:p>
        </w:tc>
        <w:tc>
          <w:tcPr>
            <w:tcW w:w="2280" w:type="dxa"/>
            <w:vAlign w:val="bottom"/>
            <w:shd w:val="clear" w:color="auto" w:fill="0079C1"/>
          </w:tcPr>
          <w:p>
            <w:pPr>
              <w:jc w:val="right"/>
              <w:spacing w:after="0" w:line="178"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(b)</w:t>
            </w:r>
          </w:p>
        </w:tc>
        <w:tc>
          <w:tcPr>
            <w:tcW w:w="2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 xml:space="preserve">of Equity Awards </w:t>
            </w:r>
            <w:r>
              <w:rPr>
                <w:rFonts w:ascii="Arial" w:cs="Arial" w:eastAsia="Arial" w:hAnsi="Arial"/>
                <w:sz w:val="9"/>
                <w:szCs w:val="9"/>
                <w:b w:val="1"/>
                <w:bCs w:val="1"/>
                <w:color w:val="FFFFFF"/>
              </w:rPr>
              <w:t>(c)</w:t>
            </w:r>
          </w:p>
        </w:tc>
        <w:tc>
          <w:tcPr>
            <w:tcW w:w="24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Non-PEO NEOs</w:t>
            </w:r>
          </w:p>
        </w:tc>
      </w:tr>
      <w:tr>
        <w:trPr>
          <w:trHeight w:val="196"/>
        </w:trPr>
        <w:tc>
          <w:tcPr>
            <w:tcW w:w="94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Year</w:t>
            </w:r>
          </w:p>
        </w:tc>
        <w:tc>
          <w:tcPr>
            <w:tcW w:w="2660" w:type="dxa"/>
            <w:vAlign w:val="bottom"/>
            <w:shd w:val="clear" w:color="auto" w:fill="0079C1"/>
          </w:tcPr>
          <w:p>
            <w:pPr>
              <w:jc w:val="right"/>
              <w:ind w:right="48"/>
              <w:spacing w:after="0"/>
              <w:rPr>
                <w:sz w:val="20"/>
                <w:szCs w:val="20"/>
                <w:color w:val="auto"/>
              </w:rPr>
            </w:pPr>
            <w:r>
              <w:rPr>
                <w:rFonts w:ascii="Arial" w:cs="Arial" w:eastAsia="Arial" w:hAnsi="Arial"/>
                <w:sz w:val="14"/>
                <w:szCs w:val="14"/>
                <w:b w:val="1"/>
                <w:bCs w:val="1"/>
                <w:color w:val="FFFFFF"/>
              </w:rPr>
              <w:t>($)</w:t>
            </w:r>
          </w:p>
        </w:tc>
        <w:tc>
          <w:tcPr>
            <w:tcW w:w="22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238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w:t>
            </w:r>
          </w:p>
        </w:tc>
        <w:tc>
          <w:tcPr>
            <w:tcW w:w="2420" w:type="dxa"/>
            <w:vAlign w:val="bottom"/>
            <w:shd w:val="clear" w:color="auto" w:fill="0079C1"/>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110"/>
        </w:trPr>
        <w:tc>
          <w:tcPr>
            <w:tcW w:w="940" w:type="dxa"/>
            <w:vAlign w:val="bottom"/>
            <w:shd w:val="clear" w:color="auto" w:fill="0079C1"/>
          </w:tcPr>
          <w:p>
            <w:pPr>
              <w:spacing w:after="0"/>
              <w:rPr>
                <w:sz w:val="9"/>
                <w:szCs w:val="9"/>
                <w:color w:val="auto"/>
              </w:rPr>
            </w:pPr>
          </w:p>
        </w:tc>
        <w:tc>
          <w:tcPr>
            <w:tcW w:w="2660" w:type="dxa"/>
            <w:vAlign w:val="bottom"/>
            <w:shd w:val="clear" w:color="auto" w:fill="0079C1"/>
          </w:tcPr>
          <w:p>
            <w:pPr>
              <w:spacing w:after="0"/>
              <w:rPr>
                <w:sz w:val="9"/>
                <w:szCs w:val="9"/>
                <w:color w:val="auto"/>
              </w:rPr>
            </w:pPr>
          </w:p>
        </w:tc>
        <w:tc>
          <w:tcPr>
            <w:tcW w:w="2280" w:type="dxa"/>
            <w:vAlign w:val="bottom"/>
            <w:shd w:val="clear" w:color="auto" w:fill="0079C1"/>
          </w:tcPr>
          <w:p>
            <w:pPr>
              <w:spacing w:after="0"/>
              <w:rPr>
                <w:sz w:val="9"/>
                <w:szCs w:val="9"/>
                <w:color w:val="auto"/>
              </w:rPr>
            </w:pPr>
          </w:p>
        </w:tc>
        <w:tc>
          <w:tcPr>
            <w:tcW w:w="2380" w:type="dxa"/>
            <w:vAlign w:val="bottom"/>
            <w:shd w:val="clear" w:color="auto" w:fill="0079C1"/>
          </w:tcPr>
          <w:p>
            <w:pPr>
              <w:spacing w:after="0"/>
              <w:rPr>
                <w:sz w:val="9"/>
                <w:szCs w:val="9"/>
                <w:color w:val="auto"/>
              </w:rPr>
            </w:pPr>
          </w:p>
        </w:tc>
        <w:tc>
          <w:tcPr>
            <w:tcW w:w="2420" w:type="dxa"/>
            <w:vAlign w:val="bottom"/>
            <w:shd w:val="clear" w:color="auto" w:fill="0079C1"/>
          </w:tcPr>
          <w:p>
            <w:pPr>
              <w:spacing w:after="0"/>
              <w:rPr>
                <w:sz w:val="9"/>
                <w:szCs w:val="9"/>
                <w:color w:val="auto"/>
              </w:rPr>
            </w:pPr>
          </w:p>
        </w:tc>
      </w:tr>
      <w:tr>
        <w:trPr>
          <w:trHeight w:val="235"/>
        </w:trPr>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2025</w:t>
            </w:r>
          </w:p>
        </w:tc>
        <w:tc>
          <w:tcPr>
            <w:tcW w:w="2660" w:type="dxa"/>
            <w:vAlign w:val="bottom"/>
          </w:tcPr>
          <w:p>
            <w:pPr>
              <w:jc w:val="right"/>
              <w:ind w:right="88"/>
              <w:spacing w:after="0"/>
              <w:rPr>
                <w:sz w:val="20"/>
                <w:szCs w:val="20"/>
                <w:color w:val="auto"/>
              </w:rPr>
            </w:pPr>
            <w:r>
              <w:rPr>
                <w:rFonts w:ascii="Arial" w:cs="Arial" w:eastAsia="Arial" w:hAnsi="Arial"/>
                <w:sz w:val="14"/>
                <w:szCs w:val="14"/>
                <w:color w:val="auto"/>
              </w:rPr>
              <w:t>422,468</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48"/>
              <w:spacing w:after="0"/>
              <w:rPr>
                <w:sz w:val="20"/>
                <w:szCs w:val="20"/>
                <w:color w:val="auto"/>
              </w:rPr>
            </w:pPr>
            <w:r>
              <w:rPr>
                <w:rFonts w:ascii="Arial" w:cs="Arial" w:eastAsia="Arial" w:hAnsi="Arial"/>
                <w:sz w:val="14"/>
                <w:szCs w:val="14"/>
                <w:color w:val="auto"/>
              </w:rPr>
              <w:t>9,191,448</w:t>
            </w:r>
          </w:p>
        </w:tc>
        <w:tc>
          <w:tcPr>
            <w:tcW w:w="2420" w:type="dxa"/>
            <w:vAlign w:val="bottom"/>
          </w:tcPr>
          <w:p>
            <w:pPr>
              <w:jc w:val="right"/>
              <w:ind w:right="128"/>
              <w:spacing w:after="0"/>
              <w:rPr>
                <w:sz w:val="20"/>
                <w:szCs w:val="20"/>
                <w:color w:val="auto"/>
              </w:rPr>
            </w:pPr>
            <w:r>
              <w:rPr>
                <w:rFonts w:ascii="Arial" w:cs="Arial" w:eastAsia="Arial" w:hAnsi="Arial"/>
                <w:sz w:val="14"/>
                <w:szCs w:val="14"/>
                <w:color w:val="auto"/>
              </w:rPr>
              <w:t>9,613,916</w:t>
            </w:r>
          </w:p>
        </w:tc>
      </w:tr>
      <w:tr>
        <w:trPr>
          <w:trHeight w:val="49"/>
        </w:trPr>
        <w:tc>
          <w:tcPr>
            <w:tcW w:w="940" w:type="dxa"/>
            <w:vAlign w:val="bottom"/>
            <w:tcBorders>
              <w:bottom w:val="single" w:sz="8" w:color="0079C1"/>
            </w:tcBorders>
          </w:tcPr>
          <w:p>
            <w:pPr>
              <w:spacing w:after="0"/>
              <w:rPr>
                <w:sz w:val="4"/>
                <w:szCs w:val="4"/>
                <w:color w:val="auto"/>
              </w:rPr>
            </w:pPr>
          </w:p>
        </w:tc>
        <w:tc>
          <w:tcPr>
            <w:tcW w:w="2660" w:type="dxa"/>
            <w:vAlign w:val="bottom"/>
            <w:tcBorders>
              <w:bottom w:val="single" w:sz="8" w:color="0079C1"/>
            </w:tcBorders>
          </w:tcPr>
          <w:p>
            <w:pPr>
              <w:spacing w:after="0"/>
              <w:rPr>
                <w:sz w:val="4"/>
                <w:szCs w:val="4"/>
                <w:color w:val="auto"/>
              </w:rPr>
            </w:pPr>
          </w:p>
        </w:tc>
        <w:tc>
          <w:tcPr>
            <w:tcW w:w="2280" w:type="dxa"/>
            <w:vAlign w:val="bottom"/>
            <w:tcBorders>
              <w:bottom w:val="single" w:sz="8" w:color="0079C1"/>
            </w:tcBorders>
          </w:tcPr>
          <w:p>
            <w:pPr>
              <w:spacing w:after="0"/>
              <w:rPr>
                <w:sz w:val="4"/>
                <w:szCs w:val="4"/>
                <w:color w:val="auto"/>
              </w:rPr>
            </w:pPr>
          </w:p>
        </w:tc>
        <w:tc>
          <w:tcPr>
            <w:tcW w:w="2380" w:type="dxa"/>
            <w:vAlign w:val="bottom"/>
            <w:tcBorders>
              <w:bottom w:val="single" w:sz="8" w:color="0079C1"/>
            </w:tcBorders>
          </w:tcPr>
          <w:p>
            <w:pPr>
              <w:spacing w:after="0"/>
              <w:rPr>
                <w:sz w:val="4"/>
                <w:szCs w:val="4"/>
                <w:color w:val="auto"/>
              </w:rPr>
            </w:pPr>
          </w:p>
        </w:tc>
        <w:tc>
          <w:tcPr>
            <w:tcW w:w="2420" w:type="dxa"/>
            <w:vAlign w:val="bottom"/>
            <w:tcBorders>
              <w:bottom w:val="single" w:sz="8" w:color="0079C1"/>
            </w:tcBorders>
          </w:tcPr>
          <w:p>
            <w:pPr>
              <w:spacing w:after="0"/>
              <w:rPr>
                <w:sz w:val="4"/>
                <w:szCs w:val="4"/>
                <w:color w:val="auto"/>
              </w:rPr>
            </w:pPr>
          </w:p>
        </w:tc>
      </w:tr>
    </w:tbl>
    <w:p>
      <w:pPr>
        <w:spacing w:after="0" w:line="153" w:lineRule="exact"/>
        <w:rPr>
          <w:sz w:val="20"/>
          <w:szCs w:val="20"/>
          <w:color w:val="auto"/>
        </w:rPr>
      </w:pPr>
    </w:p>
    <w:p>
      <w:pPr>
        <w:jc w:val="both"/>
        <w:ind w:left="500" w:right="820" w:hanging="249"/>
        <w:spacing w:after="0" w:line="343" w:lineRule="auto"/>
        <w:tabs>
          <w:tab w:leader="none" w:pos="5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column represents the average of the amounts reported for the Company’s NEO as a group (excluding Mr. Wang) in the “Total” column of the Summary Compensation Table in 2025.No equity awards were granted to the Company’s NEO as a group (excluding Mr. Wang) in 2025. Please refer to the Summary Compensation Table in this Proxy Statement.</w:t>
      </w:r>
    </w:p>
    <w:p>
      <w:pPr>
        <w:spacing w:after="0" w:line="11" w:lineRule="exact"/>
        <w:rPr>
          <w:rFonts w:ascii="Arial" w:cs="Arial" w:eastAsia="Arial" w:hAnsi="Arial"/>
          <w:sz w:val="14"/>
          <w:szCs w:val="14"/>
          <w:color w:val="auto"/>
        </w:rPr>
      </w:pPr>
    </w:p>
    <w:p>
      <w:pPr>
        <w:ind w:left="500" w:right="40" w:hanging="249"/>
        <w:spacing w:after="0" w:line="343" w:lineRule="auto"/>
        <w:tabs>
          <w:tab w:leader="none" w:pos="498"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column represents the average of the total amounts reported for the NEOs as a group (excluding Mr. Wang) in the “Option Awards” column in the Summary Compensation Table in 2025. Please refer to the Summary Compensation Table in this Proxy Statement.The amount in this column is replaced with the amount reported in the Average Non-PEO NEO Adjusted Value of Equity Awards column in order to arrive at compensation actually paid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15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right="420" w:hanging="249"/>
        <w:spacing w:after="0" w:line="343" w:lineRule="auto"/>
        <w:tabs>
          <w:tab w:leader="none" w:pos="504"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column represents an adjustment to the average of the amounts reported for the NEOs as a group (excluding Mr. Wang) in the “Option Awards” column in the Summary Compensation Table in 2025 determined using the same methodology described above in Note 2(c) for each NEO (excluding Mr. Wang), which is then averaged to determine the average “compensation actually paid” to the NEOs as a group (excluding Mr. Wang) for 2025.</w:t>
      </w:r>
    </w:p>
    <w:p>
      <w:pPr>
        <w:spacing w:after="0" w:line="1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The amounts added or subtracted to determine the adjusted average amount for our non-PEO NEOs are as follows: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780" w:type="dxa"/>
            <w:vAlign w:val="bottom"/>
            <w:shd w:val="clear" w:color="auto" w:fill="0079C1"/>
          </w:tcPr>
          <w:p>
            <w:pPr>
              <w:spacing w:after="0"/>
              <w:rPr>
                <w:sz w:val="16"/>
                <w:szCs w:val="16"/>
                <w:color w:val="auto"/>
              </w:rPr>
            </w:pPr>
          </w:p>
        </w:tc>
        <w:tc>
          <w:tcPr>
            <w:tcW w:w="1140" w:type="dxa"/>
            <w:vAlign w:val="bottom"/>
            <w:shd w:val="clear" w:color="auto" w:fill="0079C1"/>
          </w:tcPr>
          <w:p>
            <w:pPr>
              <w:spacing w:after="0"/>
              <w:rPr>
                <w:sz w:val="16"/>
                <w:szCs w:val="16"/>
                <w:color w:val="auto"/>
              </w:rPr>
            </w:pPr>
          </w:p>
        </w:tc>
        <w:tc>
          <w:tcPr>
            <w:tcW w:w="1520" w:type="dxa"/>
            <w:vAlign w:val="bottom"/>
            <w:shd w:val="clear" w:color="auto" w:fill="0079C1"/>
          </w:tcPr>
          <w:p>
            <w:pPr>
              <w:spacing w:after="0"/>
              <w:rPr>
                <w:sz w:val="16"/>
                <w:szCs w:val="16"/>
                <w:color w:val="auto"/>
              </w:rPr>
            </w:pPr>
          </w:p>
        </w:tc>
        <w:tc>
          <w:tcPr>
            <w:tcW w:w="1320" w:type="dxa"/>
            <w:vAlign w:val="bottom"/>
            <w:shd w:val="clear" w:color="auto" w:fill="0079C1"/>
          </w:tcPr>
          <w:p>
            <w:pPr>
              <w:spacing w:after="0"/>
              <w:rPr>
                <w:sz w:val="16"/>
                <w:szCs w:val="16"/>
                <w:color w:val="auto"/>
              </w:rPr>
            </w:pPr>
          </w:p>
        </w:tc>
        <w:tc>
          <w:tcPr>
            <w:tcW w:w="1420" w:type="dxa"/>
            <w:vAlign w:val="bottom"/>
            <w:shd w:val="clear" w:color="auto" w:fill="0079C1"/>
          </w:tcPr>
          <w:p>
            <w:pPr>
              <w:spacing w:after="0"/>
              <w:rPr>
                <w:sz w:val="16"/>
                <w:szCs w:val="16"/>
                <w:color w:val="auto"/>
              </w:rPr>
            </w:pPr>
          </w:p>
        </w:tc>
        <w:tc>
          <w:tcPr>
            <w:tcW w:w="1380" w:type="dxa"/>
            <w:vAlign w:val="bottom"/>
            <w:shd w:val="clear" w:color="auto" w:fill="0079C1"/>
          </w:tcPr>
          <w:p>
            <w:pPr>
              <w:spacing w:after="0"/>
              <w:rPr>
                <w:sz w:val="16"/>
                <w:szCs w:val="16"/>
                <w:color w:val="auto"/>
              </w:rPr>
            </w:pP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Average Value of</w:t>
            </w:r>
          </w:p>
        </w:tc>
        <w:tc>
          <w:tcPr>
            <w:tcW w:w="1020" w:type="dxa"/>
            <w:vAlign w:val="bottom"/>
            <w:shd w:val="clear" w:color="auto" w:fill="0079C1"/>
          </w:tcPr>
          <w:p>
            <w:pPr>
              <w:spacing w:after="0"/>
              <w:rPr>
                <w:sz w:val="16"/>
                <w:szCs w:val="16"/>
                <w:color w:val="auto"/>
              </w:rPr>
            </w:pPr>
          </w:p>
        </w:tc>
      </w:tr>
      <w:tr>
        <w:trPr>
          <w:trHeight w:val="175"/>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spacing w:after="0"/>
              <w:rPr>
                <w:sz w:val="15"/>
                <w:szCs w:val="15"/>
                <w:color w:val="auto"/>
              </w:rPr>
            </w:pPr>
          </w:p>
        </w:tc>
        <w:tc>
          <w:tcPr>
            <w:tcW w:w="1520" w:type="dxa"/>
            <w:vAlign w:val="bottom"/>
            <w:shd w:val="clear" w:color="auto" w:fill="0079C1"/>
          </w:tcPr>
          <w:p>
            <w:pPr>
              <w:spacing w:after="0"/>
              <w:rPr>
                <w:sz w:val="15"/>
                <w:szCs w:val="15"/>
                <w:color w:val="auto"/>
              </w:rPr>
            </w:pPr>
          </w:p>
        </w:tc>
        <w:tc>
          <w:tcPr>
            <w:tcW w:w="1320" w:type="dxa"/>
            <w:vAlign w:val="bottom"/>
            <w:shd w:val="clear" w:color="auto" w:fill="0079C1"/>
          </w:tcPr>
          <w:p>
            <w:pPr>
              <w:spacing w:after="0"/>
              <w:rPr>
                <w:sz w:val="15"/>
                <w:szCs w:val="15"/>
                <w:color w:val="auto"/>
              </w:rPr>
            </w:pPr>
          </w:p>
        </w:tc>
        <w:tc>
          <w:tcPr>
            <w:tcW w:w="1420" w:type="dxa"/>
            <w:vAlign w:val="bottom"/>
            <w:shd w:val="clear" w:color="auto" w:fill="0079C1"/>
          </w:tcPr>
          <w:p>
            <w:pPr>
              <w:spacing w:after="0"/>
              <w:rPr>
                <w:sz w:val="15"/>
                <w:szCs w:val="15"/>
                <w:color w:val="auto"/>
              </w:rPr>
            </w:pPr>
          </w:p>
        </w:tc>
        <w:tc>
          <w:tcPr>
            <w:tcW w:w="1380" w:type="dxa"/>
            <w:vAlign w:val="bottom"/>
            <w:shd w:val="clear" w:color="auto" w:fill="0079C1"/>
          </w:tcPr>
          <w:p>
            <w:pPr>
              <w:spacing w:after="0"/>
              <w:rPr>
                <w:sz w:val="15"/>
                <w:szCs w:val="15"/>
                <w:color w:val="auto"/>
              </w:rPr>
            </w:pP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Dividends or other</w:t>
            </w:r>
          </w:p>
        </w:tc>
        <w:tc>
          <w:tcPr>
            <w:tcW w:w="1020" w:type="dxa"/>
            <w:vAlign w:val="bottom"/>
            <w:shd w:val="clear" w:color="auto" w:fill="0079C1"/>
          </w:tcPr>
          <w:p>
            <w:pPr>
              <w:spacing w:after="0"/>
              <w:rPr>
                <w:sz w:val="15"/>
                <w:szCs w:val="15"/>
                <w:color w:val="auto"/>
              </w:rPr>
            </w:pPr>
          </w:p>
        </w:tc>
      </w:tr>
      <w:tr>
        <w:trPr>
          <w:trHeight w:val="162"/>
        </w:trPr>
        <w:tc>
          <w:tcPr>
            <w:tcW w:w="780" w:type="dxa"/>
            <w:vAlign w:val="bottom"/>
            <w:shd w:val="clear" w:color="auto" w:fill="0079C1"/>
          </w:tcPr>
          <w:p>
            <w:pPr>
              <w:spacing w:after="0"/>
              <w:rPr>
                <w:sz w:val="14"/>
                <w:szCs w:val="14"/>
                <w:color w:val="auto"/>
              </w:rPr>
            </w:pPr>
          </w:p>
        </w:tc>
        <w:tc>
          <w:tcPr>
            <w:tcW w:w="1140" w:type="dxa"/>
            <w:vAlign w:val="bottom"/>
            <w:shd w:val="clear" w:color="auto" w:fill="0079C1"/>
          </w:tcPr>
          <w:p>
            <w:pPr>
              <w:spacing w:after="0"/>
              <w:rPr>
                <w:sz w:val="14"/>
                <w:szCs w:val="14"/>
                <w:color w:val="auto"/>
              </w:rPr>
            </w:pPr>
          </w:p>
        </w:tc>
        <w:tc>
          <w:tcPr>
            <w:tcW w:w="1520" w:type="dxa"/>
            <w:vAlign w:val="bottom"/>
            <w:shd w:val="clear" w:color="auto" w:fill="0079C1"/>
          </w:tcPr>
          <w:p>
            <w:pPr>
              <w:spacing w:after="0"/>
              <w:rPr>
                <w:sz w:val="14"/>
                <w:szCs w:val="14"/>
                <w:color w:val="auto"/>
              </w:rPr>
            </w:pPr>
          </w:p>
        </w:tc>
        <w:tc>
          <w:tcPr>
            <w:tcW w:w="1320" w:type="dxa"/>
            <w:vAlign w:val="bottom"/>
            <w:shd w:val="clear" w:color="auto" w:fill="0079C1"/>
          </w:tcPr>
          <w:p>
            <w:pPr>
              <w:spacing w:after="0"/>
              <w:rPr>
                <w:sz w:val="14"/>
                <w:szCs w:val="14"/>
                <w:color w:val="auto"/>
              </w:rPr>
            </w:pPr>
          </w:p>
        </w:tc>
        <w:tc>
          <w:tcPr>
            <w:tcW w:w="1420" w:type="dxa"/>
            <w:vAlign w:val="bottom"/>
            <w:shd w:val="clear" w:color="auto" w:fill="0079C1"/>
          </w:tcPr>
          <w:p>
            <w:pPr>
              <w:spacing w:after="0"/>
              <w:rPr>
                <w:sz w:val="14"/>
                <w:szCs w:val="14"/>
                <w:color w:val="auto"/>
              </w:rPr>
            </w:pPr>
          </w:p>
        </w:tc>
        <w:tc>
          <w:tcPr>
            <w:tcW w:w="1380" w:type="dxa"/>
            <w:vAlign w:val="bottom"/>
            <w:shd w:val="clear" w:color="auto" w:fill="0079C1"/>
          </w:tcPr>
          <w:p>
            <w:pPr>
              <w:spacing w:after="0"/>
              <w:rPr>
                <w:sz w:val="14"/>
                <w:szCs w:val="14"/>
                <w:color w:val="auto"/>
              </w:rPr>
            </w:pP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Earnings Paid on</w:t>
            </w:r>
          </w:p>
        </w:tc>
        <w:tc>
          <w:tcPr>
            <w:tcW w:w="1020" w:type="dxa"/>
            <w:vAlign w:val="bottom"/>
            <w:shd w:val="clear" w:color="auto" w:fill="0079C1"/>
          </w:tcPr>
          <w:p>
            <w:pPr>
              <w:spacing w:after="0"/>
              <w:rPr>
                <w:sz w:val="14"/>
                <w:szCs w:val="14"/>
                <w:color w:val="auto"/>
              </w:rPr>
            </w:pPr>
          </w:p>
        </w:tc>
      </w:tr>
      <w:tr>
        <w:trPr>
          <w:trHeight w:val="175"/>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spacing w:after="0"/>
              <w:rPr>
                <w:sz w:val="15"/>
                <w:szCs w:val="15"/>
                <w:color w:val="auto"/>
              </w:rPr>
            </w:pPr>
          </w:p>
        </w:tc>
        <w:tc>
          <w:tcPr>
            <w:tcW w:w="15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Average</w:t>
            </w:r>
          </w:p>
        </w:tc>
        <w:tc>
          <w:tcPr>
            <w:tcW w:w="1320" w:type="dxa"/>
            <w:vAlign w:val="bottom"/>
            <w:shd w:val="clear" w:color="auto" w:fill="0079C1"/>
          </w:tcPr>
          <w:p>
            <w:pPr>
              <w:spacing w:after="0"/>
              <w:rPr>
                <w:sz w:val="15"/>
                <w:szCs w:val="15"/>
                <w:color w:val="auto"/>
              </w:rPr>
            </w:pP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Average Change in</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Average Fair</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Stock or Option</w:t>
            </w:r>
          </w:p>
        </w:tc>
        <w:tc>
          <w:tcPr>
            <w:tcW w:w="1020" w:type="dxa"/>
            <w:vAlign w:val="bottom"/>
            <w:shd w:val="clear" w:color="auto" w:fill="0079C1"/>
          </w:tcPr>
          <w:p>
            <w:pPr>
              <w:spacing w:after="0"/>
              <w:rPr>
                <w:sz w:val="15"/>
                <w:szCs w:val="15"/>
                <w:color w:val="auto"/>
              </w:rPr>
            </w:pPr>
          </w:p>
        </w:tc>
      </w:tr>
      <w:tr>
        <w:trPr>
          <w:trHeight w:val="176"/>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Average</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 over Year</w:t>
            </w:r>
          </w:p>
        </w:tc>
        <w:tc>
          <w:tcPr>
            <w:tcW w:w="1320" w:type="dxa"/>
            <w:vAlign w:val="bottom"/>
            <w:shd w:val="clear" w:color="auto" w:fill="0079C1"/>
          </w:tcPr>
          <w:p>
            <w:pPr>
              <w:spacing w:after="0"/>
              <w:rPr>
                <w:sz w:val="15"/>
                <w:szCs w:val="15"/>
                <w:color w:val="auto"/>
              </w:rPr>
            </w:pP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Fair Value (from the</w:t>
            </w:r>
          </w:p>
        </w:tc>
        <w:tc>
          <w:tcPr>
            <w:tcW w:w="2960" w:type="dxa"/>
            <w:vAlign w:val="bottom"/>
            <w:gridSpan w:val="2"/>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Value at the End Awards not Otherwise</w:t>
            </w:r>
          </w:p>
        </w:tc>
        <w:tc>
          <w:tcPr>
            <w:tcW w:w="1020" w:type="dxa"/>
            <w:vAlign w:val="bottom"/>
            <w:shd w:val="clear" w:color="auto" w:fill="0079C1"/>
          </w:tcPr>
          <w:p>
            <w:pPr>
              <w:spacing w:after="0"/>
              <w:rPr>
                <w:sz w:val="15"/>
                <w:szCs w:val="15"/>
                <w:color w:val="auto"/>
              </w:rPr>
            </w:pPr>
          </w:p>
        </w:tc>
      </w:tr>
      <w:tr>
        <w:trPr>
          <w:trHeight w:val="176"/>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Year End</w:t>
            </w:r>
          </w:p>
        </w:tc>
        <w:tc>
          <w:tcPr>
            <w:tcW w:w="2840" w:type="dxa"/>
            <w:vAlign w:val="bottom"/>
            <w:gridSpan w:val="2"/>
            <w:shd w:val="clear" w:color="auto" w:fill="0079C1"/>
          </w:tcPr>
          <w:p>
            <w:pPr>
              <w:jc w:val="right"/>
              <w:spacing w:after="0"/>
              <w:rPr>
                <w:sz w:val="20"/>
                <w:szCs w:val="20"/>
                <w:color w:val="auto"/>
              </w:rPr>
            </w:pPr>
            <w:r>
              <w:rPr>
                <w:rFonts w:ascii="Arial" w:cs="Arial" w:eastAsia="Arial" w:hAnsi="Arial"/>
                <w:sz w:val="14"/>
                <w:szCs w:val="14"/>
                <w:b w:val="1"/>
                <w:bCs w:val="1"/>
                <w:color w:val="FFFFFF"/>
              </w:rPr>
              <w:t>Change in Fair Value Average Fair Value</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end of the Prior</w:t>
            </w:r>
          </w:p>
        </w:tc>
        <w:tc>
          <w:tcPr>
            <w:tcW w:w="2960" w:type="dxa"/>
            <w:vAlign w:val="bottom"/>
            <w:gridSpan w:val="2"/>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of the Prior Year Reflected in Fair Value</w:t>
            </w:r>
          </w:p>
        </w:tc>
        <w:tc>
          <w:tcPr>
            <w:tcW w:w="1020" w:type="dxa"/>
            <w:vAlign w:val="bottom"/>
            <w:shd w:val="clear" w:color="auto" w:fill="0079C1"/>
          </w:tcPr>
          <w:p>
            <w:pPr>
              <w:spacing w:after="0"/>
              <w:rPr>
                <w:sz w:val="15"/>
                <w:szCs w:val="15"/>
                <w:color w:val="auto"/>
              </w:rPr>
            </w:pPr>
          </w:p>
        </w:tc>
      </w:tr>
      <w:tr>
        <w:trPr>
          <w:trHeight w:val="175"/>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ind w:right="28"/>
              <w:spacing w:after="0"/>
              <w:rPr>
                <w:sz w:val="20"/>
                <w:szCs w:val="20"/>
                <w:color w:val="auto"/>
              </w:rPr>
            </w:pPr>
            <w:r>
              <w:rPr>
                <w:rFonts w:ascii="Arial" w:cs="Arial" w:eastAsia="Arial" w:hAnsi="Arial"/>
                <w:sz w:val="14"/>
                <w:szCs w:val="14"/>
                <w:b w:val="1"/>
                <w:bCs w:val="1"/>
                <w:color w:val="FFFFFF"/>
              </w:rPr>
              <w:t>Fair Value</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of Outstanding and</w:t>
            </w:r>
          </w:p>
        </w:tc>
        <w:tc>
          <w:tcPr>
            <w:tcW w:w="1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as of Vesting Date</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 of Equity</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of Equity Awards</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or Total</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Adjusted</w:t>
            </w:r>
          </w:p>
        </w:tc>
      </w:tr>
      <w:tr>
        <w:trPr>
          <w:trHeight w:val="162"/>
        </w:trPr>
        <w:tc>
          <w:tcPr>
            <w:tcW w:w="780" w:type="dxa"/>
            <w:vAlign w:val="bottom"/>
            <w:shd w:val="clear" w:color="auto" w:fill="0079C1"/>
          </w:tcPr>
          <w:p>
            <w:pPr>
              <w:spacing w:after="0"/>
              <w:rPr>
                <w:sz w:val="14"/>
                <w:szCs w:val="14"/>
                <w:color w:val="auto"/>
              </w:rPr>
            </w:pPr>
          </w:p>
        </w:tc>
        <w:tc>
          <w:tcPr>
            <w:tcW w:w="11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of Equity</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Unvested Equity</w:t>
            </w:r>
          </w:p>
        </w:tc>
        <w:tc>
          <w:tcPr>
            <w:tcW w:w="1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of Equity Awards</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 Granted in</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that Failed to</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Average</w:t>
            </w:r>
          </w:p>
        </w:tc>
      </w:tr>
      <w:tr>
        <w:trPr>
          <w:trHeight w:val="176"/>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Awards at FYE</w:t>
            </w:r>
          </w:p>
        </w:tc>
        <w:tc>
          <w:tcPr>
            <w:tcW w:w="1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Granted in the</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Prior Years that</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Meet Vesting</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in the Summary</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Value of</w:t>
            </w:r>
          </w:p>
        </w:tc>
      </w:tr>
      <w:tr>
        <w:trPr>
          <w:trHeight w:val="176"/>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Granted</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Granted in Prior</w:t>
            </w:r>
          </w:p>
        </w:tc>
        <w:tc>
          <w:tcPr>
            <w:tcW w:w="13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Year and Vested</w:t>
            </w:r>
          </w:p>
        </w:tc>
        <w:tc>
          <w:tcPr>
            <w:tcW w:w="1420" w:type="dxa"/>
            <w:vAlign w:val="bottom"/>
            <w:shd w:val="clear" w:color="auto" w:fill="0079C1"/>
          </w:tcPr>
          <w:p>
            <w:pPr>
              <w:jc w:val="right"/>
              <w:ind w:right="8"/>
              <w:spacing w:after="0"/>
              <w:rPr>
                <w:sz w:val="20"/>
                <w:szCs w:val="20"/>
                <w:color w:val="auto"/>
              </w:rPr>
            </w:pPr>
            <w:r>
              <w:rPr>
                <w:rFonts w:ascii="Arial" w:cs="Arial" w:eastAsia="Arial" w:hAnsi="Arial"/>
                <w:sz w:val="14"/>
                <w:szCs w:val="14"/>
                <w:b w:val="1"/>
                <w:bCs w:val="1"/>
                <w:color w:val="FFFFFF"/>
              </w:rPr>
              <w:t>Vested</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Conditions in the</w:t>
            </w:r>
          </w:p>
        </w:tc>
        <w:tc>
          <w:tcPr>
            <w:tcW w:w="1580" w:type="dxa"/>
            <w:vAlign w:val="bottom"/>
            <w:shd w:val="clear" w:color="auto" w:fill="0079C1"/>
          </w:tcPr>
          <w:p>
            <w:pPr>
              <w:jc w:val="right"/>
              <w:ind w:right="128"/>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Equity</w:t>
            </w:r>
          </w:p>
        </w:tc>
      </w:tr>
      <w:tr>
        <w:trPr>
          <w:trHeight w:val="175"/>
        </w:trPr>
        <w:tc>
          <w:tcPr>
            <w:tcW w:w="780" w:type="dxa"/>
            <w:vAlign w:val="bottom"/>
            <w:shd w:val="clear" w:color="auto" w:fill="0079C1"/>
          </w:tcPr>
          <w:p>
            <w:pPr>
              <w:spacing w:after="0"/>
              <w:rPr>
                <w:sz w:val="15"/>
                <w:szCs w:val="15"/>
                <w:color w:val="auto"/>
              </w:rPr>
            </w:pPr>
          </w:p>
        </w:tc>
        <w:tc>
          <w:tcPr>
            <w:tcW w:w="11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in the Year</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Years</w:t>
            </w:r>
          </w:p>
        </w:tc>
        <w:tc>
          <w:tcPr>
            <w:tcW w:w="1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in the Year</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in the Year</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Year</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Table for the Year</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Awards</w:t>
            </w:r>
          </w:p>
        </w:tc>
      </w:tr>
      <w:tr>
        <w:trPr>
          <w:trHeight w:val="210"/>
        </w:trPr>
        <w:tc>
          <w:tcPr>
            <w:tcW w:w="780" w:type="dxa"/>
            <w:vAlign w:val="bottom"/>
            <w:shd w:val="clear" w:color="auto" w:fill="0079C1"/>
          </w:tcPr>
          <w:p>
            <w:pPr>
              <w:ind w:left="100"/>
              <w:spacing w:after="0"/>
              <w:rPr>
                <w:sz w:val="20"/>
                <w:szCs w:val="20"/>
                <w:color w:val="auto"/>
              </w:rPr>
            </w:pPr>
            <w:r>
              <w:rPr>
                <w:rFonts w:ascii="Arial" w:cs="Arial" w:eastAsia="Arial" w:hAnsi="Arial"/>
                <w:sz w:val="14"/>
                <w:szCs w:val="14"/>
                <w:b w:val="1"/>
                <w:bCs w:val="1"/>
                <w:color w:val="FFFFFF"/>
              </w:rPr>
              <w:t>Year</w:t>
            </w:r>
          </w:p>
        </w:tc>
        <w:tc>
          <w:tcPr>
            <w:tcW w:w="114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79C1"/>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97"/>
        </w:trPr>
        <w:tc>
          <w:tcPr>
            <w:tcW w:w="780" w:type="dxa"/>
            <w:vAlign w:val="bottom"/>
            <w:shd w:val="clear" w:color="auto" w:fill="0079C1"/>
          </w:tcPr>
          <w:p>
            <w:pPr>
              <w:spacing w:after="0"/>
              <w:rPr>
                <w:sz w:val="8"/>
                <w:szCs w:val="8"/>
                <w:color w:val="auto"/>
              </w:rPr>
            </w:pPr>
          </w:p>
        </w:tc>
        <w:tc>
          <w:tcPr>
            <w:tcW w:w="1140" w:type="dxa"/>
            <w:vAlign w:val="bottom"/>
            <w:shd w:val="clear" w:color="auto" w:fill="0079C1"/>
          </w:tcPr>
          <w:p>
            <w:pPr>
              <w:spacing w:after="0"/>
              <w:rPr>
                <w:sz w:val="8"/>
                <w:szCs w:val="8"/>
                <w:color w:val="auto"/>
              </w:rPr>
            </w:pPr>
          </w:p>
        </w:tc>
        <w:tc>
          <w:tcPr>
            <w:tcW w:w="1520" w:type="dxa"/>
            <w:vAlign w:val="bottom"/>
            <w:shd w:val="clear" w:color="auto" w:fill="0079C1"/>
          </w:tcPr>
          <w:p>
            <w:pPr>
              <w:spacing w:after="0"/>
              <w:rPr>
                <w:sz w:val="8"/>
                <w:szCs w:val="8"/>
                <w:color w:val="auto"/>
              </w:rPr>
            </w:pPr>
          </w:p>
        </w:tc>
        <w:tc>
          <w:tcPr>
            <w:tcW w:w="1320" w:type="dxa"/>
            <w:vAlign w:val="bottom"/>
            <w:shd w:val="clear" w:color="auto" w:fill="0079C1"/>
          </w:tcPr>
          <w:p>
            <w:pPr>
              <w:spacing w:after="0"/>
              <w:rPr>
                <w:sz w:val="8"/>
                <w:szCs w:val="8"/>
                <w:color w:val="auto"/>
              </w:rPr>
            </w:pPr>
          </w:p>
        </w:tc>
        <w:tc>
          <w:tcPr>
            <w:tcW w:w="1420" w:type="dxa"/>
            <w:vAlign w:val="bottom"/>
            <w:shd w:val="clear" w:color="auto" w:fill="0079C1"/>
          </w:tcPr>
          <w:p>
            <w:pPr>
              <w:spacing w:after="0"/>
              <w:rPr>
                <w:sz w:val="8"/>
                <w:szCs w:val="8"/>
                <w:color w:val="auto"/>
              </w:rPr>
            </w:pPr>
          </w:p>
        </w:tc>
        <w:tc>
          <w:tcPr>
            <w:tcW w:w="1380" w:type="dxa"/>
            <w:vAlign w:val="bottom"/>
            <w:shd w:val="clear" w:color="auto" w:fill="0079C1"/>
          </w:tcPr>
          <w:p>
            <w:pPr>
              <w:spacing w:after="0"/>
              <w:rPr>
                <w:sz w:val="8"/>
                <w:szCs w:val="8"/>
                <w:color w:val="auto"/>
              </w:rPr>
            </w:pPr>
          </w:p>
        </w:tc>
        <w:tc>
          <w:tcPr>
            <w:tcW w:w="1580" w:type="dxa"/>
            <w:vAlign w:val="bottom"/>
            <w:shd w:val="clear" w:color="auto" w:fill="0079C1"/>
          </w:tcPr>
          <w:p>
            <w:pPr>
              <w:spacing w:after="0"/>
              <w:rPr>
                <w:sz w:val="8"/>
                <w:szCs w:val="8"/>
                <w:color w:val="auto"/>
              </w:rPr>
            </w:pPr>
          </w:p>
        </w:tc>
        <w:tc>
          <w:tcPr>
            <w:tcW w:w="1020" w:type="dxa"/>
            <w:vAlign w:val="bottom"/>
            <w:shd w:val="clear" w:color="auto" w:fill="0079C1"/>
          </w:tcPr>
          <w:p>
            <w:pPr>
              <w:spacing w:after="0"/>
              <w:rPr>
                <w:sz w:val="8"/>
                <w:szCs w:val="8"/>
                <w:color w:val="auto"/>
              </w:rPr>
            </w:pPr>
          </w:p>
        </w:tc>
      </w:tr>
      <w:tr>
        <w:trPr>
          <w:trHeight w:val="235"/>
        </w:trPr>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2025</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7,076,292</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2,115,157</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9,191,449</w:t>
            </w:r>
          </w:p>
        </w:tc>
      </w:tr>
      <w:tr>
        <w:trPr>
          <w:trHeight w:val="48"/>
        </w:trPr>
        <w:tc>
          <w:tcPr>
            <w:tcW w:w="780" w:type="dxa"/>
            <w:vAlign w:val="bottom"/>
            <w:tcBorders>
              <w:bottom w:val="single" w:sz="8" w:color="0079C1"/>
            </w:tcBorders>
          </w:tcPr>
          <w:p>
            <w:pPr>
              <w:spacing w:after="0"/>
              <w:rPr>
                <w:sz w:val="4"/>
                <w:szCs w:val="4"/>
                <w:color w:val="auto"/>
              </w:rPr>
            </w:pPr>
          </w:p>
        </w:tc>
        <w:tc>
          <w:tcPr>
            <w:tcW w:w="1140" w:type="dxa"/>
            <w:vAlign w:val="bottom"/>
            <w:tcBorders>
              <w:bottom w:val="single" w:sz="8" w:color="0079C1"/>
            </w:tcBorders>
          </w:tcPr>
          <w:p>
            <w:pPr>
              <w:spacing w:after="0"/>
              <w:rPr>
                <w:sz w:val="4"/>
                <w:szCs w:val="4"/>
                <w:color w:val="auto"/>
              </w:rPr>
            </w:pPr>
          </w:p>
        </w:tc>
        <w:tc>
          <w:tcPr>
            <w:tcW w:w="1520" w:type="dxa"/>
            <w:vAlign w:val="bottom"/>
            <w:tcBorders>
              <w:bottom w:val="single" w:sz="8" w:color="0079C1"/>
            </w:tcBorders>
          </w:tcPr>
          <w:p>
            <w:pPr>
              <w:spacing w:after="0"/>
              <w:rPr>
                <w:sz w:val="4"/>
                <w:szCs w:val="4"/>
                <w:color w:val="auto"/>
              </w:rPr>
            </w:pPr>
          </w:p>
        </w:tc>
        <w:tc>
          <w:tcPr>
            <w:tcW w:w="1320" w:type="dxa"/>
            <w:vAlign w:val="bottom"/>
            <w:tcBorders>
              <w:bottom w:val="single" w:sz="8" w:color="0079C1"/>
            </w:tcBorders>
          </w:tcPr>
          <w:p>
            <w:pPr>
              <w:spacing w:after="0"/>
              <w:rPr>
                <w:sz w:val="4"/>
                <w:szCs w:val="4"/>
                <w:color w:val="auto"/>
              </w:rPr>
            </w:pPr>
          </w:p>
        </w:tc>
        <w:tc>
          <w:tcPr>
            <w:tcW w:w="1420" w:type="dxa"/>
            <w:vAlign w:val="bottom"/>
            <w:tcBorders>
              <w:bottom w:val="single" w:sz="8" w:color="0079C1"/>
            </w:tcBorders>
          </w:tcPr>
          <w:p>
            <w:pPr>
              <w:spacing w:after="0"/>
              <w:rPr>
                <w:sz w:val="4"/>
                <w:szCs w:val="4"/>
                <w:color w:val="auto"/>
              </w:rPr>
            </w:pPr>
          </w:p>
        </w:tc>
        <w:tc>
          <w:tcPr>
            <w:tcW w:w="1380" w:type="dxa"/>
            <w:vAlign w:val="bottom"/>
            <w:tcBorders>
              <w:bottom w:val="single" w:sz="8" w:color="0079C1"/>
            </w:tcBorders>
          </w:tcPr>
          <w:p>
            <w:pPr>
              <w:spacing w:after="0"/>
              <w:rPr>
                <w:sz w:val="4"/>
                <w:szCs w:val="4"/>
                <w:color w:val="auto"/>
              </w:rPr>
            </w:pPr>
          </w:p>
        </w:tc>
        <w:tc>
          <w:tcPr>
            <w:tcW w:w="1580" w:type="dxa"/>
            <w:vAlign w:val="bottom"/>
            <w:tcBorders>
              <w:bottom w:val="single" w:sz="8" w:color="0079C1"/>
            </w:tcBorders>
          </w:tcPr>
          <w:p>
            <w:pPr>
              <w:spacing w:after="0"/>
              <w:rPr>
                <w:sz w:val="4"/>
                <w:szCs w:val="4"/>
                <w:color w:val="auto"/>
              </w:rPr>
            </w:pPr>
          </w:p>
        </w:tc>
        <w:tc>
          <w:tcPr>
            <w:tcW w:w="1020" w:type="dxa"/>
            <w:vAlign w:val="bottom"/>
            <w:tcBorders>
              <w:bottom w:val="single" w:sz="8" w:color="0079C1"/>
            </w:tcBorders>
          </w:tcPr>
          <w:p>
            <w:pPr>
              <w:spacing w:after="0"/>
              <w:rPr>
                <w:sz w:val="4"/>
                <w:szCs w:val="4"/>
                <w:color w:val="auto"/>
              </w:rPr>
            </w:pPr>
          </w:p>
        </w:tc>
      </w:tr>
    </w:tbl>
    <w:p>
      <w:pPr>
        <w:spacing w:after="0" w:line="274" w:lineRule="exact"/>
        <w:rPr>
          <w:sz w:val="20"/>
          <w:szCs w:val="20"/>
          <w:color w:val="auto"/>
        </w:rPr>
      </w:pPr>
    </w:p>
    <w:p>
      <w:pPr>
        <w:ind w:right="140"/>
        <w:spacing w:after="0" w:line="343" w:lineRule="auto"/>
        <w:rPr>
          <w:sz w:val="20"/>
          <w:szCs w:val="20"/>
          <w:color w:val="auto"/>
        </w:rPr>
      </w:pPr>
      <w:r>
        <w:rPr>
          <w:rFonts w:ascii="Arial" w:cs="Arial" w:eastAsia="Arial" w:hAnsi="Arial"/>
          <w:sz w:val="14"/>
          <w:szCs w:val="14"/>
          <w:color w:val="auto"/>
        </w:rPr>
        <w:t>For stock options, the fair value or change in fair value, as applicable, was determined using a Black-Scholes valuation model. The model references the closing stock price, in addition to the stock option’s strike price, expected life, volatility, expected dividend yield, and risk-free rate as of the measurement date. No pension adjustments were applicable as the NEOs do not participate in a pension program.</w:t>
      </w:r>
    </w:p>
    <w:p>
      <w:pPr>
        <w:spacing w:after="0" w:line="12" w:lineRule="exact"/>
        <w:rPr>
          <w:sz w:val="20"/>
          <w:szCs w:val="20"/>
          <w:color w:val="auto"/>
        </w:rPr>
      </w:pPr>
    </w:p>
    <w:p>
      <w:pPr>
        <w:ind w:left="260" w:right="200" w:hanging="252"/>
        <w:spacing w:after="0" w:line="362" w:lineRule="auto"/>
        <w:tabs>
          <w:tab w:leader="none" w:pos="258"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column represents cumulative Company total shareholder return (“TSR”) and is calculated by assuming that a $100 investment was made on the day prior to the first fiscal year reported and reinvesting all dividends until the last day of each reported fiscal year.</w:t>
      </w:r>
    </w:p>
    <w:p>
      <w:pPr>
        <w:ind w:left="260" w:right="40" w:hanging="252"/>
        <w:spacing w:after="0" w:line="362" w:lineRule="auto"/>
        <w:tabs>
          <w:tab w:leader="none" w:pos="258"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column represents cumulative peer group TSR computed in accordance with Note 5. The peer group used for this purpose is the following published industry index: the Russell 1000 index.</w:t>
      </w:r>
    </w:p>
    <w:p>
      <w:pPr>
        <w:ind w:left="240" w:hanging="232"/>
        <w:spacing w:after="0"/>
        <w:tabs>
          <w:tab w:leader="none" w:pos="2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column represents the amount of net income reflected in the Company’s audited financial statements for the applicable year.</w:t>
      </w:r>
    </w:p>
    <w:p>
      <w:pPr>
        <w:spacing w:after="0" w:line="109" w:lineRule="exact"/>
        <w:rPr>
          <w:rFonts w:ascii="Arial" w:cs="Arial" w:eastAsia="Arial" w:hAnsi="Arial"/>
          <w:sz w:val="14"/>
          <w:szCs w:val="14"/>
          <w:color w:val="auto"/>
        </w:rPr>
      </w:pPr>
    </w:p>
    <w:p>
      <w:pPr>
        <w:ind w:left="260" w:right="160" w:hanging="252"/>
        <w:spacing w:after="0" w:line="365" w:lineRule="auto"/>
        <w:tabs>
          <w:tab w:leader="none" w:pos="258" w:val="left"/>
        </w:tabs>
        <w:numPr>
          <w:ilvl w:val="0"/>
          <w:numId w:val="76"/>
        </w:numPr>
        <w:rPr>
          <w:rFonts w:ascii="Arial" w:cs="Arial" w:eastAsia="Arial" w:hAnsi="Arial"/>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non-PEO NEOs in 2025. We may determine a different financial performance measure to be the most important financial performance measure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Measures</w:t>
      </w:r>
    </w:p>
    <w:p>
      <w:pPr>
        <w:spacing w:after="0" w:line="162"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As described in greater detail in the Compensation Discussion and Analysis section of this Proxy Statement, the Company’s executive compensation program reflects a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spacing w:after="0" w:line="124"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Revenue</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Operating margin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Information Presented in the Pay versus Performance Table</w:t>
      </w:r>
    </w:p>
    <w:p>
      <w:pPr>
        <w:spacing w:after="0" w:line="162"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As described in greater detail in the Compensation Discussion and Analysis section of this Proxy Statement, the Company’s executive compensation program reflects a pay-for-performance philosophy. While the Company utilizes several performance measures to align executive compensation with Company performance (as described in greater detail in the Compensation Discussion and Analysis section of this Proxy Statement), not all of those Company measures are presented in the Pay versus Performance table. Moreover, the Company generally seeks to incentivize long-term performance, and therefore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15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auto"/>
        </w:rPr>
        <w:t>specifically align the Company’s performance measures with compensation that is actually paid (as computed in accordance with Item 402(v) of Regulation S-K) for a particular year. Compensation actually paid is influenced by numerous factors, including but not limited to the timing of new grant issuances and outstanding grant vesting, share price volatility during the fiscal year, our mix of short-term and long-term metrics, and many other factors. In accordance with Item 402(v) of Regulation S-K, the Company is providing the following descriptions of the relationships between information presented in the Pay versus Performance table.</w:t>
      </w:r>
    </w:p>
    <w:p>
      <w:pPr>
        <w:spacing w:after="0" w:line="106" w:lineRule="exact"/>
        <w:rPr>
          <w:sz w:val="20"/>
          <w:szCs w:val="20"/>
          <w:color w:val="auto"/>
        </w:rPr>
      </w:pPr>
    </w:p>
    <w:p>
      <w:pPr>
        <w:ind w:right="280"/>
        <w:spacing w:after="0" w:line="343" w:lineRule="auto"/>
        <w:rPr>
          <w:sz w:val="20"/>
          <w:szCs w:val="20"/>
          <w:color w:val="auto"/>
        </w:rPr>
      </w:pPr>
      <w:r>
        <w:rPr>
          <w:rFonts w:ascii="Arial" w:cs="Arial" w:eastAsia="Arial" w:hAnsi="Arial"/>
          <w:sz w:val="18"/>
          <w:szCs w:val="18"/>
          <w:b w:val="1"/>
          <w:bCs w:val="1"/>
          <w:color w:val="auto"/>
        </w:rPr>
        <w:t>Cumulative TSR of the Company and Cumulative TSR of the Peer Group; Compensation Actually Paid and Cumulative Company TSR</w:t>
      </w:r>
    </w:p>
    <w:p>
      <w:pPr>
        <w:spacing w:after="0" w:line="34" w:lineRule="exact"/>
        <w:rPr>
          <w:sz w:val="20"/>
          <w:szCs w:val="20"/>
          <w:color w:val="auto"/>
        </w:rPr>
      </w:pPr>
    </w:p>
    <w:p>
      <w:pPr>
        <w:ind w:right="440"/>
        <w:spacing w:after="0" w:line="353" w:lineRule="auto"/>
        <w:rPr>
          <w:sz w:val="20"/>
          <w:szCs w:val="20"/>
          <w:color w:val="auto"/>
        </w:rPr>
      </w:pPr>
      <w:r>
        <w:rPr>
          <w:rFonts w:ascii="Arial" w:cs="Arial" w:eastAsia="Arial" w:hAnsi="Arial"/>
          <w:sz w:val="16"/>
          <w:szCs w:val="16"/>
          <w:color w:val="auto"/>
        </w:rPr>
        <w:t>The following chart shows the cumulative TSR of the Company, assuming an initial fixed $100 investment and computed in accordance with the requirements of Item 402(v) of Regulation S-K, versus the TSR of the Company’s Peer Group (the Russell 1000 index), assuming an initial fixed $100 investment and computed in accordance with the requirements of Item 402(v) of Regulation S-K. Please see the Notes above for additional information related to the computation of Company TSR and peer group TSR, respectively.</w:t>
      </w:r>
    </w:p>
    <w:p>
      <w:pPr>
        <w:spacing w:after="0" w:line="119" w:lineRule="exact"/>
        <w:rPr>
          <w:sz w:val="20"/>
          <w:szCs w:val="20"/>
          <w:color w:val="auto"/>
        </w:rPr>
      </w:pPr>
    </w:p>
    <w:p>
      <w:pPr>
        <w:jc w:val="both"/>
        <w:ind w:right="260"/>
        <w:spacing w:after="0" w:line="354" w:lineRule="auto"/>
        <w:rPr>
          <w:sz w:val="20"/>
          <w:szCs w:val="20"/>
          <w:color w:val="auto"/>
        </w:rPr>
      </w:pPr>
      <w:r>
        <w:rPr>
          <w:rFonts w:ascii="Arial" w:cs="Arial" w:eastAsia="Arial" w:hAnsi="Arial"/>
          <w:sz w:val="16"/>
          <w:szCs w:val="16"/>
          <w:color w:val="auto"/>
        </w:rPr>
        <w:t>The following chart also shows the relationship between Compensation Actually Paid to our PEO, and the average of Compensation Actually Paid to our non-PEO NEOs, versus the Company’s cumulative TSR over the five most recently completed fiscal years, in each case as computed in accordance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74930</wp:posOffset>
            </wp:positionV>
            <wp:extent cx="5760720" cy="3703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3703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4292600</wp:posOffset>
            </wp:positionV>
            <wp:extent cx="71151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Actually Paid and Company Net Income</w:t>
      </w:r>
    </w:p>
    <w:p>
      <w:pPr>
        <w:spacing w:after="0" w:line="176"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auto"/>
        </w:rPr>
        <w:t>The following chart shows the relationship between Compensation Actually Paid to our PEO, and the average of Compensation Actually Paid to our non-PEO NEOs, versus the Company’s net income during the most-recently completed five fiscal years, in each case as computed in accordance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66040</wp:posOffset>
            </wp:positionV>
            <wp:extent cx="5760720" cy="3703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0720" cy="3703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4180840</wp:posOffset>
            </wp:positionV>
            <wp:extent cx="711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Actually Paid and Company Revenue</w:t>
      </w:r>
    </w:p>
    <w:p>
      <w:pPr>
        <w:spacing w:after="0" w:line="176" w:lineRule="exact"/>
        <w:rPr>
          <w:sz w:val="20"/>
          <w:szCs w:val="20"/>
          <w:color w:val="auto"/>
        </w:rPr>
      </w:pPr>
    </w:p>
    <w:p>
      <w:pPr>
        <w:ind w:right="300"/>
        <w:spacing w:after="0" w:line="354" w:lineRule="auto"/>
        <w:rPr>
          <w:sz w:val="20"/>
          <w:szCs w:val="20"/>
          <w:color w:val="auto"/>
        </w:rPr>
      </w:pPr>
      <w:r>
        <w:rPr>
          <w:rFonts w:ascii="Arial" w:cs="Arial" w:eastAsia="Arial" w:hAnsi="Arial"/>
          <w:sz w:val="16"/>
          <w:szCs w:val="16"/>
          <w:color w:val="auto"/>
        </w:rPr>
        <w:t>The following chart shows the relationship between Compensation Actually Paid to our PEO, and the average of Compensation Actually Paid to our non-PEO NEOs, versus the Company’s revenue during the five most-recently completed fiscal years, in each case as computed in accordance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66040</wp:posOffset>
            </wp:positionV>
            <wp:extent cx="5760720" cy="3703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3703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4283710</wp:posOffset>
            </wp:positionV>
            <wp:extent cx="7115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Proposal 2</w:t>
      </w:r>
    </w:p>
    <w:p>
      <w:pPr>
        <w:spacing w:after="0" w:line="80" w:lineRule="exact"/>
        <w:rPr>
          <w:sz w:val="20"/>
          <w:szCs w:val="20"/>
          <w:color w:val="auto"/>
        </w:rPr>
      </w:pPr>
    </w:p>
    <w:p>
      <w:pPr>
        <w:ind w:right="340"/>
        <w:spacing w:after="0" w:line="262" w:lineRule="auto"/>
        <w:rPr>
          <w:sz w:val="20"/>
          <w:szCs w:val="20"/>
          <w:color w:val="auto"/>
        </w:rPr>
      </w:pPr>
      <w:r>
        <w:rPr>
          <w:rFonts w:ascii="Arial" w:cs="Arial" w:eastAsia="Arial" w:hAnsi="Arial"/>
          <w:sz w:val="58"/>
          <w:szCs w:val="58"/>
          <w:color w:val="auto"/>
        </w:rPr>
        <w:t>Ratification of Appointment of Independent Auditor for 2026</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Appointment of Independent Auditor by Audit Committee</w:t>
      </w:r>
    </w:p>
    <w:p>
      <w:pPr>
        <w:spacing w:after="0" w:line="209"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auto"/>
        </w:rPr>
        <w:t>The audit committee annually evaluates the performance of our independent auditor, including the senior audit engagement team, and determines whether to reengage the current independent auditor or consider other audit firms.</w:t>
      </w:r>
    </w:p>
    <w:p>
      <w:pPr>
        <w:spacing w:after="0" w:line="102" w:lineRule="exact"/>
        <w:rPr>
          <w:sz w:val="20"/>
          <w:szCs w:val="20"/>
          <w:color w:val="auto"/>
        </w:rPr>
      </w:pPr>
    </w:p>
    <w:p>
      <w:pPr>
        <w:ind w:right="360"/>
        <w:spacing w:after="0" w:line="363" w:lineRule="auto"/>
        <w:rPr>
          <w:sz w:val="20"/>
          <w:szCs w:val="20"/>
          <w:color w:val="auto"/>
        </w:rPr>
      </w:pPr>
      <w:r>
        <w:rPr>
          <w:rFonts w:ascii="Arial" w:cs="Arial" w:eastAsia="Arial" w:hAnsi="Arial"/>
          <w:sz w:val="16"/>
          <w:szCs w:val="16"/>
          <w:color w:val="auto"/>
        </w:rPr>
        <w:t>This year the audit committee has approved the retention of Ernst &amp; Young Hua Ming LLP, or Ernst &amp; Young, as our independent auditor to report on our consolidated financial statements and the effectiveness of our internal control over financial reporting for the year ending December 31, 2026. Factors considered by the audit committee in deciding whether to retain Ernst &amp; Young included:</w:t>
      </w:r>
    </w:p>
    <w:p>
      <w:pPr>
        <w:spacing w:after="0" w:line="110"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Ernst &amp; Young’s global capabilities;</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Ernst &amp; Young’s technical expertise and knowledge of our global operations and industry;</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quality and candor of Ernst &amp; Young’s communications with the audit committee and management;</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quality and efficiency of the services provided by Ernst &amp; Young, including input from management on Ernst &amp; Young’s performance;</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Ernst &amp; Young’s objectivity and professional skepticism;</w:t>
      </w:r>
    </w:p>
    <w:p>
      <w:pPr>
        <w:spacing w:after="0" w:line="126" w:lineRule="exact"/>
        <w:rPr>
          <w:rFonts w:ascii="Arial" w:cs="Arial" w:eastAsia="Arial" w:hAnsi="Arial"/>
          <w:sz w:val="16"/>
          <w:szCs w:val="16"/>
          <w:color w:val="auto"/>
        </w:rPr>
      </w:pPr>
    </w:p>
    <w:p>
      <w:pPr>
        <w:ind w:left="260" w:right="180" w:hanging="252"/>
        <w:spacing w:after="0" w:line="369" w:lineRule="auto"/>
        <w:tabs>
          <w:tab w:leader="none" w:pos="2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external data on audit quality and performance, including recent Public Company Accounting Oversight Board (“PCAOB”) reports on Ernst &amp; Young and its peer firms;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Ernst &amp; Young’s use of technology to aid in audit efficiency;</w:t>
      </w:r>
    </w:p>
    <w:p>
      <w:pPr>
        <w:spacing w:after="0" w:line="126" w:lineRule="exact"/>
        <w:rPr>
          <w:rFonts w:ascii="Arial" w:cs="Arial" w:eastAsia="Arial" w:hAnsi="Arial"/>
          <w:sz w:val="16"/>
          <w:szCs w:val="16"/>
          <w:color w:val="auto"/>
        </w:rPr>
      </w:pPr>
    </w:p>
    <w:p>
      <w:pPr>
        <w:ind w:left="260" w:right="100" w:hanging="252"/>
        <w:spacing w:after="0" w:line="378" w:lineRule="auto"/>
        <w:tabs>
          <w:tab w:leader="none" w:pos="2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Ernst &amp; Young’s independence, how effectively Ernst &amp; Young demonstrated its independent judgment, and the controls and processes in place that help ensure Ernst &amp; Young’s independence; and</w:t>
      </w: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appropriateness of Ernst &amp; Young’s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15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Proposed Ratification of Independent Auditor</w:t>
      </w:r>
    </w:p>
    <w:p>
      <w:pPr>
        <w:spacing w:after="0" w:line="209"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auto"/>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Ernst &amp; Young to our stockholders for ratification because we value the views of our stockholders.</w:t>
      </w:r>
    </w:p>
    <w:p>
      <w:pPr>
        <w:spacing w:after="0" w:line="119"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The audit committee considers Ernst &amp; Young to be well qualified. In the absence of contrary specification, the proxy holders will vote proxies received in response to this solicitation in favor of ratification of the appointment. In the event that stockholders fail to ratify the appointment of Ernst &amp; Young, the audit committee will reconsider the appointment of Ernst &amp; Young.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Ernst &amp; Young are expected to be present at the Annual Meeting and will have an opportunity to make a statement, if they desire.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Accordingly, stockholders are being asked to vote on the following resolution: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p>
    <w:p>
      <w:pPr>
        <w:spacing w:after="0" w:line="176" w:lineRule="exact"/>
        <w:rPr>
          <w:sz w:val="20"/>
          <w:szCs w:val="20"/>
          <w:color w:val="auto"/>
        </w:rPr>
      </w:pPr>
    </w:p>
    <w:p>
      <w:pPr>
        <w:ind w:right="740"/>
        <w:spacing w:after="0" w:line="374" w:lineRule="auto"/>
        <w:rPr>
          <w:sz w:val="20"/>
          <w:szCs w:val="20"/>
          <w:color w:val="auto"/>
        </w:rPr>
      </w:pPr>
      <w:r>
        <w:rPr>
          <w:rFonts w:ascii="Arial" w:cs="Arial" w:eastAsia="Arial" w:hAnsi="Arial"/>
          <w:sz w:val="16"/>
          <w:szCs w:val="16"/>
          <w:color w:val="auto"/>
        </w:rPr>
        <w:t>That the stockholders ratify the appointment by the audit committee of the board of directors of Ernst &amp; Young as the independent registered public accounting firm of ACM Research, Inc. for the performance of independent audit services for the fiscal year ending December 31, 2026.</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9C1"/>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4197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389" w:lineRule="exact"/>
        <w:rPr>
          <w:sz w:val="20"/>
          <w:szCs w:val="20"/>
          <w:color w:val="auto"/>
        </w:rPr>
      </w:pPr>
    </w:p>
    <w:p>
      <w:pPr>
        <w:ind w:left="20" w:right="480"/>
        <w:spacing w:after="0" w:line="336" w:lineRule="auto"/>
        <w:rPr>
          <w:sz w:val="20"/>
          <w:szCs w:val="20"/>
          <w:color w:val="auto"/>
        </w:rPr>
      </w:pPr>
      <w:r>
        <w:rPr>
          <w:rFonts w:ascii="Arial" w:cs="Arial" w:eastAsia="Arial" w:hAnsi="Arial"/>
          <w:sz w:val="22"/>
          <w:szCs w:val="22"/>
          <w:b w:val="1"/>
          <w:bCs w:val="1"/>
          <w:color w:val="auto"/>
        </w:rPr>
        <w:t xml:space="preserve">The board of directors recommends a vote </w:t>
      </w:r>
      <w:r>
        <w:rPr>
          <w:rFonts w:ascii="Arial" w:cs="Arial" w:eastAsia="Arial" w:hAnsi="Arial"/>
          <w:sz w:val="22"/>
          <w:szCs w:val="22"/>
          <w:b w:val="1"/>
          <w:bCs w:val="1"/>
          <w:color w:val="0079C1"/>
        </w:rPr>
        <w:t>FOR</w:t>
      </w:r>
      <w:r>
        <w:rPr>
          <w:rFonts w:ascii="Arial" w:cs="Arial" w:eastAsia="Arial" w:hAnsi="Arial"/>
          <w:sz w:val="22"/>
          <w:szCs w:val="22"/>
          <w:b w:val="1"/>
          <w:bCs w:val="1"/>
          <w:color w:val="auto"/>
        </w:rPr>
        <w:t xml:space="preserve"> the ratification of the appointment of Ernst &amp; Young Hua Ming LLP as our independent auditor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1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Accounting Matters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Principal Independent Auditor Fees</w:t>
      </w:r>
    </w:p>
    <w:p>
      <w:pPr>
        <w:spacing w:after="0" w:line="222" w:lineRule="exact"/>
        <w:rPr>
          <w:sz w:val="20"/>
          <w:szCs w:val="20"/>
          <w:color w:val="auto"/>
        </w:rPr>
      </w:pPr>
    </w:p>
    <w:p>
      <w:pPr>
        <w:ind w:right="260"/>
        <w:spacing w:after="0" w:line="343" w:lineRule="auto"/>
        <w:rPr>
          <w:sz w:val="20"/>
          <w:szCs w:val="20"/>
          <w:color w:val="auto"/>
        </w:rPr>
      </w:pPr>
      <w:r>
        <w:rPr>
          <w:rFonts w:ascii="Arial" w:cs="Arial" w:eastAsia="Arial" w:hAnsi="Arial"/>
          <w:sz w:val="16"/>
          <w:szCs w:val="16"/>
          <w:color w:val="auto"/>
        </w:rPr>
        <w:t>The following table sets forth the aggregate fees billed to us by Ernst &amp; Young for professional services rendered for the fiscal years 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shd w:val="clear" w:color="auto" w:fill="0079C1"/>
          </w:tcPr>
          <w:p>
            <w:pPr>
              <w:spacing w:after="0"/>
              <w:rPr>
                <w:sz w:val="16"/>
                <w:szCs w:val="16"/>
                <w:color w:val="auto"/>
              </w:rPr>
            </w:pPr>
          </w:p>
        </w:tc>
        <w:tc>
          <w:tcPr>
            <w:tcW w:w="2660" w:type="dxa"/>
            <w:vAlign w:val="bottom"/>
            <w:shd w:val="clear" w:color="auto" w:fill="0079C1"/>
          </w:tcPr>
          <w:p>
            <w:pPr>
              <w:jc w:val="right"/>
              <w:ind w:right="588"/>
              <w:spacing w:after="0"/>
              <w:rPr>
                <w:sz w:val="20"/>
                <w:szCs w:val="20"/>
                <w:color w:val="auto"/>
              </w:rPr>
            </w:pPr>
            <w:r>
              <w:rPr>
                <w:rFonts w:ascii="Arial" w:cs="Arial" w:eastAsia="Arial" w:hAnsi="Arial"/>
                <w:sz w:val="14"/>
                <w:szCs w:val="14"/>
                <w:b w:val="1"/>
                <w:bCs w:val="1"/>
                <w:color w:val="FFFFFF"/>
              </w:rPr>
              <w:t>2025</w:t>
            </w:r>
          </w:p>
        </w:tc>
        <w:tc>
          <w:tcPr>
            <w:tcW w:w="13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2024</w:t>
            </w:r>
          </w:p>
        </w:tc>
      </w:tr>
      <w:tr>
        <w:trPr>
          <w:trHeight w:val="196"/>
        </w:trPr>
        <w:tc>
          <w:tcPr>
            <w:tcW w:w="7020" w:type="dxa"/>
            <w:vAlign w:val="bottom"/>
            <w:shd w:val="clear" w:color="auto" w:fill="0079C1"/>
          </w:tcPr>
          <w:p>
            <w:pPr>
              <w:spacing w:after="0"/>
              <w:rPr>
                <w:sz w:val="17"/>
                <w:szCs w:val="17"/>
                <w:color w:val="auto"/>
              </w:rPr>
            </w:pPr>
          </w:p>
        </w:tc>
        <w:tc>
          <w:tcPr>
            <w:tcW w:w="2660" w:type="dxa"/>
            <w:vAlign w:val="bottom"/>
            <w:shd w:val="clear" w:color="auto" w:fill="0079C1"/>
          </w:tcPr>
          <w:p>
            <w:pPr>
              <w:jc w:val="right"/>
              <w:ind w:right="58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79C1"/>
          </w:tcPr>
          <w:p>
            <w:pPr>
              <w:jc w:val="right"/>
              <w:spacing w:after="0"/>
              <w:rPr>
                <w:sz w:val="20"/>
                <w:szCs w:val="20"/>
                <w:color w:val="auto"/>
              </w:rPr>
            </w:pPr>
            <w:r>
              <w:rPr>
                <w:rFonts w:ascii="Arial" w:cs="Arial" w:eastAsia="Arial" w:hAnsi="Arial"/>
                <w:sz w:val="14"/>
                <w:szCs w:val="14"/>
                <w:b w:val="1"/>
                <w:bCs w:val="1"/>
                <w:color w:val="FFFFFF"/>
              </w:rPr>
              <w:t>($)</w:t>
            </w:r>
          </w:p>
        </w:tc>
      </w:tr>
      <w:tr>
        <w:trPr>
          <w:trHeight w:val="110"/>
        </w:trPr>
        <w:tc>
          <w:tcPr>
            <w:tcW w:w="7020" w:type="dxa"/>
            <w:vAlign w:val="bottom"/>
            <w:shd w:val="clear" w:color="auto" w:fill="0079C1"/>
          </w:tcPr>
          <w:p>
            <w:pPr>
              <w:spacing w:after="0"/>
              <w:rPr>
                <w:sz w:val="9"/>
                <w:szCs w:val="9"/>
                <w:color w:val="auto"/>
              </w:rPr>
            </w:pPr>
          </w:p>
        </w:tc>
        <w:tc>
          <w:tcPr>
            <w:tcW w:w="2660" w:type="dxa"/>
            <w:vAlign w:val="bottom"/>
            <w:shd w:val="clear" w:color="auto" w:fill="0079C1"/>
          </w:tcPr>
          <w:p>
            <w:pPr>
              <w:spacing w:after="0"/>
              <w:rPr>
                <w:sz w:val="9"/>
                <w:szCs w:val="9"/>
                <w:color w:val="auto"/>
              </w:rPr>
            </w:pPr>
          </w:p>
        </w:tc>
        <w:tc>
          <w:tcPr>
            <w:tcW w:w="1380" w:type="dxa"/>
            <w:vAlign w:val="bottom"/>
            <w:shd w:val="clear" w:color="auto" w:fill="0079C1"/>
          </w:tcPr>
          <w:p>
            <w:pPr>
              <w:spacing w:after="0"/>
              <w:rPr>
                <w:sz w:val="9"/>
                <w:szCs w:val="9"/>
                <w:color w:val="auto"/>
              </w:rPr>
            </w:pPr>
          </w:p>
        </w:tc>
      </w:tr>
      <w:tr>
        <w:trPr>
          <w:trHeight w:val="23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Audit Fees</w:t>
            </w:r>
          </w:p>
        </w:tc>
        <w:tc>
          <w:tcPr>
            <w:tcW w:w="2660" w:type="dxa"/>
            <w:vAlign w:val="bottom"/>
          </w:tcPr>
          <w:p>
            <w:pPr>
              <w:jc w:val="right"/>
              <w:ind w:right="628"/>
              <w:spacing w:after="0"/>
              <w:rPr>
                <w:sz w:val="20"/>
                <w:szCs w:val="20"/>
                <w:color w:val="auto"/>
              </w:rPr>
            </w:pPr>
            <w:r>
              <w:rPr>
                <w:rFonts w:ascii="Arial" w:cs="Arial" w:eastAsia="Arial" w:hAnsi="Arial"/>
                <w:sz w:val="14"/>
                <w:szCs w:val="14"/>
                <w:color w:val="auto"/>
              </w:rPr>
              <w:t>1,680,000</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1,610,000</w:t>
            </w:r>
          </w:p>
        </w:tc>
      </w:tr>
      <w:tr>
        <w:trPr>
          <w:trHeight w:val="283"/>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Audit-Related Fees</w:t>
            </w:r>
          </w:p>
        </w:tc>
        <w:tc>
          <w:tcPr>
            <w:tcW w:w="2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83"/>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Tax Fees</w:t>
            </w:r>
          </w:p>
        </w:tc>
        <w:tc>
          <w:tcPr>
            <w:tcW w:w="2660" w:type="dxa"/>
            <w:vAlign w:val="bottom"/>
          </w:tcPr>
          <w:p>
            <w:pPr>
              <w:jc w:val="right"/>
              <w:ind w:right="628"/>
              <w:spacing w:after="0"/>
              <w:rPr>
                <w:sz w:val="20"/>
                <w:szCs w:val="20"/>
                <w:color w:val="auto"/>
              </w:rPr>
            </w:pPr>
            <w:r>
              <w:rPr>
                <w:rFonts w:ascii="Arial" w:cs="Arial" w:eastAsia="Arial" w:hAnsi="Arial"/>
                <w:sz w:val="14"/>
                <w:szCs w:val="14"/>
                <w:color w:val="auto"/>
              </w:rPr>
              <w:t>109,973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115,100</w:t>
            </w:r>
          </w:p>
        </w:tc>
      </w:tr>
      <w:tr>
        <w:trPr>
          <w:trHeight w:val="283"/>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All other Fees</w:t>
            </w:r>
          </w:p>
        </w:tc>
        <w:tc>
          <w:tcPr>
            <w:tcW w:w="2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70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2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Total Fees</w:t>
            </w:r>
          </w:p>
        </w:tc>
        <w:tc>
          <w:tcPr>
            <w:tcW w:w="2660" w:type="dxa"/>
            <w:vAlign w:val="bottom"/>
          </w:tcPr>
          <w:p>
            <w:pPr>
              <w:jc w:val="right"/>
              <w:ind w:right="628"/>
              <w:spacing w:after="0"/>
              <w:rPr>
                <w:sz w:val="20"/>
                <w:szCs w:val="20"/>
                <w:color w:val="auto"/>
              </w:rPr>
            </w:pPr>
            <w:r>
              <w:rPr>
                <w:rFonts w:ascii="Arial" w:cs="Arial" w:eastAsia="Arial" w:hAnsi="Arial"/>
                <w:sz w:val="14"/>
                <w:szCs w:val="14"/>
                <w:color w:val="auto"/>
              </w:rPr>
              <w:t>1,789,973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1,725,100</w:t>
            </w:r>
          </w:p>
        </w:tc>
      </w:tr>
      <w:tr>
        <w:trPr>
          <w:trHeight w:val="48"/>
        </w:trPr>
        <w:tc>
          <w:tcPr>
            <w:tcW w:w="7020" w:type="dxa"/>
            <w:vAlign w:val="bottom"/>
            <w:tcBorders>
              <w:bottom w:val="single" w:sz="8" w:color="0079C1"/>
            </w:tcBorders>
          </w:tcPr>
          <w:p>
            <w:pPr>
              <w:spacing w:after="0"/>
              <w:rPr>
                <w:sz w:val="4"/>
                <w:szCs w:val="4"/>
                <w:color w:val="auto"/>
              </w:rPr>
            </w:pPr>
          </w:p>
        </w:tc>
        <w:tc>
          <w:tcPr>
            <w:tcW w:w="2660" w:type="dxa"/>
            <w:vAlign w:val="bottom"/>
            <w:tcBorders>
              <w:bottom w:val="single" w:sz="8" w:color="0079C1"/>
            </w:tcBorders>
          </w:tcPr>
          <w:p>
            <w:pPr>
              <w:spacing w:after="0"/>
              <w:rPr>
                <w:sz w:val="4"/>
                <w:szCs w:val="4"/>
                <w:color w:val="auto"/>
              </w:rPr>
            </w:pPr>
          </w:p>
        </w:tc>
        <w:tc>
          <w:tcPr>
            <w:tcW w:w="1380" w:type="dxa"/>
            <w:vAlign w:val="bottom"/>
            <w:tcBorders>
              <w:bottom w:val="single" w:sz="8" w:color="0079C1"/>
            </w:tcBorders>
          </w:tcPr>
          <w:p>
            <w:pPr>
              <w:spacing w:after="0"/>
              <w:rPr>
                <w:sz w:val="4"/>
                <w:szCs w:val="4"/>
                <w:color w:val="auto"/>
              </w:rPr>
            </w:pPr>
          </w:p>
        </w:tc>
      </w:tr>
    </w:tbl>
    <w:p>
      <w:pPr>
        <w:spacing w:after="0" w:line="16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Services Associated with Fees. </w:t>
      </w:r>
      <w:r>
        <w:rPr>
          <w:rFonts w:ascii="Arial" w:cs="Arial" w:eastAsia="Arial" w:hAnsi="Arial"/>
          <w:sz w:val="16"/>
          <w:szCs w:val="16"/>
          <w:color w:val="auto"/>
        </w:rPr>
        <w:t>Audit Fees relate to professional services provided in connection with the audit of our financial statements and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over financial reporting, the review of our quarterly financial statements, registration statements and audit services provided in connection with other statutory or regulatory filings. Audit-related Fees relate to the performance of the audit or review of our financial statements, and are not included in Audit Fees. Tax Fees relate to services provided for tax compliance and planning. All Other Fees relate to professional fees not included in the categories above.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Audit Committee Pre-Approval Policies and Procedures</w:t>
      </w:r>
    </w:p>
    <w:p>
      <w:pPr>
        <w:spacing w:after="0" w:line="222"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auto"/>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Report of the Audit Committee</w:t>
      </w:r>
    </w:p>
    <w:p>
      <w:pPr>
        <w:spacing w:after="0" w:line="209"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auto"/>
        </w:rPr>
        <w:t>The audit committee, or the Audit Committee, of the board of directors of ACM Research, Inc., or ACM, consists entirely of directors who meet the independence requirements of the listing standards of Nasdaq and the rules and regulations of the SEC, as determined by the board of directors. The Audit Committee is responsible for providing independent, objective oversight of the financial reporting processes and internal controls for ACM. The Audit Committee operates under a written charter approved by the board of directors. A copy of the current charter is available at https://ir.acmr.com/corporate-governance/highlights.</w:t>
      </w:r>
    </w:p>
    <w:p>
      <w:pPr>
        <w:spacing w:after="0" w:line="124" w:lineRule="exact"/>
        <w:rPr>
          <w:sz w:val="20"/>
          <w:szCs w:val="20"/>
          <w:color w:val="auto"/>
        </w:rPr>
      </w:pPr>
    </w:p>
    <w:p>
      <w:pPr>
        <w:ind w:right="120"/>
        <w:spacing w:after="0" w:line="346" w:lineRule="auto"/>
        <w:rPr>
          <w:sz w:val="20"/>
          <w:szCs w:val="20"/>
          <w:color w:val="auto"/>
        </w:rPr>
      </w:pPr>
      <w:r>
        <w:rPr>
          <w:rFonts w:ascii="Arial" w:cs="Arial" w:eastAsia="Arial" w:hAnsi="Arial"/>
          <w:sz w:val="16"/>
          <w:szCs w:val="16"/>
          <w:color w:val="auto"/>
        </w:rPr>
        <w:t>Management is responsible for ACM’s system of internal control over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151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74" w:lineRule="auto"/>
        <w:rPr>
          <w:sz w:val="20"/>
          <w:szCs w:val="20"/>
          <w:color w:val="auto"/>
        </w:rPr>
      </w:pPr>
      <w:r>
        <w:rPr>
          <w:rFonts w:ascii="Arial" w:cs="Arial" w:eastAsia="Arial" w:hAnsi="Arial"/>
          <w:sz w:val="16"/>
          <w:szCs w:val="16"/>
          <w:color w:val="auto"/>
        </w:rPr>
        <w:t>Committee members do not serve as professional accountants or auditors for ACM, and their functions are not intended to duplicate or certify the activities of ACM’s management or independent auditor.</w:t>
      </w:r>
    </w:p>
    <w:p>
      <w:pPr>
        <w:spacing w:after="0" w:line="102" w:lineRule="exact"/>
        <w:rPr>
          <w:sz w:val="20"/>
          <w:szCs w:val="20"/>
          <w:color w:val="auto"/>
        </w:rPr>
      </w:pPr>
    </w:p>
    <w:p>
      <w:pPr>
        <w:ind w:right="80"/>
        <w:spacing w:after="0" w:line="353" w:lineRule="auto"/>
        <w:rPr>
          <w:sz w:val="20"/>
          <w:szCs w:val="20"/>
          <w:color w:val="auto"/>
        </w:rPr>
      </w:pPr>
      <w:r>
        <w:rPr>
          <w:rFonts w:ascii="Arial" w:cs="Arial" w:eastAsia="Arial" w:hAnsi="Arial"/>
          <w:sz w:val="16"/>
          <w:szCs w:val="16"/>
          <w:color w:val="auto"/>
        </w:rPr>
        <w:t>Consistent with its monitoring and oversight responsibilities, the Audit Committee met with management and Ernst &amp; Young, the independent auditor of ACM, to review and discuss the December 31, 2025 audited consolidated financial statements. Management represented that ACM had prepared the consolidated financial statements in accordance with U.S. generally accepted accounting principles. The Audit Committee discussed with Ernst &amp; Young the matters required by the PCAOB in accordance with Auditing Standard No. 1301, “Communications with Audit Committees.”</w:t>
      </w:r>
    </w:p>
    <w:p>
      <w:pPr>
        <w:spacing w:after="0" w:line="119"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The Audit Committee received from Ernst &amp; Young the written communication that is required by PCAOB Rule 3526, “Communication with Audit Committees Concerning Independence,” and the Audit Committee discussed with Ernst &amp; Young that firm’s independence. The Audit Committee also considered whether Ernst &amp; Young’s provision of non-audit services and the audit and non-audit fees paid to Ernst &amp; Young were compatible with maintaining that firm’s independence. On the basis of these reviews, the Audit Committee determined that Ernst &amp; Young has the requisite independence.</w:t>
      </w:r>
    </w:p>
    <w:p>
      <w:pPr>
        <w:spacing w:after="0" w:line="119"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color w:val="auto"/>
        </w:rPr>
        <w:t>Management completed the documentation, testing and evaluation of ACM’s system of internal control over financial reporting as of December 31, 2025 as required by Section 404 of the Sarbanes-Oxley Act of 2003. The Audit Committee received periodic updates from management and Ernst &amp; Young at Audit Committee meetings throughout the year and provided oversight of the process. Prior to filing ACM’s Annual Report on Form 10-K for the fiscal year ended December 31, 2025, or the Form 10-K, with the SEC, the Audit Committee also reviewed management’s report on the effectiveness of ACM’s internal control over financial reporting contained in the Form 10-K, as well as the Report of Independent Registered Public Accounting Firm provided by Ernst &amp; Young and also included in the Form 10-K. Ernst &amp; Young Hua Ming LLP’s reports included in the Form 10-K related to its audit of ACM’s consolidated financial statements and internal control over financial reporting.</w:t>
      </w:r>
    </w:p>
    <w:p>
      <w:pPr>
        <w:spacing w:after="0" w:line="125" w:lineRule="exact"/>
        <w:rPr>
          <w:sz w:val="20"/>
          <w:szCs w:val="20"/>
          <w:color w:val="auto"/>
        </w:rPr>
      </w:pPr>
    </w:p>
    <w:p>
      <w:pPr>
        <w:ind w:right="80"/>
        <w:spacing w:after="0" w:line="363" w:lineRule="auto"/>
        <w:rPr>
          <w:sz w:val="20"/>
          <w:szCs w:val="20"/>
          <w:color w:val="auto"/>
        </w:rPr>
      </w:pPr>
      <w:r>
        <w:rPr>
          <w:rFonts w:ascii="Arial" w:cs="Arial" w:eastAsia="Arial" w:hAnsi="Arial"/>
          <w:sz w:val="16"/>
          <w:szCs w:val="16"/>
          <w:color w:val="auto"/>
        </w:rPr>
        <w:t>Based upon the Audit Committee’s discussions with management and Ernst &amp; Young Hua Ming LLP and the Audit Committee’s review of the information provided by, and the representations of, management, the Audit Committee recommended to the board that the audited consolidated financial statements of ACM as of and for the year ended December 31, 2025 be included in the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Tracy Liu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Haiping Dun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Charles Pappis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15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40"/>
        <w:spacing w:after="0" w:line="283" w:lineRule="auto"/>
        <w:rPr>
          <w:sz w:val="20"/>
          <w:szCs w:val="20"/>
          <w:color w:val="auto"/>
        </w:rPr>
      </w:pPr>
      <w:r>
        <w:rPr>
          <w:rFonts w:ascii="Arial" w:cs="Arial" w:eastAsia="Arial" w:hAnsi="Arial"/>
          <w:sz w:val="58"/>
          <w:szCs w:val="58"/>
          <w:color w:val="auto"/>
        </w:rPr>
        <w:t>Stockholder Proposals for 2027 Annual Meeting</w:t>
      </w:r>
    </w:p>
    <w:p>
      <w:pPr>
        <w:spacing w:after="0" w:line="234" w:lineRule="exact"/>
        <w:rPr>
          <w:sz w:val="20"/>
          <w:szCs w:val="20"/>
          <w:color w:val="auto"/>
        </w:rPr>
      </w:pPr>
    </w:p>
    <w:p>
      <w:pPr>
        <w:ind w:right="180"/>
        <w:spacing w:after="0" w:line="353" w:lineRule="auto"/>
        <w:rPr>
          <w:sz w:val="20"/>
          <w:szCs w:val="20"/>
          <w:color w:val="auto"/>
        </w:rPr>
      </w:pPr>
      <w:r>
        <w:rPr>
          <w:rFonts w:ascii="Arial" w:cs="Arial" w:eastAsia="Arial" w:hAnsi="Arial"/>
          <w:sz w:val="16"/>
          <w:szCs w:val="16"/>
          <w:color w:val="auto"/>
        </w:rPr>
        <w:t>In order for stockholder proposals for the 2027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31, 2026. In addition, all proposals will need to comply with Rule 14a-8 of the Securities Exchange Act, which sets forth the requirements for the inclusion of stockholder proposals in our sponsored proxy materials.</w:t>
      </w:r>
    </w:p>
    <w:p>
      <w:pPr>
        <w:spacing w:after="0" w:line="119" w:lineRule="exact"/>
        <w:rPr>
          <w:sz w:val="20"/>
          <w:szCs w:val="20"/>
          <w:color w:val="auto"/>
        </w:rPr>
      </w:pPr>
    </w:p>
    <w:p>
      <w:pPr>
        <w:ind w:right="200"/>
        <w:spacing w:after="0" w:line="346" w:lineRule="auto"/>
        <w:rPr>
          <w:sz w:val="20"/>
          <w:szCs w:val="20"/>
          <w:color w:val="auto"/>
        </w:rPr>
      </w:pPr>
      <w:r>
        <w:rPr>
          <w:rFonts w:ascii="Arial" w:cs="Arial" w:eastAsia="Arial" w:hAnsi="Arial"/>
          <w:sz w:val="16"/>
          <w:szCs w:val="16"/>
          <w:color w:val="auto"/>
        </w:rPr>
        <w:t>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2027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14, 2027, nor earlier than the close of business on February 12, 2027. A copy of our bylaws is available at https://ir.acmr.com/corporate-governance/highlights.</w:t>
      </w:r>
    </w:p>
    <w:p>
      <w:pPr>
        <w:spacing w:after="0" w:line="71" w:lineRule="exact"/>
        <w:rPr>
          <w:sz w:val="20"/>
          <w:szCs w:val="20"/>
          <w:color w:val="auto"/>
        </w:rPr>
      </w:pPr>
    </w:p>
    <w:p>
      <w:pPr>
        <w:ind w:right="420"/>
        <w:spacing w:after="0" w:line="283" w:lineRule="auto"/>
        <w:rPr>
          <w:sz w:val="20"/>
          <w:szCs w:val="20"/>
          <w:color w:val="auto"/>
        </w:rPr>
      </w:pPr>
      <w:r>
        <w:rPr>
          <w:rFonts w:ascii="Arial" w:cs="Arial" w:eastAsia="Arial" w:hAnsi="Arial"/>
          <w:sz w:val="58"/>
          <w:szCs w:val="58"/>
          <w:color w:val="auto"/>
        </w:rPr>
        <w:t>Delivery of Documents to Security Holders Sharing an Address</w:t>
      </w:r>
    </w:p>
    <w:p>
      <w:pPr>
        <w:spacing w:after="0" w:line="248"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investor.relations@acmrcsh.com.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79" w:lineRule="exact"/>
        <w:rPr>
          <w:sz w:val="20"/>
          <w:szCs w:val="20"/>
          <w:color w:val="auto"/>
        </w:rPr>
      </w:pPr>
    </w:p>
    <w:p>
      <w:pPr>
        <w:spacing w:after="0"/>
        <w:rPr>
          <w:sz w:val="20"/>
          <w:szCs w:val="20"/>
          <w:color w:val="auto"/>
        </w:rPr>
      </w:pPr>
      <w:r>
        <w:rPr>
          <w:rFonts w:ascii="Arial" w:cs="Arial" w:eastAsia="Arial" w:hAnsi="Arial"/>
          <w:sz w:val="58"/>
          <w:szCs w:val="58"/>
          <w:color w:val="auto"/>
        </w:rPr>
        <w:t>Other Matters</w:t>
      </w:r>
    </w:p>
    <w:p>
      <w:pPr>
        <w:spacing w:after="0" w:line="200" w:lineRule="exact"/>
        <w:rPr>
          <w:sz w:val="20"/>
          <w:szCs w:val="20"/>
          <w:color w:val="auto"/>
        </w:rPr>
      </w:pPr>
    </w:p>
    <w:p>
      <w:pPr>
        <w:spacing w:after="0" w:line="265"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We will pay all expenses of preparing, printing and mailing the Annual Meeting proxy materials, as well as all other expenses of soliciting proxies for the Annual Meeting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151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58"/>
          <w:szCs w:val="58"/>
          <w:color w:val="auto"/>
        </w:rPr>
        <w:t>Appendix 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ACM RESEARCH, INC.</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b w:val="1"/>
          <w:bCs w:val="1"/>
          <w:color w:val="0079C1"/>
        </w:rPr>
        <w:t>2026 Annual Meeting of Stockholders Rules of Conduct and Procedures</w:t>
      </w:r>
    </w:p>
    <w:p>
      <w:pPr>
        <w:spacing w:after="0" w:line="183"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auto"/>
        </w:rPr>
        <w:t>Welcome to the 2026 Annual Meeting of Stockholders (the “Annual Meeting”) of ACM Research, Inc. (the “Company”). In the interest of providing a fair and informative Annual Meeting, participants are required to honor the following Rules of Conduct and Procedures:</w:t>
      </w:r>
    </w:p>
    <w:p>
      <w:pPr>
        <w:spacing w:after="0" w:line="102" w:lineRule="exact"/>
        <w:rPr>
          <w:sz w:val="20"/>
          <w:szCs w:val="20"/>
          <w:color w:val="auto"/>
        </w:rPr>
      </w:pPr>
    </w:p>
    <w:p>
      <w:pPr>
        <w:ind w:left="340" w:right="600" w:hanging="332"/>
        <w:spacing w:after="0" w:line="39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Company’s bylaws describe requirements for meetings of our stockholders, and the Annual Meeting will be conducted consistent with those requirements.</w:t>
      </w:r>
    </w:p>
    <w:p>
      <w:pPr>
        <w:spacing w:after="0" w:line="87" w:lineRule="exact"/>
        <w:rPr>
          <w:rFonts w:ascii="Arial" w:cs="Arial" w:eastAsia="Arial" w:hAnsi="Arial"/>
          <w:sz w:val="16"/>
          <w:szCs w:val="16"/>
          <w:color w:val="auto"/>
        </w:rPr>
      </w:pPr>
    </w:p>
    <w:p>
      <w:pPr>
        <w:ind w:left="340" w:right="140" w:hanging="332"/>
        <w:spacing w:after="0" w:line="344"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p>
      <w:pPr>
        <w:spacing w:after="0" w:line="125" w:lineRule="exact"/>
        <w:rPr>
          <w:rFonts w:ascii="Arial" w:cs="Arial" w:eastAsia="Arial" w:hAnsi="Arial"/>
          <w:sz w:val="16"/>
          <w:szCs w:val="16"/>
          <w:color w:val="auto"/>
        </w:rPr>
      </w:pPr>
    </w:p>
    <w:p>
      <w:pPr>
        <w:ind w:left="340" w:right="440" w:hanging="332"/>
        <w:spacing w:after="0" w:line="374"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p>
      <w:pPr>
        <w:spacing w:after="0" w:line="101" w:lineRule="exact"/>
        <w:rPr>
          <w:rFonts w:ascii="Arial" w:cs="Arial" w:eastAsia="Arial" w:hAnsi="Arial"/>
          <w:sz w:val="16"/>
          <w:szCs w:val="16"/>
          <w:color w:val="auto"/>
        </w:rPr>
      </w:pPr>
    </w:p>
    <w:p>
      <w:pPr>
        <w:ind w:left="340" w:right="1760" w:hanging="332"/>
        <w:spacing w:after="0" w:line="39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Participants may access a live webcast of the Annual Meeting, and stockholders may submit questions and vote their shares, at virtualshareholdermeeting.com/ACMR2026.</w:t>
      </w:r>
    </w:p>
    <w:p>
      <w:pPr>
        <w:spacing w:after="0" w:line="87" w:lineRule="exact"/>
        <w:rPr>
          <w:rFonts w:ascii="Arial" w:cs="Arial" w:eastAsia="Arial" w:hAnsi="Arial"/>
          <w:sz w:val="16"/>
          <w:szCs w:val="16"/>
          <w:color w:val="auto"/>
        </w:rPr>
      </w:pPr>
    </w:p>
    <w:p>
      <w:pPr>
        <w:ind w:left="340" w:right="260" w:hanging="332"/>
        <w:spacing w:after="0" w:line="347"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stockholder of record as of 5 p.m., Eastern time, on April 13, 2026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p>
      <w:pPr>
        <w:spacing w:after="0" w:line="137" w:lineRule="exact"/>
        <w:rPr>
          <w:rFonts w:ascii="Arial" w:cs="Arial" w:eastAsia="Arial" w:hAnsi="Arial"/>
          <w:sz w:val="16"/>
          <w:szCs w:val="16"/>
          <w:color w:val="auto"/>
        </w:rPr>
      </w:pPr>
    </w:p>
    <w:p>
      <w:pPr>
        <w:ind w:left="340" w:right="660" w:hanging="332"/>
        <w:spacing w:after="0" w:line="354"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Meeting will begin at 7:00 a.m., Pacific time, on June 10, 2026. The only business to be conducted at the Annual Meeting will consist of the consideration of, and voting on, the two proposals set forth in the Proxy Statement for the Annual Meeting. These proposals will be considered sequentially at the Annual Meeting, in the order they are enumerated and set forth in the Proxy Statement.</w:t>
      </w:r>
    </w:p>
    <w:p>
      <w:pPr>
        <w:spacing w:after="0" w:line="117" w:lineRule="exact"/>
        <w:rPr>
          <w:rFonts w:ascii="Arial" w:cs="Arial" w:eastAsia="Arial" w:hAnsi="Arial"/>
          <w:sz w:val="16"/>
          <w:szCs w:val="16"/>
          <w:color w:val="auto"/>
        </w:rPr>
      </w:pPr>
    </w:p>
    <w:p>
      <w:pPr>
        <w:ind w:left="340" w:right="60" w:hanging="332"/>
        <w:spacing w:after="0" w:line="348"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a stockholder has a question about the agenda matter that is to be voted on at the Annual Meeting as set forth in the Company’s 2026 Proxy Statement, the question may be submitted in the field provided in the web portal at or before the time the matter is presented for consideration at the Annual Meeting. We will answer questions on the matter set forth in the Company’s 2026 Proxy Statement to be voted on by the stockholders at the Annual Meeting before voting is closed. During this period, the Company will not permit discussions or questions that are not relevant or pertinent to the agenda matter being discussed, as determined by the Chair in his reasonable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151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A-1</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right="300" w:hanging="332"/>
        <w:spacing w:after="0" w:line="354"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p>
      <w:pPr>
        <w:spacing w:after="0" w:line="130" w:lineRule="exact"/>
        <w:rPr>
          <w:rFonts w:ascii="Arial" w:cs="Arial" w:eastAsia="Arial" w:hAnsi="Arial"/>
          <w:sz w:val="16"/>
          <w:szCs w:val="16"/>
          <w:color w:val="auto"/>
        </w:rPr>
      </w:pPr>
    </w:p>
    <w:p>
      <w:pPr>
        <w:ind w:left="660" w:right="40" w:hanging="328"/>
        <w:spacing w:after="0" w:line="354" w:lineRule="auto"/>
        <w:tabs>
          <w:tab w:leader="none" w:pos="673"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p>
      <w:pPr>
        <w:spacing w:after="0" w:line="117" w:lineRule="exact"/>
        <w:rPr>
          <w:rFonts w:ascii="Arial" w:cs="Arial" w:eastAsia="Arial" w:hAnsi="Arial"/>
          <w:sz w:val="16"/>
          <w:szCs w:val="16"/>
          <w:color w:val="auto"/>
        </w:rPr>
      </w:pPr>
    </w:p>
    <w:p>
      <w:pPr>
        <w:ind w:left="660" w:hanging="328"/>
        <w:spacing w:after="0"/>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We will answer questions in the order received, except that:</w:t>
      </w:r>
    </w:p>
    <w:p>
      <w:pPr>
        <w:spacing w:after="0" w:line="234"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Questions from multiple stockholders related to the same topic or that are otherwise related may be grouped and answered together.</w:t>
      </w:r>
    </w:p>
    <w:p>
      <w:pPr>
        <w:spacing w:after="0" w:line="140" w:lineRule="exact"/>
        <w:rPr>
          <w:rFonts w:ascii="Arial" w:cs="Arial" w:eastAsia="Arial" w:hAnsi="Arial"/>
          <w:sz w:val="16"/>
          <w:szCs w:val="16"/>
          <w:color w:val="auto"/>
        </w:rPr>
      </w:pPr>
    </w:p>
    <w:p>
      <w:pPr>
        <w:ind w:left="980" w:right="700" w:hanging="324"/>
        <w:spacing w:after="0" w:line="369" w:lineRule="auto"/>
        <w:tabs>
          <w:tab w:leader="none" w:pos="975" w:val="left"/>
        </w:tabs>
        <w:numPr>
          <w:ilvl w:val="2"/>
          <w:numId w:val="80"/>
        </w:numPr>
        <w:rPr>
          <w:rFonts w:ascii="Arial" w:cs="Arial" w:eastAsia="Arial" w:hAnsi="Arial"/>
          <w:sz w:val="16"/>
          <w:szCs w:val="16"/>
          <w:color w:val="auto"/>
        </w:rPr>
      </w:pPr>
      <w:r>
        <w:rPr>
          <w:rFonts w:ascii="Arial" w:cs="Arial" w:eastAsia="Arial" w:hAnsi="Arial"/>
          <w:sz w:val="16"/>
          <w:szCs w:val="16"/>
          <w:color w:val="auto"/>
        </w:rPr>
        <w:t>Any second question from a stockholder will be deferred until such time as all appropriate first questions from stockholders have been addressed.</w:t>
      </w:r>
    </w:p>
    <w:p>
      <w:pPr>
        <w:spacing w:after="0" w:line="1" w:lineRule="exact"/>
        <w:rPr>
          <w:rFonts w:ascii="Arial" w:cs="Arial" w:eastAsia="Arial" w:hAnsi="Arial"/>
          <w:sz w:val="16"/>
          <w:szCs w:val="16"/>
          <w:color w:val="auto"/>
        </w:rPr>
      </w:pPr>
    </w:p>
    <w:p>
      <w:pPr>
        <w:ind w:left="980" w:right="260" w:hanging="324"/>
        <w:spacing w:after="0" w:line="347" w:lineRule="auto"/>
        <w:tabs>
          <w:tab w:leader="none" w:pos="971" w:val="left"/>
        </w:tabs>
        <w:numPr>
          <w:ilvl w:val="2"/>
          <w:numId w:val="80"/>
        </w:numPr>
        <w:rPr>
          <w:rFonts w:ascii="Arial" w:cs="Arial" w:eastAsia="Arial" w:hAnsi="Arial"/>
          <w:sz w:val="16"/>
          <w:szCs w:val="16"/>
          <w:color w:val="auto"/>
        </w:rPr>
      </w:pPr>
      <w:r>
        <w:rPr>
          <w:rFonts w:ascii="Arial" w:cs="Arial" w:eastAsia="Arial" w:hAnsi="Arial"/>
          <w:sz w:val="16"/>
          <w:szCs w:val="16"/>
          <w:color w:val="auto"/>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p>
      <w:pPr>
        <w:spacing w:after="0" w:line="137" w:lineRule="exact"/>
        <w:rPr>
          <w:rFonts w:ascii="Arial" w:cs="Arial" w:eastAsia="Arial" w:hAnsi="Arial"/>
          <w:sz w:val="16"/>
          <w:szCs w:val="16"/>
          <w:color w:val="auto"/>
        </w:rPr>
      </w:pPr>
    </w:p>
    <w:p>
      <w:pPr>
        <w:ind w:left="660" w:right="580" w:hanging="328"/>
        <w:spacing w:after="0" w:line="374" w:lineRule="auto"/>
        <w:tabs>
          <w:tab w:leader="none" w:pos="664"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views, questions and constructive comments of all stockholders are valued and welcomed. The purpose of the Annual Meeting must be observed, however, and the Company will not permit questions that:</w:t>
      </w:r>
    </w:p>
    <w:p>
      <w:pPr>
        <w:spacing w:after="0" w:line="101"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not relevant or pertinent to the business of the Company;</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related to material non-public information of the Company;</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related to pending or threatened litigation or investigations;</w:t>
      </w:r>
    </w:p>
    <w:p>
      <w:pPr>
        <w:spacing w:after="0" w:line="140" w:lineRule="exact"/>
        <w:rPr>
          <w:rFonts w:ascii="Arial" w:cs="Arial" w:eastAsia="Arial" w:hAnsi="Arial"/>
          <w:sz w:val="16"/>
          <w:szCs w:val="16"/>
          <w:color w:val="auto"/>
        </w:rPr>
      </w:pPr>
    </w:p>
    <w:p>
      <w:pPr>
        <w:ind w:left="960" w:hanging="304"/>
        <w:spacing w:after="0"/>
        <w:tabs>
          <w:tab w:leader="none" w:pos="96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in furtherance of a stockholder’s personal or business interests;</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repetitious of statements made by another stockholder;</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related to personal grievances;</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include derogatory references to individuals or are otherwise in bad taste; or</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are out of order or not otherwise suitable for the conduct of the Annual Meeting as determined by the Chair in his reasonable judgment.</w:t>
      </w:r>
    </w:p>
    <w:p>
      <w:pPr>
        <w:spacing w:after="0" w:line="248" w:lineRule="exact"/>
        <w:rPr>
          <w:rFonts w:ascii="Arial" w:cs="Arial" w:eastAsia="Arial" w:hAnsi="Arial"/>
          <w:sz w:val="16"/>
          <w:szCs w:val="16"/>
          <w:color w:val="auto"/>
        </w:rPr>
      </w:pPr>
    </w:p>
    <w:p>
      <w:pPr>
        <w:ind w:left="340" w:right="220" w:hanging="332"/>
        <w:spacing w:after="0" w:line="374"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w:t>
      </w:r>
    </w:p>
    <w:p>
      <w:pPr>
        <w:spacing w:after="0" w:line="101" w:lineRule="exact"/>
        <w:rPr>
          <w:rFonts w:ascii="Arial" w:cs="Arial" w:eastAsia="Arial" w:hAnsi="Arial"/>
          <w:sz w:val="16"/>
          <w:szCs w:val="16"/>
          <w:color w:val="auto"/>
        </w:rPr>
      </w:pPr>
    </w:p>
    <w:p>
      <w:pPr>
        <w:ind w:left="340" w:right="280" w:hanging="332"/>
        <w:spacing w:after="0" w:line="347" w:lineRule="auto"/>
        <w:tabs>
          <w:tab w:leader="none" w:pos="3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Recording of the Annual Meeting is prohibited without the prior written permission of the Company. A webcast playback of the Annual Meeting will be available at http://ir.acmrcsh.com/presentations within approximately 24 hours after the completion of the Annual Meeting and will remain publicly available until our next annual meeting of stockholders in 2027. The webcast playback will include each stockholder question addressed during the Annual Meeting.</w:t>
      </w:r>
    </w:p>
    <w:p>
      <w:pPr>
        <w:spacing w:after="0" w:line="137" w:lineRule="exact"/>
        <w:rPr>
          <w:rFonts w:ascii="Arial" w:cs="Arial" w:eastAsia="Arial" w:hAnsi="Arial"/>
          <w:sz w:val="16"/>
          <w:szCs w:val="16"/>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violation of any of the above conduct requirements will be cause for dismissal from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79C1"/>
        </w:rPr>
        <w:t>THANK YOU FOR YOUR COOPERATION AND FOR JOINING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492125</wp:posOffset>
            </wp:positionV>
            <wp:extent cx="71151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ACM Research, Inc.</w:t>
      </w:r>
      <w:r>
        <w:rPr>
          <w:sz w:val="20"/>
          <w:szCs w:val="20"/>
          <w:color w:val="auto"/>
        </w:rPr>
        <w:tab/>
      </w:r>
      <w:r>
        <w:rPr>
          <w:rFonts w:ascii="Arial" w:cs="Arial" w:eastAsia="Arial" w:hAnsi="Arial"/>
          <w:sz w:val="14"/>
          <w:szCs w:val="14"/>
          <w:b w:val="1"/>
          <w:bCs w:val="1"/>
          <w:color w:val="auto"/>
        </w:rPr>
        <w:t>A-2</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40"/>
          </w:cols>
          <w:pgMar w:left="320" w:top="130" w:right="339" w:bottom="1440" w:gutter="0" w:footer="0" w:header="0"/>
        </w:sectPr>
      </w:pPr>
    </w:p>
    <w:bookmarkStart w:id="65" w:name="page66"/>
    <w:bookmarkEnd w:id="65"/>
    <w:p>
      <w:pPr>
        <w:spacing w:after="0"/>
        <w:tabs>
          <w:tab w:leader="none" w:pos="5480" w:val="left"/>
          <w:tab w:leader="none" w:pos="6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5480" w:val="left"/>
          <w:tab w:leader="none" w:pos="6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o"/>
      <w:numFmt w:val="bullet"/>
      <w:start w:val="1"/>
    </w:lvl>
  </w:abstractNum>
  <w:abstractNum w:abstractNumId="1">
    <w:nsid w:val="153EA438"/>
    <w:multiLevelType w:val="hybridMultilevel"/>
    <w:lvl w:ilvl="0">
      <w:lvlJc w:val="left"/>
      <w:lvlText w:val="x"/>
      <w:numFmt w:val="bullet"/>
      <w:start w:val="1"/>
    </w:lvl>
  </w:abstractNum>
  <w:abstractNum w:abstractNumId="2">
    <w:nsid w:val="3855585C"/>
    <w:multiLevelType w:val="hybridMultilevel"/>
    <w:lvl w:ilvl="0">
      <w:lvlJc w:val="left"/>
      <w:lvlText w:val="o"/>
      <w:numFmt w:val="bullet"/>
      <w:start w:val="1"/>
    </w:lvl>
    <w:lvl w:ilvl="1">
      <w:lvlJc w:val="left"/>
      <w:lvlText w:val="(%2)"/>
      <w:numFmt w:val="decimal"/>
      <w:start w:val="1"/>
    </w:lvl>
  </w:abstractNum>
  <w:abstractNum w:abstractNumId="3">
    <w:nsid w:val="70A64E2A"/>
    <w:multiLevelType w:val="hybridMultilevel"/>
    <w:lvl w:ilvl="0">
      <w:lvlJc w:val="left"/>
      <w:lvlText w:val="1"/>
      <w:numFmt w:val="bullet"/>
      <w:start w:val="1"/>
    </w:lvl>
  </w:abstractNum>
  <w:abstractNum w:abstractNumId="4">
    <w:nsid w:val="6A2342EC"/>
    <w:multiLevelType w:val="hybridMultilevel"/>
    <w:lvl w:ilvl="0">
      <w:lvlJc w:val="left"/>
      <w:lvlText w:val="2"/>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bullet"/>
      <w:start w:val="1"/>
    </w:lvl>
  </w:abstractNum>
  <w:abstractNum w:abstractNumId="7">
    <w:nsid w:val="725A06FB"/>
    <w:multiLevelType w:val="hybridMultilevel"/>
    <w:lvl w:ilvl="0">
      <w:lvlJc w:val="left"/>
      <w:lvlText w:val="2"/>
      <w:numFmt w:val="bullet"/>
      <w:start w:val="1"/>
    </w:lvl>
  </w:abstractNum>
  <w:abstractNum w:abstractNumId="8">
    <w:nsid w:val="2CD89A32"/>
    <w:multiLevelType w:val="hybridMultilevel"/>
    <w:lvl w:ilvl="0">
      <w:lvlJc w:val="left"/>
      <w:lvlText w:val="%1:"/>
      <w:numFmt w:val="upperLetter"/>
      <w:start w:val="1"/>
    </w:lvl>
  </w:abstractNum>
  <w:abstractNum w:abstractNumId="9">
    <w:nsid w:val="57E4CCAF"/>
    <w:multiLevelType w:val="hybridMultilevel"/>
    <w:lvl w:ilvl="0">
      <w:lvlJc w:val="left"/>
      <w:lvlText w:val="%1:"/>
      <w:numFmt w:val="upperLetter"/>
      <w:start w:val="1"/>
    </w:lvl>
  </w:abstractNum>
  <w:abstractNum w:abstractNumId="10">
    <w:nsid w:val="7A6D8D3C"/>
    <w:multiLevelType w:val="hybridMultilevel"/>
    <w:lvl w:ilvl="0">
      <w:lvlJc w:val="left"/>
      <w:lvlText w:val="%1:"/>
      <w:numFmt w:val="upperLetter"/>
      <w:start w:val="1"/>
    </w:lvl>
    <w:lvl w:ilvl="1">
      <w:lvlJc w:val="left"/>
      <w:lvlText w:val="•"/>
      <w:numFmt w:val="bullet"/>
      <w:start w:val="1"/>
    </w:lvl>
  </w:abstractNum>
  <w:abstractNum w:abstractNumId="11">
    <w:nsid w:val="4B588F54"/>
    <w:multiLevelType w:val="hybridMultilevel"/>
    <w:lvl w:ilvl="0">
      <w:lvlJc w:val="left"/>
      <w:lvlText w:val="%1:"/>
      <w:numFmt w:val="upperLetter"/>
      <w:start w:val="1"/>
    </w:lvl>
  </w:abstractNum>
  <w:abstractNum w:abstractNumId="12">
    <w:nsid w:val="542289EC"/>
    <w:multiLevelType w:val="hybridMultilevel"/>
    <w:lvl w:ilvl="0">
      <w:lvlJc w:val="left"/>
      <w:lvlText w:val="%1:"/>
      <w:numFmt w:val="upperLetter"/>
      <w:start w:val="1"/>
    </w:lvl>
  </w:abstractNum>
  <w:abstractNum w:abstractNumId="13">
    <w:nsid w:val="6DE91B18"/>
    <w:multiLevelType w:val="hybridMultilevel"/>
    <w:lvl w:ilvl="0">
      <w:lvlJc w:val="left"/>
      <w:lvlText w:val="%1:"/>
      <w:numFmt w:val="upperLetter"/>
      <w:start w:val="1"/>
    </w:lvl>
  </w:abstractNum>
  <w:abstractNum w:abstractNumId="14">
    <w:nsid w:val="38437FDB"/>
    <w:multiLevelType w:val="hybridMultilevel"/>
    <w:lvl w:ilvl="0">
      <w:lvlJc w:val="left"/>
      <w:lvlText w:val="%1:"/>
      <w:numFmt w:val="upperLetter"/>
      <w:start w:val="17"/>
    </w:lvl>
  </w:abstractNum>
  <w:abstractNum w:abstractNumId="15">
    <w:nsid w:val="7644A45C"/>
    <w:multiLevelType w:val="hybridMultilevel"/>
    <w:lvl w:ilvl="0">
      <w:lvlJc w:val="left"/>
      <w:lvlText w:val="%1:"/>
      <w:numFmt w:val="upperLetter"/>
      <w:start w:val="16"/>
    </w:lvl>
    <w:lvl w:ilvl="1">
      <w:lvlJc w:val="left"/>
      <w:lvlText w:val="2"/>
      <w:numFmt w:val="bullet"/>
      <w:start w:val="1"/>
    </w:lvl>
  </w:abstractNum>
  <w:abstractNum w:abstractNumId="16">
    <w:nsid w:val="32FFF902"/>
    <w:multiLevelType w:val="hybridMultilevel"/>
    <w:lvl w:ilvl="0">
      <w:lvlJc w:val="left"/>
      <w:lvlText w:val="%1:"/>
      <w:numFmt w:val="upperLetter"/>
      <w:start w:val="1"/>
    </w:lvl>
  </w:abstractNum>
  <w:abstractNum w:abstractNumId="17">
    <w:nsid w:val="684A481A"/>
    <w:multiLevelType w:val="hybridMultilevel"/>
    <w:lvl w:ilvl="0">
      <w:lvlJc w:val="left"/>
      <w:lvlText w:val="%1:"/>
      <w:numFmt w:val="upperLetter"/>
      <w:start w:val="1"/>
    </w:lvl>
  </w:abstractNum>
  <w:abstractNum w:abstractNumId="18">
    <w:nsid w:val="579478FE"/>
    <w:multiLevelType w:val="hybridMultilevel"/>
    <w:lvl w:ilvl="0">
      <w:lvlJc w:val="left"/>
      <w:lvlText w:val="%1:"/>
      <w:numFmt w:val="upperLetter"/>
      <w:start w:val="1"/>
    </w:lvl>
    <w:lvl w:ilvl="1">
      <w:lvlJc w:val="left"/>
      <w:lvlText w:val="•"/>
      <w:numFmt w:val="bullet"/>
      <w:start w:val="1"/>
    </w:lvl>
  </w:abstractNum>
  <w:abstractNum w:abstractNumId="19">
    <w:nsid w:val="749ABB43"/>
    <w:multiLevelType w:val="hybridMultilevel"/>
    <w:lvl w:ilvl="0">
      <w:lvlJc w:val="left"/>
      <w:lvlText w:val="%1:"/>
      <w:numFmt w:val="upperLetter"/>
      <w:start w:val="1"/>
    </w:lvl>
  </w:abstractNum>
  <w:abstractNum w:abstractNumId="20">
    <w:nsid w:val="3DC240FB"/>
    <w:multiLevelType w:val="hybridMultilevel"/>
    <w:lvl w:ilvl="0">
      <w:lvlJc w:val="left"/>
      <w:lvlText w:val="%1:"/>
      <w:numFmt w:val="upperLetter"/>
      <w:start w:val="1"/>
    </w:lvl>
  </w:abstractNum>
  <w:abstractNum w:abstractNumId="21">
    <w:nsid w:val="1BA026FA"/>
    <w:multiLevelType w:val="hybridMultilevel"/>
    <w:lvl w:ilvl="0">
      <w:lvlJc w:val="left"/>
      <w:lvlText w:val="%1:"/>
      <w:numFmt w:val="upperLetter"/>
      <w:start w:val="1"/>
    </w:lvl>
  </w:abstractNum>
  <w:abstractNum w:abstractNumId="22">
    <w:nsid w:val="79A1DEAA"/>
    <w:multiLevelType w:val="hybridMultilevel"/>
    <w:lvl w:ilvl="0">
      <w:lvlJc w:val="left"/>
      <w:lvlText w:val="%1:"/>
      <w:numFmt w:val="upperLetter"/>
      <w:start w:val="1"/>
    </w:lvl>
  </w:abstractNum>
  <w:abstractNum w:abstractNumId="23">
    <w:nsid w:val="75C6C33A"/>
    <w:multiLevelType w:val="hybridMultilevel"/>
    <w:lvl w:ilvl="0">
      <w:lvlJc w:val="left"/>
      <w:lvlText w:val="%1:"/>
      <w:numFmt w:val="upperLetter"/>
      <w:start w:val="1"/>
    </w:lvl>
  </w:abstractNum>
  <w:abstractNum w:abstractNumId="24">
    <w:nsid w:val="12E685FB"/>
    <w:multiLevelType w:val="hybridMultilevel"/>
    <w:lvl w:ilvl="0">
      <w:lvlJc w:val="left"/>
      <w:lvlText w:val="%1:"/>
      <w:numFmt w:val="upperLetter"/>
      <w:start w:val="1"/>
    </w:lvl>
    <w:lvl w:ilvl="1">
      <w:lvlJc w:val="left"/>
      <w:lvlText w:val="•"/>
      <w:numFmt w:val="bullet"/>
      <w:start w:val="1"/>
    </w:lvl>
  </w:abstractNum>
  <w:abstractNum w:abstractNumId="25">
    <w:nsid w:val="70C6A529"/>
    <w:multiLevelType w:val="hybridMultilevel"/>
    <w:lvl w:ilvl="0">
      <w:lvlJc w:val="left"/>
      <w:lvlText w:val="%1:"/>
      <w:numFmt w:val="upperLetter"/>
      <w:start w:val="1"/>
    </w:lvl>
  </w:abstractNum>
  <w:abstractNum w:abstractNumId="26">
    <w:nsid w:val="520EEDD1"/>
    <w:multiLevelType w:val="hybridMultilevel"/>
    <w:lvl w:ilvl="0">
      <w:lvlJc w:val="left"/>
      <w:lvlText w:val="%1:"/>
      <w:numFmt w:val="upperLetter"/>
      <w:start w:val="1"/>
    </w:lvl>
  </w:abstractNum>
  <w:abstractNum w:abstractNumId="27">
    <w:nsid w:val="374A3FE6"/>
    <w:multiLevelType w:val="hybridMultilevel"/>
    <w:lvl w:ilvl="0">
      <w:lvlJc w:val="left"/>
      <w:lvlText w:val="%1:"/>
      <w:numFmt w:val="upperLetter"/>
      <w:start w:val="1"/>
    </w:lvl>
  </w:abstractNum>
  <w:abstractNum w:abstractNumId="28">
    <w:nsid w:val="4F4EF005"/>
    <w:multiLevelType w:val="hybridMultilevel"/>
    <w:lvl w:ilvl="0">
      <w:lvlJc w:val="left"/>
      <w:lvlText w:val="1"/>
      <w:numFmt w:val="bullet"/>
      <w:start w:val="1"/>
    </w:lvl>
  </w:abstractNum>
  <w:abstractNum w:abstractNumId="29">
    <w:nsid w:val="23F9C13C"/>
    <w:multiLevelType w:val="hybridMultilevel"/>
    <w:lvl w:ilvl="0">
      <w:lvlJc w:val="left"/>
      <w:lvlText w:val="2"/>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lvl w:ilvl="1">
      <w:lvlJc w:val="left"/>
      <w:lvlText w:val="◦"/>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lvl w:ilvl="1">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9"/>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decimal"/>
      <w:start w:val="6"/>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3"/>
    </w:lvl>
  </w:abstractNum>
  <w:abstractNum w:abstractNumId="72">
    <w:nsid w:val="BF72B14"/>
    <w:multiLevelType w:val="hybridMultilevel"/>
    <w:lvl w:ilvl="0">
      <w:lvlJc w:val="left"/>
      <w:lvlText w:val="%1."/>
      <w:numFmt w:val="decimal"/>
      <w:start w:val="3"/>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lowerLetter"/>
      <w:start w:val="3"/>
    </w:lvl>
  </w:abstractNum>
  <w:abstractNum w:abstractNumId="75">
    <w:nsid w:val="A0382C5"/>
    <w:multiLevelType w:val="hybridMultilevel"/>
    <w:lvl w:ilvl="0">
      <w:lvlJc w:val="left"/>
      <w:lvlText w:val="%1."/>
      <w:numFmt w:val="decimal"/>
      <w:start w:val="5"/>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2026-04-27T08:16:39Z</dcterms:created>
  <dcterms:modified xsi:type="dcterms:W3CDTF">2026-04-27T08:16:39Z</dcterms:modified>
</cp:coreProperties>
</file>