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10-K/A</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 One)</w:t>
      </w:r>
    </w:p>
    <w:p>
      <w:pPr>
        <w:spacing w:after="0" w:line="24" w:lineRule="exact"/>
        <w:rPr>
          <w:sz w:val="24"/>
          <w:szCs w:val="24"/>
          <w:color w:val="auto"/>
        </w:rPr>
      </w:pPr>
    </w:p>
    <w:p>
      <w:pPr>
        <w:ind w:left="3920" w:right="1960" w:hanging="3912"/>
        <w:spacing w:after="0" w:line="253" w:lineRule="auto"/>
        <w:tabs>
          <w:tab w:leader="none" w:pos="48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2021</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or</w:t>
      </w:r>
    </w:p>
    <w:p>
      <w:pPr>
        <w:spacing w:after="0" w:line="4" w:lineRule="exact"/>
        <w:rPr>
          <w:sz w:val="24"/>
          <w:szCs w:val="24"/>
          <w:color w:val="auto"/>
        </w:rPr>
      </w:pPr>
    </w:p>
    <w:p>
      <w:pPr>
        <w:ind w:left="3320" w:right="1580" w:hanging="3312"/>
        <w:spacing w:after="0" w:line="266" w:lineRule="auto"/>
        <w:tabs>
          <w:tab w:leader="none" w:pos="485"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 to _____________</w:t>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Commission file number:</w:t>
      </w:r>
      <w:r>
        <w:rPr>
          <w:rFonts w:ascii="Times New Roman" w:cs="Times New Roman" w:eastAsia="Times New Roman" w:hAnsi="Times New Roman"/>
          <w:sz w:val="18"/>
          <w:szCs w:val="18"/>
          <w:b w:val="1"/>
          <w:bCs w:val="1"/>
          <w:color w:val="auto"/>
        </w:rPr>
        <w:t>001-38273 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3314065</wp:posOffset>
            </wp:positionH>
            <wp:positionV relativeFrom="paragraph">
              <wp:posOffset>156845</wp:posOffset>
            </wp:positionV>
            <wp:extent cx="522605" cy="3257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2605"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ACM Research,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1" w:lineRule="exact"/>
        <w:rPr>
          <w:sz w:val="24"/>
          <w:szCs w:val="24"/>
          <w:color w:val="auto"/>
        </w:rPr>
      </w:pPr>
    </w:p>
    <w:tbl>
      <w:tblPr>
        <w:tblLayout w:type="fixed"/>
        <w:tblInd w:w="520" w:type="dxa"/>
        <w:tblCellMar>
          <w:top w:w="0" w:type="dxa"/>
          <w:left w:w="0" w:type="dxa"/>
          <w:bottom w:w="0" w:type="dxa"/>
          <w:right w:w="0" w:type="dxa"/>
        </w:tblCellMar>
      </w:tblPr>
      <w:tr>
        <w:trPr>
          <w:trHeight w:val="218"/>
        </w:trPr>
        <w:tc>
          <w:tcPr>
            <w:tcW w:w="558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rPr>
              <w:t>California</w:t>
            </w:r>
          </w:p>
        </w:tc>
        <w:tc>
          <w:tcPr>
            <w:tcW w:w="368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94-3290283</w:t>
            </w:r>
          </w:p>
        </w:tc>
      </w:tr>
      <w:tr>
        <w:trPr>
          <w:trHeight w:val="236"/>
        </w:trPr>
        <w:tc>
          <w:tcPr>
            <w:tcW w:w="5580" w:type="dxa"/>
            <w:vAlign w:val="bottom"/>
          </w:tcPr>
          <w:p>
            <w:pPr>
              <w:jc w:val="center"/>
              <w:ind w:right="990"/>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 of Incorporation or Organization)</w:t>
            </w:r>
          </w:p>
        </w:tc>
        <w:tc>
          <w:tcPr>
            <w:tcW w:w="3680" w:type="dxa"/>
            <w:vAlign w:val="bottom"/>
          </w:tcPr>
          <w:p>
            <w:pPr>
              <w:jc w:val="center"/>
              <w:ind w:left="1010"/>
              <w:spacing w:after="0"/>
              <w:rPr>
                <w:sz w:val="20"/>
                <w:szCs w:val="20"/>
                <w:color w:val="auto"/>
              </w:rPr>
            </w:pPr>
            <w:r>
              <w:rPr>
                <w:rFonts w:ascii="Times New Roman" w:cs="Times New Roman" w:eastAsia="Times New Roman" w:hAnsi="Times New Roman"/>
                <w:sz w:val="18"/>
                <w:szCs w:val="18"/>
                <w:i w:val="1"/>
                <w:iCs w:val="1"/>
                <w:color w:val="auto"/>
              </w:rPr>
              <w:t>(I.R.S. Employer Identification No.)</w:t>
            </w:r>
          </w:p>
        </w:tc>
      </w:tr>
      <w:tr>
        <w:trPr>
          <w:trHeight w:val="412"/>
        </w:trPr>
        <w:tc>
          <w:tcPr>
            <w:tcW w:w="558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w w:val="99"/>
              </w:rPr>
              <w:t>42307 Osgood Road, Suite I, Fremont, California</w:t>
            </w:r>
          </w:p>
        </w:tc>
        <w:tc>
          <w:tcPr>
            <w:tcW w:w="3680" w:type="dxa"/>
            <w:vAlign w:val="bottom"/>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94539</w:t>
            </w:r>
          </w:p>
        </w:tc>
      </w:tr>
      <w:tr>
        <w:trPr>
          <w:trHeight w:val="236"/>
        </w:trPr>
        <w:tc>
          <w:tcPr>
            <w:tcW w:w="5580" w:type="dxa"/>
            <w:vAlign w:val="bottom"/>
          </w:tcPr>
          <w:p>
            <w:pPr>
              <w:jc w:val="center"/>
              <w:ind w:right="99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3680" w:type="dxa"/>
            <w:vAlign w:val="bottom"/>
          </w:tcPr>
          <w:p>
            <w:pPr>
              <w:jc w:val="center"/>
              <w:ind w:left="101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xml:space="preserve">Registrant’s telephone number, including area code: </w:t>
      </w:r>
      <w:r>
        <w:rPr>
          <w:rFonts w:ascii="Times New Roman" w:cs="Times New Roman" w:eastAsia="Times New Roman" w:hAnsi="Times New Roman"/>
          <w:sz w:val="18"/>
          <w:szCs w:val="18"/>
          <w:b w:val="1"/>
          <w:bCs w:val="1"/>
          <w:color w:val="auto"/>
        </w:rPr>
        <w:t>(510) 445-3700</w:t>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Securities registered pursuant to Section 12(b) of the Act:</w:t>
      </w:r>
    </w:p>
    <w:p>
      <w:pPr>
        <w:spacing w:after="0" w:line="22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Title of Each Class</w:t>
            </w:r>
          </w:p>
        </w:tc>
        <w:tc>
          <w:tcPr>
            <w:tcW w:w="2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Trading Symbol</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8"/>
        </w:trPr>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A Common Stock, $0.0001 par value</w:t>
            </w:r>
          </w:p>
        </w:tc>
        <w:tc>
          <w:tcPr>
            <w:tcW w:w="140" w:type="dxa"/>
            <w:vAlign w:val="bottom"/>
          </w:tcPr>
          <w:p>
            <w:pPr>
              <w:spacing w:after="0"/>
              <w:rPr>
                <w:sz w:val="20"/>
                <w:szCs w:val="20"/>
                <w:color w:val="auto"/>
              </w:rPr>
            </w:pPr>
          </w:p>
        </w:tc>
        <w:tc>
          <w:tcPr>
            <w:tcW w:w="2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ACMR</w:t>
            </w:r>
          </w:p>
        </w:tc>
        <w:tc>
          <w:tcPr>
            <w:tcW w:w="120" w:type="dxa"/>
            <w:vAlign w:val="bottom"/>
          </w:tcPr>
          <w:p>
            <w:pPr>
              <w:spacing w:after="0"/>
              <w:rPr>
                <w:sz w:val="20"/>
                <w:szCs w:val="20"/>
                <w:color w:val="auto"/>
              </w:rPr>
            </w:pPr>
          </w:p>
        </w:tc>
        <w:tc>
          <w:tcPr>
            <w:tcW w:w="4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20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560" w:type="dxa"/>
        <w:tblCellMar>
          <w:top w:w="0" w:type="dxa"/>
          <w:left w:w="0" w:type="dxa"/>
          <w:bottom w:w="0" w:type="dxa"/>
          <w:right w:w="0" w:type="dxa"/>
        </w:tblCellMar>
      </w:tblPr>
      <w:tr>
        <w:trPr>
          <w:trHeight w:val="216"/>
        </w:trPr>
        <w:tc>
          <w:tcPr>
            <w:tcW w:w="446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tc>
        <w:tc>
          <w:tcPr>
            <w:tcW w:w="518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446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tc>
        <w:tc>
          <w:tcPr>
            <w:tcW w:w="518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4460" w:type="dxa"/>
            <w:vAlign w:val="bottom"/>
          </w:tcPr>
          <w:p>
            <w:pPr>
              <w:spacing w:after="0"/>
              <w:rPr>
                <w:sz w:val="24"/>
                <w:szCs w:val="24"/>
                <w:color w:val="auto"/>
              </w:rPr>
            </w:pPr>
          </w:p>
        </w:tc>
        <w:tc>
          <w:tcPr>
            <w:tcW w:w="518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Emerging growth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market value on June 30, 2021 (the last business day of the registrant’s most recently completed second quarter) of the voting common equity held by non-affiliates of the registrant, computed by reference to the $102.22 closing price of the stock on that date, was $1,980.6 million. The registrant does not have non-voting common equity outstanding.</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registrant’s classes of common stock, as of the latest practicable date.</w:t>
      </w:r>
    </w:p>
    <w:p>
      <w:pPr>
        <w:spacing w:after="0" w:line="225" w:lineRule="exact"/>
        <w:rPr>
          <w:sz w:val="24"/>
          <w:szCs w:val="24"/>
          <w:color w:val="auto"/>
        </w:rPr>
      </w:pPr>
    </w:p>
    <w:p>
      <w:pPr>
        <w:ind w:left="2140"/>
        <w:spacing w:after="0"/>
        <w:tabs>
          <w:tab w:leader="none" w:pos="7140" w:val="left"/>
        </w:tabs>
        <w:rPr>
          <w:sz w:val="20"/>
          <w:szCs w:val="20"/>
          <w:color w:val="auto"/>
        </w:rPr>
      </w:pPr>
      <w:r>
        <w:rPr>
          <w:rFonts w:ascii="Times New Roman" w:cs="Times New Roman" w:eastAsia="Times New Roman" w:hAnsi="Times New Roman"/>
          <w:sz w:val="18"/>
          <w:szCs w:val="18"/>
          <w:color w:val="auto"/>
        </w:rPr>
        <w:t>Class</w:t>
      </w:r>
      <w:r>
        <w:rPr>
          <w:sz w:val="20"/>
          <w:szCs w:val="20"/>
          <w:color w:val="auto"/>
        </w:rPr>
        <w:tab/>
      </w:r>
      <w:r>
        <w:rPr>
          <w:rFonts w:ascii="Times New Roman" w:cs="Times New Roman" w:eastAsia="Times New Roman" w:hAnsi="Times New Roman"/>
          <w:sz w:val="18"/>
          <w:szCs w:val="18"/>
          <w:color w:val="auto"/>
        </w:rPr>
        <w:t>Number of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Class A Common Stock, $0.0001 par value</w:t>
            </w:r>
          </w:p>
        </w:tc>
        <w:tc>
          <w:tcPr>
            <w:tcW w:w="7660" w:type="dxa"/>
            <w:vAlign w:val="bottom"/>
          </w:tcPr>
          <w:p>
            <w:pPr>
              <w:ind w:left="1740"/>
              <w:spacing w:after="0"/>
              <w:rPr>
                <w:sz w:val="20"/>
                <w:szCs w:val="20"/>
                <w:color w:val="auto"/>
              </w:rPr>
            </w:pPr>
            <w:r>
              <w:rPr>
                <w:rFonts w:ascii="Times New Roman" w:cs="Times New Roman" w:eastAsia="Times New Roman" w:hAnsi="Times New Roman"/>
                <w:sz w:val="18"/>
                <w:szCs w:val="18"/>
                <w:b w:val="1"/>
                <w:bCs w:val="1"/>
                <w:color w:val="auto"/>
              </w:rPr>
              <w:t>54,035,280 shares outstanding as of April 22, 2022</w:t>
            </w:r>
          </w:p>
        </w:tc>
      </w:tr>
      <w:tr>
        <w:trPr>
          <w:trHeight w:val="238"/>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Class B Common Stock, $0.0001 par value</w:t>
            </w:r>
          </w:p>
        </w:tc>
        <w:tc>
          <w:tcPr>
            <w:tcW w:w="7660" w:type="dxa"/>
            <w:vAlign w:val="bottom"/>
          </w:tcPr>
          <w:p>
            <w:pPr>
              <w:ind w:left="1740"/>
              <w:spacing w:after="0"/>
              <w:rPr>
                <w:sz w:val="20"/>
                <w:szCs w:val="20"/>
                <w:color w:val="auto"/>
              </w:rPr>
            </w:pPr>
            <w:r>
              <w:rPr>
                <w:rFonts w:ascii="Times New Roman" w:cs="Times New Roman" w:eastAsia="Times New Roman" w:hAnsi="Times New Roman"/>
                <w:sz w:val="18"/>
                <w:szCs w:val="18"/>
                <w:b w:val="1"/>
                <w:bCs w:val="1"/>
                <w:color w:val="auto"/>
              </w:rPr>
              <w:t>5,086,812 shares outstanding as of April 22, 2022</w:t>
            </w:r>
          </w:p>
        </w:tc>
      </w:tr>
      <w:tr>
        <w:trPr>
          <w:trHeight w:val="432"/>
        </w:trPr>
        <w:tc>
          <w:tcPr>
            <w:tcW w:w="3580" w:type="dxa"/>
            <w:vAlign w:val="bottom"/>
          </w:tcPr>
          <w:p>
            <w:pPr>
              <w:spacing w:after="0"/>
              <w:rPr>
                <w:sz w:val="24"/>
                <w:szCs w:val="24"/>
                <w:color w:val="auto"/>
              </w:rPr>
            </w:pPr>
          </w:p>
        </w:tc>
        <w:tc>
          <w:tcPr>
            <w:tcW w:w="76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Documents Incorporated By Reference: </w:t>
            </w:r>
            <w:r>
              <w:rPr>
                <w:rFonts w:ascii="Times New Roman" w:cs="Times New Roman" w:eastAsia="Times New Roman" w:hAnsi="Times New Roman"/>
                <w:sz w:val="18"/>
                <w:szCs w:val="18"/>
                <w:color w:val="auto"/>
              </w:rPr>
              <w:t>None</w:t>
            </w:r>
          </w:p>
        </w:tc>
      </w:tr>
      <w:tr>
        <w:trPr>
          <w:trHeight w:val="696"/>
        </w:trPr>
        <w:tc>
          <w:tcPr>
            <w:tcW w:w="3580" w:type="dxa"/>
            <w:vAlign w:val="bottom"/>
            <w:tcBorders>
              <w:bottom w:val="single" w:sz="8" w:color="auto"/>
            </w:tcBorders>
          </w:tcPr>
          <w:p>
            <w:pPr>
              <w:spacing w:after="0"/>
              <w:rPr>
                <w:sz w:val="24"/>
                <w:szCs w:val="24"/>
                <w:color w:val="auto"/>
              </w:rPr>
            </w:pPr>
          </w:p>
        </w:tc>
        <w:tc>
          <w:tcPr>
            <w:tcW w:w="7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00" w:lineRule="exact"/>
        <w:rPr>
          <w:sz w:val="20"/>
          <w:szCs w:val="20"/>
          <w:color w:val="auto"/>
        </w:rPr>
      </w:pPr>
    </w:p>
    <w:p>
      <w:pPr>
        <w:jc w:val="both"/>
        <w:spacing w:after="0" w:line="224" w:lineRule="exact"/>
        <w:rPr>
          <w:sz w:val="20"/>
          <w:szCs w:val="20"/>
          <w:color w:val="auto"/>
        </w:rPr>
      </w:pPr>
      <w:r>
        <w:rPr>
          <w:rFonts w:ascii="Times New Roman" w:cs="Times New Roman" w:eastAsia="Times New Roman" w:hAnsi="Times New Roman"/>
          <w:sz w:val="18"/>
          <w:szCs w:val="18"/>
          <w:color w:val="auto"/>
        </w:rPr>
        <w:t>We are filing this Amendment No. 1 on Form 10-K/A, or this Amendment, to amend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fiscal year ended December 31, 2021, or the 2021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as filed with the Securities and Exchange Commission, or SEC, on March 1, 2022. The principal purpose of this Amendment is to include in Part III the information that was to be incorporated by reference from the proxy statement for our 2022 Annual Stockholder Meeting. This Amendment amends the cover page, Items 10 through 14 of Part III, and Item 15 of Part IV of the 2021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addition, as required by Rule 12b-15 under the Securities Exchange Act of 1934, as amended, or the Securities Exchange Act, new certifications by our principal executive officer and principal financial officer are filed as exhibits to this Amendment. No attempt has been made in this Amendment to modify or update the other disclosures presented in the 2021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This Amendment does not reflect events occurring after the date of the filing of the 2021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or modify or update those disclosures that may be affected by subsequent events. Accordingly, this Amendment should be read in conjunction with the 2021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with our other filings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500" w:type="dxa"/>
            <w:vAlign w:val="bottom"/>
            <w:gridSpan w:val="4"/>
          </w:tcPr>
          <w:p>
            <w:pPr>
              <w:jc w:val="center"/>
              <w:ind w:right="26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580" w:type="dxa"/>
            <w:vAlign w:val="bottom"/>
            <w:gridSpan w:val="3"/>
          </w:tcPr>
          <w:p>
            <w:pPr>
              <w:jc w:val="center"/>
              <w:ind w:right="358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866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1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4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408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4580" w:type="dxa"/>
            <w:vAlign w:val="bottom"/>
            <w:tcBorders>
              <w:top w:val="single" w:sz="8" w:color="CCEEFF"/>
            </w:tcBorders>
            <w:gridSpan w:val="3"/>
          </w:tcPr>
          <w:p>
            <w:pPr>
              <w:spacing w:after="0"/>
              <w:rPr>
                <w:sz w:val="15"/>
                <w:szCs w:val="15"/>
                <w:color w:val="auto"/>
              </w:rPr>
            </w:pPr>
          </w:p>
        </w:tc>
        <w:tc>
          <w:tcPr>
            <w:tcW w:w="15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866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1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4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1380" w:type="dxa"/>
            <w:vAlign w:val="bottom"/>
            <w:tcBorders>
              <w:top w:val="single" w:sz="8" w:color="CCEEFF"/>
            </w:tcBorders>
          </w:tcPr>
          <w:p>
            <w:pPr>
              <w:spacing w:after="0"/>
              <w:rPr>
                <w:sz w:val="15"/>
                <w:szCs w:val="15"/>
                <w:color w:val="auto"/>
              </w:rPr>
            </w:pPr>
          </w:p>
        </w:tc>
        <w:tc>
          <w:tcPr>
            <w:tcW w:w="15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866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1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580" w:type="dxa"/>
            <w:vAlign w:val="bottom"/>
            <w:gridSpan w:val="3"/>
            <w:shd w:val="clear" w:color="auto" w:fill="CCEEFF"/>
          </w:tcPr>
          <w:p>
            <w:pPr>
              <w:jc w:val="center"/>
              <w:ind w:right="358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1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866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1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18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We conduct our business operations principally through ACM Research (Shanghai), Inc., or ACM Shanghai, a subsidiary of ACM Research, Inc., or ACM Research. Unless the context requires otherwise, references in this Amendment to “our company,” “our,” “us,” “we” and similar terms refer to ACM Research, Inc. and its subsidiaries, including ACM Shanghai, collectively.</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 AND STATISTICAL DATA</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Amendment and the 2021 Form 10-K contain forward-looking statements within the meaning of the Private Securities Litigation Reform Act of 1995. All statements, other than statements of historical facts, included in this Amendment or the 2021 Form 10-K regarding our strategy, future operations, future financial position, future revenue, projected costs, prospects, plans and objectives of management are forward-looking statements. In some cases, you can identify forward-looking statements by terms such as “may,” “might,” “will,” “objective,” “intend,” “should,” “could,” “can,” “would,” “expect,” “believe,” “anticipate,” “project,” “target,” “design,” “estimate,” “predict,” “potential,” “plan” or the negative of these terms, and similar expressions intended to identify forward-looking statements. These statements reflect our current views with respect to future events and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including those described or incorporated by reference in “Item 1A. Risk Factors” of Part I of the 2021 Form 10-K, that may cause our actual results, performance or achievements to be materially different from any future results, performance or achievements expressed or implied by these forward-looking statements.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forward-looking statement made by us in this Amendment or the 2021 Form 10-K speaks only as of the date on which it is made. Except as required by law, we assume no obligation to update these statements publicly or to update the reasons actual results could differ materially from those anticipated in these statements, even if new information becomes available in the future.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read this Amendment and the 2021 Form 10-K, as well as the documents that we reference in the Amendment or the 2021 Form 10-K and have filed as exhibits to the 2021 Form 10-K, completely and with the understanding that our actual future results may be materially different from what we expect. We qualify all of our forward-looking statements by these cautionary statements.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Directors, Executive Officers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of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descriptions present information, as of April 7, 2022, about our directors.</w:t>
      </w:r>
    </w:p>
    <w:p>
      <w:pPr>
        <w:sectPr>
          <w:pgSz w:w="11900" w:h="16838" w:orient="portrait"/>
          <w:cols w:equalWidth="0" w:num="1">
            <w:col w:w="11240"/>
          </w:cols>
          <w:pgMar w:left="320" w:top="117"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Haiping Dun</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Chair of the Compensation Committee</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Member of the Audit Committee</w:t>
      </w:r>
    </w:p>
    <w:p>
      <w:pPr>
        <w:spacing w:after="0" w:line="200" w:lineRule="exact"/>
        <w:rPr>
          <w:sz w:val="20"/>
          <w:szCs w:val="20"/>
          <w:color w:val="auto"/>
        </w:rPr>
      </w:pPr>
    </w:p>
    <w:p>
      <w:pPr>
        <w:sectPr>
          <w:pgSz w:w="11900" w:h="16838" w:orient="portrait"/>
          <w:cols w:equalWidth="0" w:num="2">
            <w:col w:w="940" w:space="360"/>
            <w:col w:w="9940"/>
          </w:cols>
          <w:pgMar w:left="320" w:top="117" w:right="339" w:bottom="1440" w:gutter="0" w:footer="0" w:header="0"/>
          <w:type w:val="continuous"/>
        </w:sectPr>
      </w:pPr>
    </w:p>
    <w:p>
      <w:pPr>
        <w:spacing w:after="0" w:line="7" w:lineRule="exact"/>
        <w:rPr>
          <w:sz w:val="20"/>
          <w:szCs w:val="20"/>
          <w:color w:val="auto"/>
        </w:rPr>
      </w:pPr>
    </w:p>
    <w:p>
      <w:pPr>
        <w:jc w:val="both"/>
        <w:ind w:left="1300"/>
        <w:spacing w:after="0" w:line="256" w:lineRule="auto"/>
        <w:rPr>
          <w:sz w:val="20"/>
          <w:szCs w:val="20"/>
          <w:color w:val="auto"/>
        </w:rPr>
      </w:pPr>
      <w:r>
        <w:rPr>
          <w:rFonts w:ascii="Times New Roman" w:cs="Times New Roman" w:eastAsia="Times New Roman" w:hAnsi="Times New Roman"/>
          <w:sz w:val="18"/>
          <w:szCs w:val="18"/>
          <w:color w:val="auto"/>
        </w:rPr>
        <w:t>Dr. Dun has served as one of our directors since 2003. Dr. Dun is the former President of Champion Microelectronic Corp., an integrated circuit company based in Taiwan, from 2008 through 2018. Dr. Dun previously served as a Senior Director of Intel Corporation, a multi-national technology company, where he was employed from 1983 to 2004. Dr. Dun received a Ph.D. degree in material science and engineering from Stanford University, a Master of Science degree in physics from the University of Washington and a Bachelor of Science degree in physics from National Taiwan University. Dr. Dun’s experience in our industry, along with his global experience and leadership abilities, qualify him to serve on the board. Dr. Dun is 72 years old.</w:t>
      </w:r>
    </w:p>
    <w:p>
      <w:pPr>
        <w:sectPr>
          <w:pgSz w:w="11900" w:h="16838" w:orient="portrait"/>
          <w:cols w:equalWidth="0" w:num="1">
            <w:col w:w="11240"/>
          </w:cols>
          <w:pgMar w:left="320" w:top="117" w:right="339" w:bottom="1440" w:gutter="0" w:footer="0" w:header="0"/>
          <w:type w:val="continuous"/>
        </w:sectPr>
      </w:pP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Chenming C. Hu </w:t>
      </w:r>
      <w:r>
        <w:rPr>
          <w:rFonts w:ascii="Times New Roman" w:cs="Times New Roman" w:eastAsia="Times New Roman" w:hAnsi="Times New Roman"/>
          <w:sz w:val="18"/>
          <w:szCs w:val="18"/>
          <w:i w:val="1"/>
          <w:iCs w:val="1"/>
          <w:color w:val="auto"/>
        </w:rPr>
        <w:t>Director</w:t>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Chair of the Nominating and Governance Committee</w:t>
      </w:r>
    </w:p>
    <w:p>
      <w:pPr>
        <w:spacing w:after="0" w:line="207" w:lineRule="exact"/>
        <w:rPr>
          <w:sz w:val="20"/>
          <w:szCs w:val="20"/>
          <w:color w:val="auto"/>
        </w:rPr>
      </w:pPr>
    </w:p>
    <w:p>
      <w:pPr>
        <w:jc w:val="both"/>
        <w:ind w:left="1300"/>
        <w:spacing w:after="0" w:line="253" w:lineRule="auto"/>
        <w:rPr>
          <w:sz w:val="20"/>
          <w:szCs w:val="20"/>
          <w:color w:val="auto"/>
        </w:rPr>
      </w:pPr>
      <w:r>
        <w:rPr>
          <w:rFonts w:ascii="Times New Roman" w:cs="Times New Roman" w:eastAsia="Times New Roman" w:hAnsi="Times New Roman"/>
          <w:sz w:val="18"/>
          <w:szCs w:val="18"/>
          <w:color w:val="auto"/>
        </w:rPr>
        <w:t>Dr Hu has served as one of our directors since January 2017 and as a member of our board of advisors since May 2016. He has been a professor in electrical engineering and computer sciences at the University of California, Berkeley since 1976. He has also been the Taiwan Semiconductor Manufacturing Company Distinguished Chair Professor Emeritus and Professor of the Graduate School at the University of California, Berkeley since 2010. Dr. Hu developed FinFET, a fin-shaped field-effect transistor, in 1999. He served as the Chief Technology Officer of Taiwan Semiconductor Manufacturing Company Ltd. from 2001 to 2007 and is a member of the U.S. National Academy of Engineering and the Chinese Academy of Sciences, Taiwan’s Academia Sinica. Dr. Hu has served as a director of Ambarella, Inc. (Nasdaq: AMBA), a fabless semiconductor design company, since 2010 and served as a director of Inphi Corporation (Nasdaq: IPHI), a fabless provider of high-speed data movement solutions, from 2011 until April 2021. Dr. Hu received a Master of Science degree, a Ph.D. degree from the University of California, Berkeley and a Bachelor of Science degree from National Taiwan University, all in electrical engineering. Dr. Hu’s experience in our industry, along with his quality leadership and innovations, qualify him to serve on the board. Dr. Hu is 74 years old.</w:t>
      </w:r>
    </w:p>
    <w:p>
      <w:pPr>
        <w:spacing w:after="0" w:line="19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Tracy Liu</w:t>
      </w:r>
      <w:r>
        <w:rPr>
          <w:sz w:val="20"/>
          <w:szCs w:val="20"/>
          <w:color w:val="auto"/>
        </w:rPr>
        <w:tab/>
      </w:r>
      <w:r>
        <w:rPr>
          <w:rFonts w:ascii="Times New Roman" w:cs="Times New Roman" w:eastAsia="Times New Roman" w:hAnsi="Times New Roman"/>
          <w:sz w:val="18"/>
          <w:szCs w:val="18"/>
          <w:i w:val="1"/>
          <w:iCs w:val="1"/>
          <w:color w:val="auto"/>
        </w:rPr>
        <w:t>Director</w:t>
      </w:r>
    </w:p>
    <w:p>
      <w:pPr>
        <w:spacing w:after="0" w:line="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i w:val="1"/>
          <w:iCs w:val="1"/>
          <w:color w:val="auto"/>
        </w:rPr>
        <w:t>Chair of the Audit Committee</w:t>
      </w:r>
    </w:p>
    <w:p>
      <w:pPr>
        <w:ind w:left="1300"/>
        <w:spacing w:after="0"/>
        <w:rPr>
          <w:sz w:val="20"/>
          <w:szCs w:val="20"/>
          <w:color w:val="auto"/>
        </w:rPr>
      </w:pPr>
      <w:r>
        <w:rPr>
          <w:rFonts w:ascii="Times New Roman" w:cs="Times New Roman" w:eastAsia="Times New Roman" w:hAnsi="Times New Roman"/>
          <w:sz w:val="22"/>
          <w:szCs w:val="22"/>
          <w:i w:val="1"/>
          <w:iCs w:val="1"/>
          <w:color w:val="auto"/>
        </w:rPr>
        <w:t>Member of the Compensation Committee and the Nominating and Governance Committee</w:t>
      </w:r>
    </w:p>
    <w:p>
      <w:pPr>
        <w:spacing w:after="0" w:line="191" w:lineRule="exact"/>
        <w:rPr>
          <w:sz w:val="20"/>
          <w:szCs w:val="20"/>
          <w:color w:val="auto"/>
        </w:rPr>
      </w:pPr>
    </w:p>
    <w:p>
      <w:pPr>
        <w:jc w:val="both"/>
        <w:ind w:left="1300"/>
        <w:spacing w:after="0" w:line="256" w:lineRule="auto"/>
        <w:rPr>
          <w:sz w:val="20"/>
          <w:szCs w:val="20"/>
          <w:color w:val="auto"/>
        </w:rPr>
      </w:pPr>
      <w:r>
        <w:rPr>
          <w:rFonts w:ascii="Times New Roman" w:cs="Times New Roman" w:eastAsia="Times New Roman" w:hAnsi="Times New Roman"/>
          <w:sz w:val="18"/>
          <w:szCs w:val="18"/>
          <w:color w:val="auto"/>
        </w:rPr>
        <w:t>Ms. Liu has served as one of our directors since September 2016. She has served as the Managing Partner of H&amp;M Int’l CPAs, LLP since January 2017. Ms. Liu was the founder and owner of H&amp;M Financial Consulting from 2006 to 2016, where she provided international accounting and tax solutions to high-technology companies. Ms. Liu received a Bachelor of Science degree from Nankai University and a Master of Accounting and Tax degree from Golden Gate University, and she is a Certified Public Accountant and a member of the American Institute of Certified Public Accountants. Ms. Liu’s financial expertise, along with her leadership and global experience, qualify her to serve on the board. Ms. Liu is 57 years old.</w:t>
      </w:r>
    </w:p>
    <w:p>
      <w:pPr>
        <w:spacing w:after="0" w:line="18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David H. Wang</w:t>
      </w:r>
      <w:r>
        <w:rPr>
          <w:sz w:val="20"/>
          <w:szCs w:val="20"/>
          <w:color w:val="auto"/>
        </w:rPr>
        <w:tab/>
      </w:r>
      <w:r>
        <w:rPr>
          <w:rFonts w:ascii="Times New Roman" w:cs="Times New Roman" w:eastAsia="Times New Roman" w:hAnsi="Times New Roman"/>
          <w:sz w:val="18"/>
          <w:szCs w:val="18"/>
          <w:i w:val="1"/>
          <w:iCs w:val="1"/>
          <w:color w:val="auto"/>
        </w:rPr>
        <w:t>Director</w:t>
      </w:r>
    </w:p>
    <w:p>
      <w:pPr>
        <w:spacing w:after="0" w:line="227"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Dr. Wang is our founder and has served as our Chief Executive Officer and President and one of our directors since 1998. He holds more than 100 patents in semiconductor equipment and process technology and is the inventor of stress-free Cu polishing technology. Dr. Wang received Ph.D. and Master of Engineering degrees in Precision Engineering from Osaka University and a Bachelor of Science degree in Precision Instruments from Tsinghua University. Dr. Wang’s longstanding quality service, innovation and leadership, along with his experience in our industry, qualify him to serve on the board. Dr. Wang is 60 years old.</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 w:name="page7"/>
    <w:bookmarkEnd w:id="6"/>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Yinan Xiang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Member of the Audit Committee</w:t>
      </w:r>
    </w:p>
    <w:p>
      <w:pPr>
        <w:spacing w:after="0" w:line="200" w:lineRule="exact"/>
        <w:rPr>
          <w:sz w:val="20"/>
          <w:szCs w:val="20"/>
          <w:color w:val="auto"/>
        </w:rPr>
      </w:pPr>
    </w:p>
    <w:p>
      <w:pPr>
        <w:sectPr>
          <w:pgSz w:w="11900" w:h="16838" w:orient="portrait"/>
          <w:cols w:equalWidth="0" w:num="2">
            <w:col w:w="920" w:space="380"/>
            <w:col w:w="9940"/>
          </w:cols>
          <w:pgMar w:left="320" w:top="119" w:right="339" w:bottom="1440" w:gutter="0" w:footer="0" w:header="0"/>
        </w:sectPr>
      </w:pPr>
    </w:p>
    <w:p>
      <w:pPr>
        <w:spacing w:after="0" w:line="7" w:lineRule="exact"/>
        <w:rPr>
          <w:sz w:val="20"/>
          <w:szCs w:val="20"/>
          <w:color w:val="auto"/>
        </w:rPr>
      </w:pPr>
    </w:p>
    <w:p>
      <w:pPr>
        <w:jc w:val="both"/>
        <w:ind w:left="1300"/>
        <w:spacing w:after="0" w:line="256" w:lineRule="auto"/>
        <w:rPr>
          <w:sz w:val="20"/>
          <w:szCs w:val="20"/>
          <w:color w:val="auto"/>
        </w:rPr>
      </w:pPr>
      <w:r>
        <w:rPr>
          <w:rFonts w:ascii="Times New Roman" w:cs="Times New Roman" w:eastAsia="Times New Roman" w:hAnsi="Times New Roman"/>
          <w:sz w:val="18"/>
          <w:szCs w:val="18"/>
          <w:color w:val="auto"/>
        </w:rPr>
        <w:t>Ms. Xiang has served as one of our directors since November 2017. She has served as Deputy General Manager of Shanghai S&amp;T Venture Capital (Group) Co. Ltd. or SSTVC, a state-owned venture capital firm, since 2016 and previously served as Manager of the Project Investment Department of SSTVC from 2014 to 2016 and Manager of Invest Department II of Shanghai Science and Technology Venture Capital Co., Ltd. from 2012 to 2014. Ms. Xiang received a Bachelor of Science degree from Shanghai University of Finance and Economics. Ms. Xiang’s industry experience and financial expertise qualify her to serve on the board. Ms. Xiang is 46 years old. Ms. Xiang has advised us that she will not stand for re-election to the board at the 2022 annual stockholder meeting.</w:t>
      </w:r>
    </w:p>
    <w:p>
      <w:pPr>
        <w:sectPr>
          <w:pgSz w:w="11900" w:h="16838" w:orient="portrait"/>
          <w:cols w:equalWidth="0" w:num="1">
            <w:col w:w="11240"/>
          </w:cols>
          <w:pgMar w:left="320" w:top="119" w:right="339" w:bottom="1440" w:gutter="0" w:footer="0" w:header="0"/>
          <w:type w:val="continuous"/>
        </w:sectPr>
      </w:pP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of Executive Officers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descriptions present information, as of April 7, 2022, about our executive officers. Each executive officer serves at the discretion of the board of directors.</w:t>
      </w:r>
    </w:p>
    <w:p>
      <w:pPr>
        <w:spacing w:after="0" w:line="16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David H. Wang</w:t>
      </w:r>
      <w:r>
        <w:rPr>
          <w:sz w:val="20"/>
          <w:szCs w:val="20"/>
          <w:color w:val="auto"/>
        </w:rPr>
        <w:tab/>
      </w:r>
      <w:r>
        <w:rPr>
          <w:rFonts w:ascii="Times New Roman" w:cs="Times New Roman" w:eastAsia="Times New Roman" w:hAnsi="Times New Roman"/>
          <w:sz w:val="17"/>
          <w:szCs w:val="17"/>
          <w:i w:val="1"/>
          <w:iCs w:val="1"/>
          <w:color w:val="auto"/>
        </w:rPr>
        <w:t>Chief Executive Officer and President</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Please see the description of Dr. Wang’s background under “─Background of Directors” above.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Mark McKechnie </w:t>
      </w:r>
      <w:r>
        <w:rPr>
          <w:rFonts w:ascii="Times New Roman" w:cs="Times New Roman" w:eastAsia="Times New Roman" w:hAnsi="Times New Roman"/>
          <w:sz w:val="18"/>
          <w:szCs w:val="18"/>
          <w:i w:val="1"/>
          <w:iCs w:val="1"/>
          <w:color w:val="auto"/>
        </w:rPr>
        <w:t>Chief Financial Officer, Treasurer and Secretary</w:t>
      </w:r>
    </w:p>
    <w:p>
      <w:pPr>
        <w:spacing w:after="0" w:line="227" w:lineRule="exact"/>
        <w:rPr>
          <w:sz w:val="20"/>
          <w:szCs w:val="20"/>
          <w:color w:val="auto"/>
        </w:rPr>
      </w:pPr>
    </w:p>
    <w:p>
      <w:pPr>
        <w:jc w:val="both"/>
        <w:ind w:left="1300"/>
        <w:spacing w:after="0" w:line="256" w:lineRule="auto"/>
        <w:rPr>
          <w:sz w:val="20"/>
          <w:szCs w:val="20"/>
          <w:color w:val="auto"/>
        </w:rPr>
      </w:pPr>
      <w:r>
        <w:rPr>
          <w:rFonts w:ascii="Times New Roman" w:cs="Times New Roman" w:eastAsia="Times New Roman" w:hAnsi="Times New Roman"/>
          <w:sz w:val="18"/>
          <w:szCs w:val="18"/>
          <w:color w:val="auto"/>
        </w:rPr>
        <w:t>Mr. McKechnie has served as our Chief Financial Officer, Treasurer and Secretary since November 2019 and previously served as our Vice President of Finance from July 2018 to November 2019. He served as Vice President of Investor Relations and Strategic Initiatives of Silver Spring Networks, Inc., a provider of smart grid products, from 2014 to January 2018 and as Managing Director of Technology Equity Research of Evercore Partners, a global investment banking firm, from 2012 to 2014. He received a Bachelor of Science degree in electrical engineering from Purdue University and a Master of Business Administration degree from The Kellogg School of Management at Northwestern University. Mr. McKechnie is 55 years old.</w:t>
      </w:r>
    </w:p>
    <w:p>
      <w:pPr>
        <w:spacing w:after="0" w:line="18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Jian Wang</w:t>
      </w:r>
      <w:r>
        <w:rPr>
          <w:sz w:val="20"/>
          <w:szCs w:val="20"/>
          <w:color w:val="auto"/>
        </w:rPr>
        <w:tab/>
      </w:r>
      <w:r>
        <w:rPr>
          <w:rFonts w:ascii="Times New Roman" w:cs="Times New Roman" w:eastAsia="Times New Roman" w:hAnsi="Times New Roman"/>
          <w:sz w:val="17"/>
          <w:szCs w:val="17"/>
          <w:i w:val="1"/>
          <w:iCs w:val="1"/>
          <w:color w:val="auto"/>
        </w:rPr>
        <w:t>Chief Executive Officer and President of ACM Shanghai.</w:t>
      </w:r>
    </w:p>
    <w:p>
      <w:pPr>
        <w:spacing w:after="0" w:line="227" w:lineRule="exact"/>
        <w:rPr>
          <w:sz w:val="20"/>
          <w:szCs w:val="20"/>
          <w:color w:val="auto"/>
        </w:rPr>
      </w:pPr>
    </w:p>
    <w:p>
      <w:pPr>
        <w:jc w:val="both"/>
        <w:ind w:left="1300"/>
        <w:spacing w:after="0" w:line="256" w:lineRule="auto"/>
        <w:rPr>
          <w:sz w:val="20"/>
          <w:szCs w:val="20"/>
          <w:color w:val="auto"/>
        </w:rPr>
      </w:pPr>
      <w:r>
        <w:rPr>
          <w:rFonts w:ascii="Times New Roman" w:cs="Times New Roman" w:eastAsia="Times New Roman" w:hAnsi="Times New Roman"/>
          <w:sz w:val="18"/>
          <w:szCs w:val="18"/>
          <w:color w:val="auto"/>
        </w:rPr>
        <w:t>Mr. Wang has served as Chief Executive Officer and President of ACM Shanghai since November 2019 and previously served ACM Shanghai as its Vice President, Research and Development from 2015 to November 2019 and its Director of Research and Development from 2011 to 2015, focusing on the research and development of stress-free polishing and electro-chemical-copper-planarization technologies. Mr. Wang received a Master of Science degree in computer science from Northwestern Polytechnic University, a Master of Science degree in marine engineering from Kobe University and a Bachelor of Science degree in mechanical engineering from Southeast University. Mr. Wang is 57 years old.</w:t>
      </w:r>
    </w:p>
    <w:p>
      <w:pPr>
        <w:spacing w:after="0" w:line="18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Lisa Feng</w:t>
      </w:r>
      <w:r>
        <w:rPr>
          <w:sz w:val="20"/>
          <w:szCs w:val="20"/>
          <w:color w:val="auto"/>
        </w:rPr>
        <w:tab/>
      </w:r>
      <w:r>
        <w:rPr>
          <w:rFonts w:ascii="Times New Roman" w:cs="Times New Roman" w:eastAsia="Times New Roman" w:hAnsi="Times New Roman"/>
          <w:sz w:val="17"/>
          <w:szCs w:val="17"/>
          <w:i w:val="1"/>
          <w:iCs w:val="1"/>
          <w:color w:val="auto"/>
        </w:rPr>
        <w:t>Chief Financial Officer of ACM Shanghai</w:t>
      </w:r>
    </w:p>
    <w:p>
      <w:pPr>
        <w:spacing w:after="0" w:line="227"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Ms. Feng has served as Chief Financial Officer of ACM Shanghai since November 2019 and previously served as our Chief Accounting Officer, Interim Chief Financial Officer and Treasurer from January 2018 to November 2019. She served at Amlogic Inc., a fabless semiconductor company, as its Financial Controller from October 2017 to January 2018 and its Corporate Controller from 2008 to September 2017. Ms. Feng received a Bachelor of Science degree in Business/Economics from Southern Connecticut State University and a Master of Science degree in Accounting from Golden Gate University. Ms. Feng is 63 years old.</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7" w:name="page8"/>
    <w:bookmarkEnd w:id="7"/>
    <w:p>
      <w:pPr>
        <w:spacing w:after="0"/>
        <w:tabs>
          <w:tab w:leader="none" w:pos="1300" w:val="left"/>
        </w:tabs>
        <w:rPr>
          <w:sz w:val="20"/>
          <w:szCs w:val="20"/>
          <w:color w:val="auto"/>
        </w:rPr>
      </w:pPr>
      <w:r>
        <w:rPr>
          <w:rFonts w:ascii="Times New Roman" w:cs="Times New Roman" w:eastAsia="Times New Roman" w:hAnsi="Times New Roman"/>
          <w:sz w:val="18"/>
          <w:szCs w:val="18"/>
          <w:color w:val="auto"/>
        </w:rPr>
        <w:t>Sotheara Cheav</w:t>
      </w:r>
      <w:r>
        <w:rPr>
          <w:sz w:val="20"/>
          <w:szCs w:val="20"/>
          <w:color w:val="auto"/>
        </w:rPr>
        <w:tab/>
      </w:r>
      <w:r>
        <w:rPr>
          <w:rFonts w:ascii="Times New Roman" w:cs="Times New Roman" w:eastAsia="Times New Roman" w:hAnsi="Times New Roman"/>
          <w:sz w:val="17"/>
          <w:szCs w:val="17"/>
          <w:i w:val="1"/>
          <w:iCs w:val="1"/>
          <w:color w:val="auto"/>
        </w:rPr>
        <w:t>Senior Vice President, Manufacturing of ACM Shanghai</w:t>
      </w:r>
    </w:p>
    <w:p>
      <w:pPr>
        <w:spacing w:after="0" w:line="227"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Mr. Cheav has served as Senior Vice President, Manufacturing of ACM Shanghai since May 2019 and previously served ACM Shanghai as its Vice President, Manufacturing from 2015 to May 2019 and its Director of Manufacturing from 2011 to 2014). Mr. Cheav received a Bachelor of Science degree in Science and Technology from the University of Cambodia and an Associate of Science degree in Electronics from Bay Valley Technical Institute. Mr. Cheav is 70 years old.</w:t>
      </w:r>
    </w:p>
    <w:p>
      <w:pPr>
        <w:spacing w:after="0" w:line="17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Fuping Chen</w:t>
      </w:r>
      <w:r>
        <w:rPr>
          <w:sz w:val="20"/>
          <w:szCs w:val="20"/>
          <w:color w:val="auto"/>
        </w:rPr>
        <w:tab/>
      </w:r>
      <w:r>
        <w:rPr>
          <w:rFonts w:ascii="Times New Roman" w:cs="Times New Roman" w:eastAsia="Times New Roman" w:hAnsi="Times New Roman"/>
          <w:sz w:val="17"/>
          <w:szCs w:val="17"/>
          <w:i w:val="1"/>
          <w:iCs w:val="1"/>
          <w:color w:val="auto"/>
        </w:rPr>
        <w:t>Vice President, Sales – China of ACM Shanghai</w:t>
      </w:r>
    </w:p>
    <w:p>
      <w:pPr>
        <w:spacing w:after="0" w:line="227"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Mr. Chen has served as Vice President, Sales—China of ACM Shanghai since January 2018 and as our Senior Technical Director from 2010 to December 2017). He served as Assistant Wet Process Manager of SK Hynix Inc., a semiconductor company, from 2006 to 2010. Mr. Chen received a Bachelor of Science degree from Nanjing University of Technology of Material Science and Engineering and a Master of Science degree from Zhejiang University of Material Science and Engineering. Mr. Chen is 40 years old.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Wang and Jian Wang are brothers.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Overview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Delaware General Corporation Law and our bylaws, our business and affairs are managed by or under the direction of the board of directors, which selectively delegates responsibilities to its standing committees.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board has adopted and operates under Governance Guidelines that reflect our current governance practices in accordance with applicable statutory and regulatory requirements, including those of the SEC and Nasdaq. The Governance Guidelines are available on our website at </w:t>
      </w:r>
      <w:r>
        <w:rPr>
          <w:rFonts w:ascii="Times New Roman" w:cs="Times New Roman" w:eastAsia="Times New Roman" w:hAnsi="Times New Roman"/>
          <w:sz w:val="18"/>
          <w:szCs w:val="18"/>
          <w:i w:val="1"/>
          <w:iCs w:val="1"/>
          <w:color w:val="auto"/>
        </w:rPr>
        <w:t>ir.acmrcsh.com/static-files/3446be5b-f608-4932-86c9-d9eff14ca2ac</w:t>
      </w:r>
      <w:r>
        <w:rPr>
          <w:rFonts w:ascii="Times New Roman" w:cs="Times New Roman" w:eastAsia="Times New Roman" w:hAnsi="Times New Roman"/>
          <w:sz w:val="18"/>
          <w:szCs w:val="18"/>
          <w:color w:val="auto"/>
        </w:rPr>
        <w:t>. Under the Governance Guidelines, we expect directors to regularly attend meetings of the board and of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committees on which they serve and to review the materials sent to them in advance of those meetings. We expect director nominees for election at each annual meeting of stockholders to participate in the annual meeting.</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generally expects to hold four regular meetings per year and to meet on other occasions when circumstances require. Directors spend additional time preparing for board and committee meetings, and we may call upon directors for advice between meetings. We encourage our directors to attend director education programs. The board held five meetings in 2021. All of our current directors attended all of the board meetings during in 2021.</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Governance Guidelines provide that the board will meet in executive session at least twice a year without management in attendance. The Lead Director presides at each executive session.</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board maintains an audit committee, a compensation committee and a nominating and governance committee. The board has adopted charters for each of the committees, and those charters are to be reviewed annually by the committees and the board. Our website provides access to:</w:t>
      </w:r>
    </w:p>
    <w:p>
      <w:pPr>
        <w:spacing w:after="0" w:line="160"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audit committee charter at </w:t>
      </w:r>
      <w:r>
        <w:rPr>
          <w:rFonts w:ascii="Times New Roman" w:cs="Times New Roman" w:eastAsia="Times New Roman" w:hAnsi="Times New Roman"/>
          <w:sz w:val="18"/>
          <w:szCs w:val="18"/>
          <w:i w:val="1"/>
          <w:iCs w:val="1"/>
          <w:color w:val="auto"/>
        </w:rPr>
        <w:t>media.corporate-ir.net/media_files/IROL/25/254659/acm-ac-charter-final.pdf;</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compensation committee charter at </w:t>
      </w:r>
      <w:r>
        <w:rPr>
          <w:rFonts w:ascii="Times New Roman" w:cs="Times New Roman" w:eastAsia="Times New Roman" w:hAnsi="Times New Roman"/>
          <w:sz w:val="18"/>
          <w:szCs w:val="18"/>
          <w:i w:val="1"/>
          <w:iCs w:val="1"/>
          <w:color w:val="auto"/>
        </w:rPr>
        <w:t>media.corporate-ir.net/media_files/IROL/25/254659/acm-cc-charter-final.pdf</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nominating and governance committee charter at </w:t>
      </w:r>
      <w:r>
        <w:rPr>
          <w:rFonts w:ascii="Times New Roman" w:cs="Times New Roman" w:eastAsia="Times New Roman" w:hAnsi="Times New Roman"/>
          <w:sz w:val="18"/>
          <w:szCs w:val="18"/>
          <w:i w:val="1"/>
          <w:iCs w:val="1"/>
          <w:color w:val="auto"/>
        </w:rPr>
        <w:t>ir.acmrcsh.com/static-files/03f9c6d2-908e-4c59-b7da-8e227707e5a7.</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committees have the functions and responsibilities described in the sections below.</w:t>
      </w:r>
    </w:p>
    <w:p>
      <w:pPr>
        <w:spacing w:after="0" w:line="225"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So long as the outstanding shares of Class B common stock represent a majority of the combined voting power of Class A and Class B common stock voting together, all directors will be elected for annual terms and we will not have a classified board. If outstanding shares of Class B common stock represent less than a majority of the combined voting power of common stock at any time, we thereafter will have a classified board consisting of three classes of approximately equal size, each serving staggered three-year terms. Our directors would be allocated by the then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board among the three classes.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 w:name="page9"/>
    <w:bookmarkEnd w:id="8"/>
    <w:p>
      <w:pPr>
        <w:jc w:val="both"/>
        <w:spacing w:after="0" w:line="256" w:lineRule="auto"/>
        <w:rPr>
          <w:sz w:val="20"/>
          <w:szCs w:val="20"/>
          <w:color w:val="auto"/>
        </w:rPr>
      </w:pPr>
      <w:r>
        <w:rPr>
          <w:rFonts w:ascii="Times New Roman" w:cs="Times New Roman" w:eastAsia="Times New Roman" w:hAnsi="Times New Roman"/>
          <w:sz w:val="18"/>
          <w:szCs w:val="18"/>
          <w:color w:val="auto"/>
        </w:rPr>
        <w:t>The board has adopted Communications Policies pursuant to which our Chief Executive Officer, our Chief Financial Officer and their designees are the only individuals authorized to communicate on our behalf with the media, industry and trade organizations, market professionals and stockholders. The Communications Policies were designed to limit the persons whose statements trigger our public disclosure obligations under Regulation FD of the SEC. By limiting the number of spokespersons, the Communications Policies help ensure that all communications to members of the public are made by persons who are fully informed about both our company and the guidelines and risks applicable to external communications, and they reduce the risk of inconsistent statements to the public.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Directors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of directors must consist of a majority of independent directors not only under the requirements of Nasdaq but also under the Governance Guidelines.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Nasdaq rules, independent directors must comprise a majority of a listed company’s board within twelve months from the date of listing. In addition, Nasdaq rules require that, subject to specified exceptions, each member of a listed company’s audit, compensation, and nominating and governance committees be independent within twelve months from the date of listing. Audit committee members must also satisfy additional independence criteria, including those set forth in Rule 10A-3 under the Securities Exchange Act, and compensation committee members must also satisfy additional independence criteria, including those set forth in Rule 10C-1 of the Securities Exchange Act. Under Nasdaq rules, a director will qualify as an “independent director” only if, in the opinion of that company’s board, that person does not have a relationship that would interfere with the exercise of independent judgment in carrying out the responsibilities of a director. In order to be considered independent for purposes of Rule 10A-3 under the Securities Exchange Act, a member of an audit committee of a listed company may not, other than in his or her capacity as a member of the audit committee, the board or any other board committee: (a) accept, directly or indirectly, any consulting, advisory or other compensatory fee from the listed company or any of its subsidiaries, other than compensation for board service; or (b) be an affiliated person of the listed company or any of its subsidiaries.</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order to be considered independent for purposes of Rule 10C-1 under the Securities Exchange Act, each member of the compensation committee must be a member of the board of the listed company and must otherwise be independent. In determining independence requirements for members of compensation committees, the national securities exchanges and national securities associations are to consider relevant factors, including (a) the source of compensation of a member of the board of a listed company, including any consulting, advisory or other compensatory fee paid by the listed company to such member and (b) whether a member of the board of a listed company is affiliated with the listed company, a subsidiary of the listed company or an affiliate of a subsidiary of the listed company.</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board annually reviews the independence of all non-employee directors. In April 2018 the board established categorical standards consistent with the corporate governance standards of Nasdaq to assist the board in making determinations of the independence of board members. A copy of our Standards for Director Independence is posted on our website at </w:t>
      </w:r>
      <w:r>
        <w:rPr>
          <w:rFonts w:ascii="Times New Roman" w:cs="Times New Roman" w:eastAsia="Times New Roman" w:hAnsi="Times New Roman"/>
          <w:sz w:val="18"/>
          <w:szCs w:val="18"/>
          <w:i w:val="1"/>
          <w:iCs w:val="1"/>
          <w:color w:val="auto"/>
        </w:rPr>
        <w:t>ir.acmrcsh.com/static-files/4211086b-a968-414e-888d-007c1906489d</w:t>
      </w:r>
      <w:r>
        <w:rPr>
          <w:rFonts w:ascii="Times New Roman" w:cs="Times New Roman" w:eastAsia="Times New Roman" w:hAnsi="Times New Roman"/>
          <w:sz w:val="18"/>
          <w:szCs w:val="18"/>
          <w:color w:val="auto"/>
        </w:rPr>
        <w:t>. These categorical standards require that, to be independent, a director may not have a material relationship with ACM. Even if a director meets all categorical standards for independence, the board reviews other relationships with ACM in order to conclude that each independent director has no material relationship with ACM either directly or indirectly.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upon information requested from and provided by each director concerning the director’s background, employment and affiliations, including family relationships, the board has determined that Haiping Dun, Chenming Hu, Tracy Liu and Yinan Xiang qualify as independent directors in accordance with the rules of Nasdaq and Rules 10C-1 and 10A-3 under the Securities Exchange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 Code of Business Conduct applicable to all directors, officers and employees of ACM Research and our subsidiaries. We have posted the Code of Business Conduct on our website at </w:t>
      </w:r>
      <w:r>
        <w:rPr>
          <w:rFonts w:ascii="Times New Roman" w:cs="Times New Roman" w:eastAsia="Times New Roman" w:hAnsi="Times New Roman"/>
          <w:sz w:val="18"/>
          <w:szCs w:val="18"/>
          <w:i w:val="1"/>
          <w:iCs w:val="1"/>
          <w:color w:val="auto"/>
        </w:rPr>
        <w:t>ir.acmrcsh.com/static-files/fdff1cd1-dfea-4a25-a8a6-ae2394fa5d53</w:t>
      </w:r>
      <w:r>
        <w:rPr>
          <w:rFonts w:ascii="Times New Roman" w:cs="Times New Roman" w:eastAsia="Times New Roman" w:hAnsi="Times New Roman"/>
          <w:sz w:val="18"/>
          <w:szCs w:val="18"/>
          <w:color w:val="auto"/>
        </w:rPr>
        <w:t>. We will post any amendments to the Code of Business Conduct on our website. In accordance with the requirements of the SEC and Nasdaq, we will also post waivers applicable to any of our officers or directors from provisions of the Code of Business Conduct on our website. We have not granted any such waivers to date.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implemented whistleblower procedures, which establish format protocols for receiving and handling complaints from employees. Any concerns regarding accounting or auditing matters reported under these procedures are to be communicated promptly to the audit committee of the board of directors. A copy of the whistleblower policy can be viewed on the investor relations portion of our website at </w:t>
      </w:r>
      <w:r>
        <w:rPr>
          <w:rFonts w:ascii="Times New Roman" w:cs="Times New Roman" w:eastAsia="Times New Roman" w:hAnsi="Times New Roman"/>
          <w:sz w:val="18"/>
          <w:szCs w:val="18"/>
          <w:i w:val="1"/>
          <w:iCs w:val="1"/>
          <w:color w:val="auto"/>
        </w:rPr>
        <w:t>https://ir.acmrcsh.com/static-files/3925389c-ac5f-4c8c-8584-53a41e78e4ce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Officer and Director Hedging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It is our policy that all employees and directors, as well as their family members, must not hedge or pledge our securities they hold directly. An exception to prohibition may be granted where a person wishes to pledge our securities as collateral for a loan, upon approval by our Chief Financial Officer, if certain other conditions are met. The prohibition on hedging is included in our Restated Insider Trading Policy. A copy of our Restated Insider Trading Policy can be viewed on the investor relations portion of our website at </w:t>
      </w:r>
      <w:r>
        <w:rPr>
          <w:rFonts w:ascii="Times New Roman" w:cs="Times New Roman" w:eastAsia="Times New Roman" w:hAnsi="Times New Roman"/>
          <w:sz w:val="18"/>
          <w:szCs w:val="18"/>
          <w:i w:val="1"/>
          <w:iCs w:val="1"/>
          <w:color w:val="auto"/>
        </w:rPr>
        <w:t>https://ir.acmrcsh.com/static-files/88b7e2ab-7ac4-4f50-8935-1bef66dd52b0</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Oversight of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of directors has responsibility for the oversight of our risk management processes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the board to understand our risk identification, risk management and risk mitigation strategies with respect to areas of potential material risk, including operations, finance, legal, regulatory, strategic and reputational risk.</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audit committee of the board reviews information regarding liquidity and operations, and oversees our management of financial risks. Periodically, the audit committee reviews our policies with respect to risk assessment, risk management, loss prevention and regulatory compliance. Oversight by the audit committee includes direct communication with our external auditors, and discussions with management regarding significant risk exposures and the actions management has taken to limit, monitor or control such exposures. The compensation committee is responsible for assessing whether any of our compensation policies or programs has the potential to encourage excessive risk-taking. The nominating and governance committee of the board manages risks associated with the independence of the board, corporate disclosure practices and potential conflicts of interest. While each committee is responsible for evaluating certain risks and overseeing the management of such risks, the entire board is regularly informed through committee reports about such risks.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Matters of significant strategic risk are considered by the board as a whole.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board of directors recognizes that it is important to determine an optimal board leadership structure to ensure the independent oversight of management as the company continues to grow. We do not have a policy on whether the offices of Chair of the Board and Chief Executive Officer should be separate and, if they are to be separate, whether the Chair of the Board should be selected from among the independent directors or should be an employee. The board has determined that it is in our best interests to have both a Chair of the Board and a Lead Director. The board has appointed David Wang, our Chief Executive Officer and President, to serve as Chair of the Board and Haiping Dun, an independent director, to serve as Lead Director. Among other things, the Chair of the Board shall prepare agendas for, and preside over, meetings of the board and the Lead Director shall assist the Chair of the Board in preparing agendas and shall serve as the principal liaison between the Chair of the Board and the other directors. The board believes that this is the appropriate leadership structure for us at this time and will allow the board to fulfill its role with appropriate independence.</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has concluded that our current leadership structure is appropriate at this time. The board will continue to periodically review our leadership structure, however, and may make such changes in the future as it deems appropriate.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responsibilities of the audit committee include:</w:t>
      </w:r>
    </w:p>
    <w:p>
      <w:pPr>
        <w:spacing w:after="0" w:line="225"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approving the compensation of, and assessing the independence of our registered public accounting firm;</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work of our registered public accounting firm, including through the receipt and consideration of reports from such firm;</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the registered public accounting firm our annual and quarterly financial statements and related disclosures;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our internal control over financial reporting and our disclosure controls and procedures;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independently with our registered public accounting firm and management;</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furnishing the audit committee report required by SEC rules;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reassessing the adequacy of our conflict of interest policy;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risk assessment and risk management policies.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independent auditor is ultimately accountable to the audit committee. The audit committee has the ultimate authority and responsibility to select, evaluate, approve terms of retention and compensation of, and, where appropriate, replace the independent auditor.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current members of the audit committee are Tracy Liu, who serves as chair, Haiping Dun and Yinan Xiang. The board has determined that each of the audit committee members is financially literate and is a “non-employee director” as defined in Rule 16b-3 promulgated under the Securities Exchange Act. The board also determined that each of the current members of the audit committee is independent, as defined in the listing standards of Nasdaq, and is an “outside director” as that term is defined in Internal Revenue Code Section 162(m). The board has also determined that Ms. Liu is an audit committee financial expert in accordance with the standards of the SEC.</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audit committee held five meetings in 2021. All of the members attended all of the audit committee meetings held in 2021, except that Ms. Xiang attended 60% of those meetings.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Governance Committee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responsibilities of the nominating and governance committee include:</w:t>
      </w:r>
    </w:p>
    <w:p>
      <w:pPr>
        <w:spacing w:after="0" w:line="225" w:lineRule="exact"/>
        <w:rPr>
          <w:sz w:val="20"/>
          <w:szCs w:val="20"/>
          <w:color w:val="auto"/>
        </w:rPr>
      </w:pPr>
    </w:p>
    <w:p>
      <w:pPr>
        <w:ind w:left="340" w:right="2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and making recommendations to the board of directors and our stockholders concerning nominees for election to the board, to each of the board’s committees and as committee chairs;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the performance and effectiveness of the board and developing and overseeing a performance evaluation process;</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evaluating the performance of management, the board and each board committee against their duties and responsibilities relating to corporate governance;</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evaluating adequacy of our corporate governance structure, policies and procedures;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reports to the board regarding the committee’s nominations for election to the board and its committees.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current members of the nominating and governance committee are Chenming Hu, who serves as chair, and Tracy Liu. The board has determined that each of Dr. Hu and Ms. Liu is independent, as defined in the listing standards of Nasdaq.</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nominating and governance committee has the sole authority to retain, oversee and terminate any consulting or search firm to be used to identify director candidates or assist in evaluating director compensation and to approve any such firm’s fees and retention terms. The nominating and governance committee held one meeting in 2021, which was attended by both of the members.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nominating and governance committee will consider director nominees recommended by our stockholders in accordance with our Policy and Procedure for Stockholder Nominations to the Board adopted by the nominating and governance committee and approved by the board in April 2018, a copy of which is posted on our website at </w:t>
      </w:r>
      <w:r>
        <w:rPr>
          <w:rFonts w:ascii="Times New Roman" w:cs="Times New Roman" w:eastAsia="Times New Roman" w:hAnsi="Times New Roman"/>
          <w:sz w:val="18"/>
          <w:szCs w:val="18"/>
          <w:i w:val="1"/>
          <w:iCs w:val="1"/>
          <w:color w:val="auto"/>
        </w:rPr>
        <w:t>ir.acmrcsh.com/static-files/01b22d4f-d523-4d9e-a1ac-56030666adad</w:t>
      </w:r>
      <w:r>
        <w:rPr>
          <w:rFonts w:ascii="Times New Roman" w:cs="Times New Roman" w:eastAsia="Times New Roman" w:hAnsi="Times New Roman"/>
          <w:sz w:val="18"/>
          <w:szCs w:val="18"/>
          <w:color w:val="auto"/>
        </w:rPr>
        <w:t>. Recommendations should be submitted to our Corporate Secretary in writing at ACM Research, Inc., 42307 Osgood Road, Suite I, Fremont, California 94539, along with additional required information about the nominee and the stockholder making the recommendation.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responsibilities of the compensation committee include:</w:t>
      </w:r>
    </w:p>
    <w:p>
      <w:pPr>
        <w:spacing w:after="0" w:line="225" w:lineRule="exact"/>
        <w:rPr>
          <w:sz w:val="20"/>
          <w:szCs w:val="20"/>
          <w:color w:val="auto"/>
        </w:rPr>
      </w:pPr>
    </w:p>
    <w:p>
      <w:pPr>
        <w:ind w:left="34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Chief Executive Officer and determining the Chief Executive Officer’s salary and contingent compensation based on his or her performance and other relevant criteria;</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corporate and individual objectives governing the Chief Executive Officer’s compensation;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compensation of our other executive officers;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board with respect to director compensation;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terms of certain material agreements;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administering our equity incentive plans and employee benefit plans;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annual compensation committee report required by SEC rules; and</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 review of executive officer succession planning, as necessary, reporting its findings and recommendations to the board, and working with the board in evaluating potential successors to executive officer positions.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current members of the compensation committee are Haiping Dun, who serves as chair, and Tracy Liu. The board has determined that each of Dr. Dun and Ms. Liu is independent, as defined in the listing standards of Nasdaq, is a “non-employee director” as defined in Rule 16b-3 promulgated under the Securities Exchange Act and is an “outside director” as that term is defined in Internal Revenue Code Section 162(m).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held four meetings in 2021, all of which were attended by both of the members. The compensation committee has the sole authority to retain, oversee and terminate any compensation consultant to be used to assist in the evaluation of executive compensation and to approve the consultant’s fees and retention terms.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2021, none of the members of the compensation committee was an officer or employee of our company or our subsidiaries and none of our executive officers served as a member of the board of directors or compensation committee of any entity that has one or more executive officers serving on the board or compensation committee.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Related-Person Transactions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 October 2017 the board of directors adopted a Conflict of Interest Policy applicable to all directors, officers and employees of our company and our subsidiaries. We have posted the Conflict of Interest Policy on our website at </w:t>
      </w:r>
      <w:r>
        <w:rPr>
          <w:rFonts w:ascii="Times New Roman" w:cs="Times New Roman" w:eastAsia="Times New Roman" w:hAnsi="Times New Roman"/>
          <w:sz w:val="18"/>
          <w:szCs w:val="18"/>
          <w:i w:val="1"/>
          <w:iCs w:val="1"/>
          <w:color w:val="auto"/>
        </w:rPr>
        <w:t>ir.acmrcsh.com/static-files/c9bb9bf0-847b-4f79-b747-bf7e5bb06994</w:t>
      </w:r>
      <w:r>
        <w:rPr>
          <w:rFonts w:ascii="Times New Roman" w:cs="Times New Roman" w:eastAsia="Times New Roman" w:hAnsi="Times New Roman"/>
          <w:sz w:val="18"/>
          <w:szCs w:val="18"/>
          <w:color w:val="auto"/>
        </w:rPr>
        <w:t>. We will post any amendments to the Conflict of Interest Policy on our website.</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Conflict of Interest Policy requires each director and executive officer, including their immediate family members, to provide written notice of any potential related-party transaction, defined by the policy to mirror the definition of Item 404 of Regulation S-K of the SEC (with the exception that the policy includes a monetary threshold of $100,000 as opposed to the threshold of $120,000 set by Item 404 of Regulation S-K) to the Chair of the Board (or to the Chief Executive Officer if such transaction involves the Chair of the Board, or to the Chief Financial Officer if such transaction involves the Chief Executive Officer), including all information that the Chair of the Board, the Chief Executive Officer or the Chief Financial Officer may request. Upon receiving all relevant information, the board may approve the transaction if it determines that the transaction is in the best interests of, and fair to, us, may require modifications to the transaction to make it acceptable for approval, or may reject it. The board may also establish guidelines for ongoing management of a specific related-party transaction. The policy requires that continuing related-party transactions are reviewed on at least an annual basis. Additionally, the policy requires that all directors and executive officers complete a questionnaire in connection with each of our annual proxy statements, in which they are asked to disclose family relationships and other related-party transactions.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is a description of transactions since January 1, 2021 to which we have been a party, in which the amount involved exceeded or will exceed $120,000 and in which any of our directors, executive officers or beneficial owners of more than 5% of any series or class of our preferred or common stock, or an affiliate or immediate family member thereof, had or will have a direct or indirect material interest, other than compensation, termination and change-in-control arrangements. The transactions set forth below were approved by a majority of the board, including a majority of the independent and disinterested members of the board. We believe we have executed all of the transactions set forth below on terms no less favorable to us than we could have obtained from unaffiliated third parties. It is our intention to ensure that all future transactions between us and our officers, directors and principal stockholders and their affiliates are approved by the audit committee and a majority of the members of the board, including a majority of the independent and disinterested members of the board, and are on terms no less favorable to us than those that we could obtain from unaffiliated third parties.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and Exercise of Warrant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2016 Shengxin (Shanghai) Management Consulting Limited Partnership, or SMC, paid 20,123,500 RMB (approximately $3.0 million as of the date of funding) to our operating subsidiary ACM Shanghai for potential investment pursuant to terms to be subsequently negotiated. SMC is a People’s Republic of China, or PRC, limited partnership owned by Jian Wang and other employees of our subsidiary ACM Shanghai. Jian Wang, who is a limited partner of SMC, is the Chief Executive Officer and President of ACM Shanghai and the brother of our Chief Executive Officer and President David Wang. Until March 31, 2020, Jian Wang also had been the General Partner of SMC, as a result of which, under the rules of the SEC, he had been deemed to beneficially own all of the shares owned by SMC and, as a result, SMC was deemed to be an affiliate of ours.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2017 we issued to SMC a warrant exercisable to purchase 397,502 (pre-split) shares of Class A common stock at a price of $7.50 per share, for a total exercise price of approximately $3.0 million. The warrant was exercisable for cash or on a cashless basis, at the option of SMC, at any time on or before May 17, 2023 to acquire all, but not less than all, of the shares of Class A common stock subject to the warrant.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2018 we entered into a warrant exercise agreement with ACM Shanghai and SMC pursuant to which SMC exercised the SMC warrant in full by issuance to us of a senior secured promissory note in the principal amount of approximately $3.0 million. We transferred the SMC note to ACM Shanghai, in exchange for an intercompany promissory note issued by ACM Shanghai to us in the principal amount of approximately $3.0 million, or the Intercompany Note. Each of the two notes bore interest at a rate of 3.01% per annum and matured on August 17, 2023. As security for its performance of its obligations under its note, SMC granted to ACM Shanghai a security interest in the 397,502 (pre-split) shares of Class A common stock issued to SMC upon its exercise of the warrant.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a follow-on public offering of Class A common stock in August 2019, we agreed to purchase a total of 154,821 (pre-split) of the warrant shares from SMC at a per share price of $13.195, of which (a) $1.2 million was applied to reduce SMC’s obligations to ACM Shanghai under the SMC note, and which we then withheld for our own account and applied to reduce ACM Shanghai’s obligations to us under the Intercompany Note and (b) the remaining $0.9 million was paid to SMC.</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June 2019 we announced plans to complete over the following three years a listing of shares of ACM Shanghai on the Shanghai Stock Exchange’s new Sci-Tech innovAtion boaRd, known as the STAR Market, and a concurrent initial public offering, which we refer to as the STAR IPO, of ACM Shanghai shares in the PRC. In preparation for the STAR IPO, ACM Shanghai was required to terminate its financial relationship with SMC. In order to facilitate such termination, in April 2020, we entered into two agreements relating to outstanding obligations among our company, ACM Shanghai and SMC. Pursuant to such agreements: (i) ACM Shanghai assigned to us its rights under the SMC note, including the right to receive payment of approximately $1.8 million payable thereunder; (ii) ACM cancelled the outstanding obligation of approximately $1.8 million of ACM Shanghai under the Intercompany Note;</w:t>
      </w:r>
    </w:p>
    <w:p>
      <w:pPr>
        <w:spacing w:after="0" w:line="5" w:lineRule="exact"/>
        <w:rPr>
          <w:sz w:val="20"/>
          <w:szCs w:val="20"/>
          <w:color w:val="auto"/>
        </w:rPr>
      </w:pPr>
    </w:p>
    <w:p>
      <w:pPr>
        <w:jc w:val="both"/>
        <w:ind w:firstLine="8"/>
        <w:spacing w:after="0" w:line="253" w:lineRule="auto"/>
        <w:tabs>
          <w:tab w:leader="none" w:pos="31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SMC surrendered its remaining 242,681 (pre-split) warrant shares to us; and (iv) in exchange for such 242,681 (pre-split) warrant shares, we agreed to deliver to SMC certain consideration, which we refer to as the SMC Consideration, that we agreed upon with SMC, subject to obtaining certain PRC regulatory approvals. Under the agreements with SMC, if the required approvals are not obtained by December 31, 2023, we would cancel the SMC note as consideration for the 242,681 (pre-split) warrant shares. In a separate transaction in April 2020, ACM Shanghai repaid the remaining $1.8 million of the December 2016 SMC investment in cash.</w:t>
      </w:r>
    </w:p>
    <w:p>
      <w:pPr>
        <w:spacing w:after="0" w:line="187"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On July 29, 2020, we entered into an amended agreement under which, in settlement of the SMC Consideration, we issued to SMC a warrant to purchase 242,681 (pre-split) shares of Class A common stock at a purchase price of $7.50 per share, and we cancelled the SMC note. On June 9, 2021, SMC exercised the its warrant and we delivered 242,681 (pre-split) shares of Class A common stock to SMC (which reflect 728,043 shares of Class A common stock on a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split basis).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and Executive Compensation and Indemnification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see “Item 11. Executive Compensation” for discussion of the compensation of our executive officers and our non-employee directors.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executive officers. Under these agreements, we agree to indemnify, to the fullest extent permitted by Delaware law (subject to certain limitations), each of director and executive officer against any and all expenses incurred by the director or officer in connection with proceedings because of his or her status as one of our directors or executive officers. In addition, these indemnification agreements provide that, to the fullest extent permitted by Delaware law, we will pay for all expenses incurred by our directors and executive officers in connection with a legal proceeding arising out of their service to us.</w:t>
      </w:r>
    </w:p>
    <w:p>
      <w:pPr>
        <w:sectPr>
          <w:pgSz w:w="11900" w:h="16838" w:orient="portrait"/>
          <w:cols w:equalWidth="0" w:num="1">
            <w:col w:w="11240"/>
          </w:cols>
          <w:pgMar w:left="320" w:top="121" w:right="339" w:bottom="1440" w:gutter="0" w:footer="0" w:header="0"/>
        </w:sect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Table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concerning the compensation paid to our named executive officers or NEOs, who consist of our Chief Executive Officer and President David Wang, our Chief Financial Officer, Treasurer and Secretary Mark McKechnie, and our three next most highly compensated executive officers during 2021, Jian Wang, Lisa Feng and Fuping Chen.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220" w:type="dxa"/>
            <w:vAlign w:val="bottom"/>
          </w:tcPr>
          <w:p>
            <w:pPr>
              <w:spacing w:after="0"/>
              <w:rPr>
                <w:sz w:val="18"/>
                <w:szCs w:val="18"/>
                <w:color w:val="auto"/>
              </w:rPr>
            </w:pPr>
          </w:p>
        </w:tc>
        <w:tc>
          <w:tcPr>
            <w:tcW w:w="10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All Other</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3100" w:type="dxa"/>
            <w:vAlign w:val="bottom"/>
          </w:tcPr>
          <w:p>
            <w:pPr>
              <w:ind w:left="136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2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Salary($)(1)</w:t>
            </w:r>
          </w:p>
        </w:tc>
        <w:tc>
          <w:tcPr>
            <w:tcW w:w="12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Bonus($)(1)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($)(2)(3)</w:t>
            </w:r>
          </w:p>
        </w:tc>
        <w:tc>
          <w:tcPr>
            <w:tcW w:w="220" w:type="dxa"/>
            <w:vAlign w:val="bottom"/>
          </w:tcPr>
          <w:p>
            <w:pPr>
              <w:spacing w:after="0"/>
              <w:rPr>
                <w:sz w:val="19"/>
                <w:szCs w:val="19"/>
                <w:color w:val="auto"/>
              </w:rPr>
            </w:pPr>
          </w:p>
        </w:tc>
        <w:tc>
          <w:tcPr>
            <w:tcW w:w="10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($)(1)(4)</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4"/>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David H. Wang</w:t>
            </w:r>
          </w:p>
        </w:tc>
        <w:tc>
          <w:tcPr>
            <w:tcW w:w="31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2021</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183,105</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212,188</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398,876</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31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2020</w:t>
            </w:r>
          </w:p>
        </w:tc>
        <w:tc>
          <w:tcPr>
            <w:tcW w:w="3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294,054</w:t>
            </w:r>
          </w:p>
        </w:tc>
        <w:tc>
          <w:tcPr>
            <w:tcW w:w="3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95,700</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4,963,675</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5,369,089</w:t>
            </w:r>
          </w:p>
        </w:tc>
        <w:tc>
          <w:tcPr>
            <w:tcW w:w="0" w:type="dxa"/>
            <w:vAlign w:val="bottom"/>
          </w:tcPr>
          <w:p>
            <w:pPr>
              <w:spacing w:after="0"/>
              <w:rPr>
                <w:sz w:val="1"/>
                <w:szCs w:val="1"/>
                <w:color w:val="auto"/>
              </w:rPr>
            </w:pPr>
          </w:p>
        </w:tc>
      </w:tr>
      <w:tr>
        <w:trPr>
          <w:trHeight w:val="236"/>
        </w:trPr>
        <w:tc>
          <w:tcPr>
            <w:tcW w:w="2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and President</w:t>
            </w:r>
          </w:p>
        </w:tc>
        <w:tc>
          <w:tcPr>
            <w:tcW w:w="31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2019</w:t>
            </w:r>
          </w:p>
        </w:tc>
        <w:tc>
          <w:tcPr>
            <w:tcW w:w="3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229,742</w:t>
            </w:r>
          </w:p>
        </w:tc>
        <w:tc>
          <w:tcPr>
            <w:tcW w:w="3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19,358</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325,000</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588,020</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McKechnie</w:t>
            </w:r>
          </w:p>
        </w:tc>
        <w:tc>
          <w:tcPr>
            <w:tcW w:w="310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2021</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242,703</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50,000</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292,703</w:t>
            </w:r>
          </w:p>
        </w:tc>
        <w:tc>
          <w:tcPr>
            <w:tcW w:w="0" w:type="dxa"/>
            <w:vAlign w:val="bottom"/>
          </w:tcPr>
          <w:p>
            <w:pPr>
              <w:spacing w:after="0"/>
              <w:rPr>
                <w:sz w:val="1"/>
                <w:szCs w:val="1"/>
                <w:color w:val="auto"/>
              </w:rPr>
            </w:pPr>
          </w:p>
        </w:tc>
      </w:tr>
      <w:tr>
        <w:trPr>
          <w:trHeight w:val="196"/>
        </w:trPr>
        <w:tc>
          <w:tcPr>
            <w:tcW w:w="22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3100" w:type="dxa"/>
            <w:vAlign w:val="bottom"/>
            <w:vMerge w:val="restart"/>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2020</w:t>
            </w: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2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Treasurer</w:t>
            </w:r>
          </w:p>
        </w:tc>
        <w:tc>
          <w:tcPr>
            <w:tcW w:w="3100" w:type="dxa"/>
            <w:vAlign w:val="bottom"/>
            <w:vMerge w:val="continue"/>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243,906</w:t>
            </w:r>
          </w:p>
        </w:tc>
        <w:tc>
          <w:tcPr>
            <w:tcW w:w="36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243,906</w:t>
            </w:r>
          </w:p>
        </w:tc>
        <w:tc>
          <w:tcPr>
            <w:tcW w:w="0" w:type="dxa"/>
            <w:vAlign w:val="bottom"/>
          </w:tcPr>
          <w:p>
            <w:pPr>
              <w:spacing w:after="0"/>
              <w:rPr>
                <w:sz w:val="1"/>
                <w:szCs w:val="1"/>
                <w:color w:val="auto"/>
              </w:rPr>
            </w:pPr>
          </w:p>
        </w:tc>
      </w:tr>
      <w:tr>
        <w:trPr>
          <w:trHeight w:val="108"/>
        </w:trPr>
        <w:tc>
          <w:tcPr>
            <w:tcW w:w="2240" w:type="dxa"/>
            <w:vAlign w:val="bottom"/>
            <w:vMerge w:val="continue"/>
            <w:shd w:val="clear" w:color="auto" w:fill="CCEEFF"/>
          </w:tcPr>
          <w:p>
            <w:pPr>
              <w:spacing w:after="0"/>
              <w:rPr>
                <w:sz w:val="9"/>
                <w:szCs w:val="9"/>
                <w:color w:val="auto"/>
              </w:rPr>
            </w:pPr>
          </w:p>
        </w:tc>
        <w:tc>
          <w:tcPr>
            <w:tcW w:w="3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80" w:type="dxa"/>
            <w:vAlign w:val="bottom"/>
            <w:vMerge w:val="continue"/>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80" w:type="dxa"/>
            <w:vAlign w:val="bottom"/>
            <w:vMerge w:val="continue"/>
            <w:shd w:val="clear" w:color="auto" w:fill="CCEEFF"/>
          </w:tcPr>
          <w:p>
            <w:pPr>
              <w:spacing w:after="0"/>
              <w:rPr>
                <w:sz w:val="9"/>
                <w:szCs w:val="9"/>
                <w:color w:val="auto"/>
              </w:rPr>
            </w:pPr>
          </w:p>
        </w:tc>
        <w:tc>
          <w:tcPr>
            <w:tcW w:w="122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and Secretary</w:t>
            </w:r>
          </w:p>
        </w:tc>
        <w:tc>
          <w:tcPr>
            <w:tcW w:w="310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2019</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232,424</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129,327</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299,400</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675,071</w:t>
            </w:r>
          </w:p>
        </w:tc>
        <w:tc>
          <w:tcPr>
            <w:tcW w:w="0" w:type="dxa"/>
            <w:vAlign w:val="bottom"/>
          </w:tcPr>
          <w:p>
            <w:pPr>
              <w:spacing w:after="0"/>
              <w:rPr>
                <w:sz w:val="1"/>
                <w:szCs w:val="1"/>
                <w:color w:val="auto"/>
              </w:rPr>
            </w:pPr>
          </w:p>
        </w:tc>
      </w:tr>
      <w:tr>
        <w:trPr>
          <w:trHeight w:val="169"/>
        </w:trPr>
        <w:tc>
          <w:tcPr>
            <w:tcW w:w="22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Jian Wang</w:t>
            </w:r>
          </w:p>
        </w:tc>
        <w:tc>
          <w:tcPr>
            <w:tcW w:w="3100" w:type="dxa"/>
            <w:vAlign w:val="bottom"/>
          </w:tcPr>
          <w:p>
            <w:pPr>
              <w:ind w:left="1360"/>
              <w:spacing w:after="0" w:line="169" w:lineRule="exact"/>
              <w:rPr>
                <w:sz w:val="20"/>
                <w:szCs w:val="20"/>
                <w:color w:val="auto"/>
              </w:rPr>
            </w:pPr>
            <w:r>
              <w:rPr>
                <w:rFonts w:ascii="Times New Roman" w:cs="Times New Roman" w:eastAsia="Times New Roman" w:hAnsi="Times New Roman"/>
                <w:sz w:val="18"/>
                <w:szCs w:val="18"/>
                <w:color w:val="auto"/>
              </w:rPr>
              <w:t>2021</w:t>
            </w:r>
          </w:p>
        </w:tc>
        <w:tc>
          <w:tcPr>
            <w:tcW w:w="380" w:type="dxa"/>
            <w:vAlign w:val="bottom"/>
          </w:tcPr>
          <w:p>
            <w:pPr>
              <w:spacing w:after="0"/>
              <w:rPr>
                <w:sz w:val="14"/>
                <w:szCs w:val="14"/>
                <w:color w:val="auto"/>
              </w:rPr>
            </w:pPr>
          </w:p>
        </w:tc>
        <w:tc>
          <w:tcPr>
            <w:tcW w:w="880" w:type="dxa"/>
            <w:vAlign w:val="bottom"/>
          </w:tcPr>
          <w:p>
            <w:pPr>
              <w:jc w:val="right"/>
              <w:ind w:right="10"/>
              <w:spacing w:after="0" w:line="169" w:lineRule="exact"/>
              <w:rPr>
                <w:sz w:val="20"/>
                <w:szCs w:val="20"/>
                <w:color w:val="auto"/>
              </w:rPr>
            </w:pPr>
            <w:r>
              <w:rPr>
                <w:rFonts w:ascii="Times New Roman" w:cs="Times New Roman" w:eastAsia="Times New Roman" w:hAnsi="Times New Roman"/>
                <w:sz w:val="18"/>
                <w:szCs w:val="18"/>
                <w:color w:val="auto"/>
              </w:rPr>
              <w:t>120,094</w:t>
            </w:r>
          </w:p>
        </w:tc>
        <w:tc>
          <w:tcPr>
            <w:tcW w:w="360" w:type="dxa"/>
            <w:vAlign w:val="bottom"/>
          </w:tcPr>
          <w:p>
            <w:pPr>
              <w:spacing w:after="0"/>
              <w:rPr>
                <w:sz w:val="14"/>
                <w:szCs w:val="14"/>
                <w:color w:val="auto"/>
              </w:rPr>
            </w:pPr>
          </w:p>
        </w:tc>
        <w:tc>
          <w:tcPr>
            <w:tcW w:w="880" w:type="dxa"/>
            <w:vAlign w:val="bottom"/>
          </w:tcPr>
          <w:p>
            <w:pPr>
              <w:jc w:val="right"/>
              <w:ind w:right="10"/>
              <w:spacing w:after="0" w:line="169" w:lineRule="exact"/>
              <w:rPr>
                <w:sz w:val="20"/>
                <w:szCs w:val="20"/>
                <w:color w:val="auto"/>
              </w:rPr>
            </w:pPr>
            <w:r>
              <w:rPr>
                <w:rFonts w:ascii="Times New Roman" w:cs="Times New Roman" w:eastAsia="Times New Roman" w:hAnsi="Times New Roman"/>
                <w:sz w:val="18"/>
                <w:szCs w:val="18"/>
                <w:color w:val="auto"/>
              </w:rPr>
              <w:t>108,500</w:t>
            </w:r>
          </w:p>
        </w:tc>
        <w:tc>
          <w:tcPr>
            <w:tcW w:w="1220" w:type="dxa"/>
            <w:vAlign w:val="bottom"/>
          </w:tcPr>
          <w:p>
            <w:pPr>
              <w:jc w:val="right"/>
              <w:ind w:right="10"/>
              <w:spacing w:after="0" w:line="16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3,583</w:t>
            </w:r>
          </w:p>
        </w:tc>
        <w:tc>
          <w:tcPr>
            <w:tcW w:w="9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232,177</w:t>
            </w:r>
          </w:p>
        </w:tc>
        <w:tc>
          <w:tcPr>
            <w:tcW w:w="0" w:type="dxa"/>
            <w:vAlign w:val="bottom"/>
          </w:tcPr>
          <w:p>
            <w:pPr>
              <w:spacing w:after="0"/>
              <w:rPr>
                <w:sz w:val="1"/>
                <w:szCs w:val="1"/>
                <w:color w:val="auto"/>
              </w:rPr>
            </w:pPr>
          </w:p>
        </w:tc>
      </w:tr>
      <w:tr>
        <w:trPr>
          <w:trHeight w:val="243"/>
        </w:trPr>
        <w:tc>
          <w:tcPr>
            <w:tcW w:w="2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Executive O</w:t>
            </w:r>
            <w:r>
              <w:rPr>
                <w:rFonts w:ascii="Arial" w:cs="Arial" w:eastAsia="Arial" w:hAnsi="Arial"/>
                <w:sz w:val="18"/>
                <w:szCs w:val="18"/>
                <w:i w:val="1"/>
                <w:iCs w:val="1"/>
                <w:color w:val="auto"/>
              </w:rPr>
              <w:t>ﬃ</w:t>
            </w:r>
            <w:r>
              <w:rPr>
                <w:rFonts w:ascii="Times New Roman" w:cs="Times New Roman" w:eastAsia="Times New Roman" w:hAnsi="Times New Roman"/>
                <w:sz w:val="18"/>
                <w:szCs w:val="18"/>
                <w:i w:val="1"/>
                <w:iCs w:val="1"/>
                <w:color w:val="auto"/>
              </w:rPr>
              <w:t>cer and</w:t>
            </w:r>
          </w:p>
        </w:tc>
        <w:tc>
          <w:tcPr>
            <w:tcW w:w="31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2020</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162,492</w:t>
            </w: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55,100</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67,728</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300,980</w:t>
            </w:r>
          </w:p>
        </w:tc>
        <w:tc>
          <w:tcPr>
            <w:tcW w:w="0" w:type="dxa"/>
            <w:vAlign w:val="bottom"/>
          </w:tcPr>
          <w:p>
            <w:pPr>
              <w:spacing w:after="0"/>
              <w:rPr>
                <w:sz w:val="1"/>
                <w:szCs w:val="1"/>
                <w:color w:val="auto"/>
              </w:rPr>
            </w:pPr>
          </w:p>
        </w:tc>
      </w:tr>
      <w:tr>
        <w:trPr>
          <w:trHeight w:val="236"/>
        </w:trPr>
        <w:tc>
          <w:tcPr>
            <w:tcW w:w="2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ACM Shanghai</w:t>
            </w:r>
          </w:p>
        </w:tc>
        <w:tc>
          <w:tcPr>
            <w:tcW w:w="31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2019</w:t>
            </w:r>
          </w:p>
        </w:tc>
        <w:tc>
          <w:tcPr>
            <w:tcW w:w="3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139,241</w:t>
            </w:r>
          </w:p>
        </w:tc>
        <w:tc>
          <w:tcPr>
            <w:tcW w:w="3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49,126</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183,594</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385,881</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Lisa Feng</w:t>
            </w:r>
          </w:p>
        </w:tc>
        <w:tc>
          <w:tcPr>
            <w:tcW w:w="310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2021</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157,135</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64,170</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225,464</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310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2020</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169,172</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43,500</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225,809</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13,616</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452,097</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ACM Shanghai</w:t>
            </w:r>
          </w:p>
        </w:tc>
        <w:tc>
          <w:tcPr>
            <w:tcW w:w="310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2019</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159,673</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41,354</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214,700</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425,860</w:t>
            </w:r>
          </w:p>
        </w:tc>
        <w:tc>
          <w:tcPr>
            <w:tcW w:w="0" w:type="dxa"/>
            <w:vAlign w:val="bottom"/>
          </w:tcPr>
          <w:p>
            <w:pPr>
              <w:spacing w:after="0"/>
              <w:rPr>
                <w:sz w:val="1"/>
                <w:szCs w:val="1"/>
                <w:color w:val="auto"/>
              </w:rPr>
            </w:pPr>
          </w:p>
        </w:tc>
      </w:tr>
      <w:tr>
        <w:trPr>
          <w:trHeight w:val="196"/>
        </w:trPr>
        <w:tc>
          <w:tcPr>
            <w:tcW w:w="22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Fuping Chen</w:t>
            </w:r>
          </w:p>
        </w:tc>
        <w:tc>
          <w:tcPr>
            <w:tcW w:w="3100" w:type="dxa"/>
            <w:vAlign w:val="bottom"/>
          </w:tcPr>
          <w:p>
            <w:pPr>
              <w:ind w:left="1360"/>
              <w:spacing w:after="0" w:line="195" w:lineRule="exact"/>
              <w:rPr>
                <w:sz w:val="20"/>
                <w:szCs w:val="20"/>
                <w:color w:val="auto"/>
              </w:rPr>
            </w:pPr>
            <w:r>
              <w:rPr>
                <w:rFonts w:ascii="Times New Roman" w:cs="Times New Roman" w:eastAsia="Times New Roman" w:hAnsi="Times New Roman"/>
                <w:sz w:val="18"/>
                <w:szCs w:val="18"/>
                <w:color w:val="auto"/>
              </w:rPr>
              <w:t>2021</w:t>
            </w:r>
          </w:p>
        </w:tc>
        <w:tc>
          <w:tcPr>
            <w:tcW w:w="380" w:type="dxa"/>
            <w:vAlign w:val="bottom"/>
          </w:tcPr>
          <w:p>
            <w:pPr>
              <w:spacing w:after="0"/>
              <w:rPr>
                <w:sz w:val="17"/>
                <w:szCs w:val="17"/>
                <w:color w:val="auto"/>
              </w:rPr>
            </w:pPr>
          </w:p>
        </w:tc>
        <w:tc>
          <w:tcPr>
            <w:tcW w:w="880" w:type="dxa"/>
            <w:vAlign w:val="bottom"/>
          </w:tcPr>
          <w:p>
            <w:pPr>
              <w:jc w:val="right"/>
              <w:ind w:right="10"/>
              <w:spacing w:after="0" w:line="195" w:lineRule="exact"/>
              <w:rPr>
                <w:sz w:val="20"/>
                <w:szCs w:val="20"/>
                <w:color w:val="auto"/>
              </w:rPr>
            </w:pPr>
            <w:r>
              <w:rPr>
                <w:rFonts w:ascii="Times New Roman" w:cs="Times New Roman" w:eastAsia="Times New Roman" w:hAnsi="Times New Roman"/>
                <w:sz w:val="18"/>
                <w:szCs w:val="18"/>
                <w:color w:val="auto"/>
              </w:rPr>
              <w:t>108,842</w:t>
            </w:r>
          </w:p>
        </w:tc>
        <w:tc>
          <w:tcPr>
            <w:tcW w:w="360" w:type="dxa"/>
            <w:vAlign w:val="bottom"/>
          </w:tcPr>
          <w:p>
            <w:pPr>
              <w:spacing w:after="0"/>
              <w:rPr>
                <w:sz w:val="17"/>
                <w:szCs w:val="17"/>
                <w:color w:val="auto"/>
              </w:rPr>
            </w:pPr>
          </w:p>
        </w:tc>
        <w:tc>
          <w:tcPr>
            <w:tcW w:w="880" w:type="dxa"/>
            <w:vAlign w:val="bottom"/>
          </w:tcPr>
          <w:p>
            <w:pPr>
              <w:jc w:val="right"/>
              <w:ind w:right="10"/>
              <w:spacing w:after="0" w:line="195" w:lineRule="exact"/>
              <w:rPr>
                <w:sz w:val="20"/>
                <w:szCs w:val="20"/>
                <w:color w:val="auto"/>
              </w:rPr>
            </w:pPr>
            <w:r>
              <w:rPr>
                <w:rFonts w:ascii="Times New Roman" w:cs="Times New Roman" w:eastAsia="Times New Roman" w:hAnsi="Times New Roman"/>
                <w:sz w:val="18"/>
                <w:szCs w:val="18"/>
                <w:color w:val="auto"/>
              </w:rPr>
              <w:t>103,850</w:t>
            </w:r>
          </w:p>
        </w:tc>
        <w:tc>
          <w:tcPr>
            <w:tcW w:w="1220" w:type="dxa"/>
            <w:vAlign w:val="bottom"/>
          </w:tcPr>
          <w:p>
            <w:pPr>
              <w:jc w:val="right"/>
              <w:ind w:right="10"/>
              <w:spacing w:after="0" w:line="195"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0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214</w:t>
            </w:r>
          </w:p>
        </w:tc>
        <w:tc>
          <w:tcPr>
            <w:tcW w:w="9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212,906</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Vice President, Sales—China,</w:t>
            </w:r>
          </w:p>
        </w:tc>
        <w:tc>
          <w:tcPr>
            <w:tcW w:w="31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2020</w:t>
            </w:r>
          </w:p>
        </w:tc>
        <w:tc>
          <w:tcPr>
            <w:tcW w:w="3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103,871</w:t>
            </w:r>
          </w:p>
        </w:tc>
        <w:tc>
          <w:tcPr>
            <w:tcW w:w="3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95,700</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793,157</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1,008,388</w:t>
            </w:r>
          </w:p>
        </w:tc>
        <w:tc>
          <w:tcPr>
            <w:tcW w:w="0" w:type="dxa"/>
            <w:vAlign w:val="bottom"/>
          </w:tcPr>
          <w:p>
            <w:pPr>
              <w:spacing w:after="0"/>
              <w:rPr>
                <w:sz w:val="1"/>
                <w:szCs w:val="1"/>
                <w:color w:val="auto"/>
              </w:rPr>
            </w:pPr>
          </w:p>
        </w:tc>
      </w:tr>
      <w:tr>
        <w:trPr>
          <w:trHeight w:val="236"/>
        </w:trPr>
        <w:tc>
          <w:tcPr>
            <w:tcW w:w="2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ACM Shanghai</w:t>
            </w:r>
          </w:p>
        </w:tc>
        <w:tc>
          <w:tcPr>
            <w:tcW w:w="31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2019</w:t>
            </w:r>
          </w:p>
        </w:tc>
        <w:tc>
          <w:tcPr>
            <w:tcW w:w="3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90,603</w:t>
            </w:r>
          </w:p>
        </w:tc>
        <w:tc>
          <w:tcPr>
            <w:tcW w:w="3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113,129</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61,198</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278,850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2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amounts paid in RMB have been converted, for purposes of the table, to U.S. dollars at the average RMB per U.S. dollar exchange rate for the applicable years.</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Amounts shown represent the aggregate grant date fair value of option awards granted in accordance with Financial Accounting Standards Board Accounting Standards Codification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These amounts do not necessarily correspond to the actual amounts that will be earned by the NEOs. For assumptions made in valuing these awards and related information with respect to options awards exercisable for Class A common stock, see note 2 to our consolidated financial statements included in the 2021 Form 10-K.</w:t>
      </w:r>
    </w:p>
    <w:p>
      <w:pPr>
        <w:spacing w:after="0" w:line="179"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option awards exercisable for Class A common stock and (b) with respect to Dr. Wang, Mr. Wang, Ms. Feng and Mr. Chen in 2020, option awards exercisable for shares of ACM Shanghai. See “—Grants of Plan-Based Awards” below.</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(a) consist of health insurance with respect to 2021 and (b) housing subsidies with respect to 2020 and 2019..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Explanation of the Executive Compensation Table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paid to our NEOs consists of the following components:</w:t>
      </w:r>
    </w:p>
    <w:p>
      <w:pPr>
        <w:spacing w:after="0" w:line="225"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discretionary-based cash bonuses;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incentive compensation in the form of stock options;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benefits consisting principally of housing subsidies.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Annual base salaries of our NEOs in 2021 were as follows: David Wang, $183,105; Mark McKechnie, $242,703; Jian Wang, $120,094; Lisa Feng, $157,135; and Fuping Chen, $108,842.</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enter into employment agreements with our employees located principally in the PRC, including each of our NEOs other than Mark McKechnie (who is based in the United States), that contain an employment term and other statutorily required terms and conditions, but do not include compensatory terms. In addition, ACM Shanghai was a party to an employment agreement with Lisa Feng that was entered into as of January 8, 2018 and extended through January 21, 2023. This agreement contained provisions with respect to base salary, annual bonus eligibility and certain severance payments.</w:t>
      </w:r>
    </w:p>
    <w:p>
      <w:pPr>
        <w:sectPr>
          <w:pgSz w:w="11900" w:h="16838" w:orient="portrait"/>
          <w:cols w:equalWidth="0" w:num="1">
            <w:col w:w="11240"/>
          </w:cols>
          <w:pgMar w:left="320" w:top="117" w:right="339" w:bottom="1440" w:gutter="0" w:footer="0" w:header="0"/>
        </w:sect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4" w:name="page15"/>
    <w:bookmarkEnd w:id="14"/>
    <w:p>
      <w:pPr>
        <w:jc w:val="both"/>
        <w:spacing w:after="0" w:line="266" w:lineRule="auto"/>
        <w:rPr>
          <w:sz w:val="20"/>
          <w:szCs w:val="20"/>
          <w:color w:val="auto"/>
        </w:rPr>
      </w:pPr>
      <w:r>
        <w:rPr>
          <w:rFonts w:ascii="Times New Roman" w:cs="Times New Roman" w:eastAsia="Times New Roman" w:hAnsi="Times New Roman"/>
          <w:sz w:val="18"/>
          <w:szCs w:val="18"/>
          <w:color w:val="auto"/>
        </w:rPr>
        <w:t>We do not have an established bonus policy for our NEOs. The compensation committee may decide, in its sole discretion, to reward NEOs with annual cash bonuses based on the achievement of individual NEO performance, our business performance (including revenues and profits, without specified targets), and development generally.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Historically, we have not typically granted stock options to NEOs on an annual basis. From time to time, however, we grant stock options, when appropriate, as the long-term incentive component of our compensation program. Our stock options allow our employees to purchase covered shares at a price equal to the fair market value on the date of grant. In some cases, we attach performance criteria to the vesting of the stock options. We did not grant any equity awards to the NEOs during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grant any equity awards to the NEOs during the year ended December 31,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December 31, 2021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each unexercised option held by each of our NEOs as of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7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118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spacing w:after="0"/>
              <w:rPr>
                <w:sz w:val="21"/>
                <w:szCs w:val="21"/>
                <w:color w:val="auto"/>
              </w:rPr>
            </w:pPr>
          </w:p>
        </w:tc>
      </w:tr>
      <w:tr>
        <w:trPr>
          <w:trHeight w:val="194"/>
        </w:trPr>
        <w:tc>
          <w:tcPr>
            <w:tcW w:w="1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80" w:type="dxa"/>
            <w:vAlign w:val="bottom"/>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7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920" w:type="dxa"/>
            <w:vAlign w:val="bottom"/>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Equity Incentive Plan</w:t>
            </w:r>
          </w:p>
        </w:tc>
        <w:tc>
          <w:tcPr>
            <w:tcW w:w="118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216"/>
        </w:trPr>
        <w:tc>
          <w:tcPr>
            <w:tcW w:w="1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9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Awards: Number of</w:t>
            </w:r>
          </w:p>
        </w:tc>
        <w:tc>
          <w:tcPr>
            <w:tcW w:w="118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9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Securities Underlying</w:t>
            </w:r>
          </w:p>
        </w:tc>
        <w:tc>
          <w:tcPr>
            <w:tcW w:w="11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88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Unexercised Options</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Unexercised Options</w:t>
            </w:r>
          </w:p>
        </w:tc>
        <w:tc>
          <w:tcPr>
            <w:tcW w:w="19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1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8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Option Expiration</w:t>
            </w:r>
          </w:p>
        </w:tc>
      </w:tr>
      <w:tr>
        <w:trPr>
          <w:trHeight w:val="220"/>
        </w:trPr>
        <w:tc>
          <w:tcPr>
            <w:tcW w:w="17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19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Unearned Options</w:t>
            </w:r>
          </w:p>
        </w:tc>
        <w:tc>
          <w:tcPr>
            <w:tcW w:w="11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Price($)</w:t>
            </w:r>
          </w:p>
        </w:tc>
        <w:tc>
          <w:tcPr>
            <w:tcW w:w="188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David H. Wang</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7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1,200,000</w:t>
            </w: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0.50</w:t>
            </w:r>
          </w:p>
        </w:tc>
        <w:tc>
          <w:tcPr>
            <w:tcW w:w="1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4/30/2025</w:t>
            </w:r>
          </w:p>
        </w:tc>
      </w:tr>
      <w:tr>
        <w:trPr>
          <w:trHeight w:val="216"/>
        </w:trPr>
        <w:tc>
          <w:tcPr>
            <w:tcW w:w="17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7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1,000,002</w:t>
            </w: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1.00</w:t>
            </w:r>
          </w:p>
        </w:tc>
        <w:tc>
          <w:tcPr>
            <w:tcW w:w="1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12/27/2026</w:t>
            </w:r>
          </w:p>
        </w:tc>
      </w:tr>
      <w:tr>
        <w:trPr>
          <w:trHeight w:val="216"/>
        </w:trPr>
        <w:tc>
          <w:tcPr>
            <w:tcW w:w="17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7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99,999</w:t>
            </w: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50,001</w:t>
            </w:r>
          </w:p>
        </w:tc>
        <w:tc>
          <w:tcPr>
            <w:tcW w:w="1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5.60</w:t>
            </w:r>
          </w:p>
        </w:tc>
        <w:tc>
          <w:tcPr>
            <w:tcW w:w="1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4/22/2029</w:t>
            </w:r>
          </w:p>
        </w:tc>
      </w:tr>
      <w:tr>
        <w:trPr>
          <w:trHeight w:val="216"/>
        </w:trPr>
        <w:tc>
          <w:tcPr>
            <w:tcW w:w="17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7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545,397</w:t>
            </w: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1,090,800</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7.36</w:t>
            </w:r>
          </w:p>
        </w:tc>
        <w:tc>
          <w:tcPr>
            <w:tcW w:w="1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3/19/2030</w:t>
            </w:r>
          </w:p>
        </w:tc>
      </w:tr>
      <w:tr>
        <w:trPr>
          <w:trHeight w:val="234"/>
        </w:trPr>
        <w:tc>
          <w:tcPr>
            <w:tcW w:w="17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tcPr>
          <w:p>
            <w:pPr>
              <w:spacing w:after="0"/>
              <w:rPr>
                <w:sz w:val="20"/>
                <w:szCs w:val="20"/>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538,462</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1.89</w:t>
            </w:r>
          </w:p>
        </w:tc>
        <w:tc>
          <w:tcPr>
            <w:tcW w:w="1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12/31/2024</w:t>
            </w:r>
          </w:p>
        </w:tc>
      </w:tr>
      <w:tr>
        <w:trPr>
          <w:trHeight w:val="216"/>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McKechnie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7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9,915</w:t>
            </w:r>
          </w:p>
        </w:tc>
        <w:tc>
          <w:tcPr>
            <w:tcW w:w="1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20,001</w:t>
            </w:r>
          </w:p>
        </w:tc>
        <w:tc>
          <w:tcPr>
            <w:tcW w:w="1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4.62</w:t>
            </w:r>
          </w:p>
        </w:tc>
        <w:tc>
          <w:tcPr>
            <w:tcW w:w="1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07/31/2028</w:t>
            </w:r>
          </w:p>
        </w:tc>
      </w:tr>
      <w:tr>
        <w:trPr>
          <w:trHeight w:val="216"/>
        </w:trPr>
        <w:tc>
          <w:tcPr>
            <w:tcW w:w="17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7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37,500</w:t>
            </w:r>
          </w:p>
        </w:tc>
        <w:tc>
          <w:tcPr>
            <w:tcW w:w="1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30,000</w:t>
            </w:r>
          </w:p>
        </w:tc>
        <w:tc>
          <w:tcPr>
            <w:tcW w:w="1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5.60</w:t>
            </w:r>
          </w:p>
        </w:tc>
        <w:tc>
          <w:tcPr>
            <w:tcW w:w="1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04/22/2029</w:t>
            </w:r>
          </w:p>
        </w:tc>
      </w:tr>
      <w:tr>
        <w:trPr>
          <w:trHeight w:val="216"/>
        </w:trPr>
        <w:tc>
          <w:tcPr>
            <w:tcW w:w="17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7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31,248</w:t>
            </w:r>
          </w:p>
        </w:tc>
        <w:tc>
          <w:tcPr>
            <w:tcW w:w="1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28,752</w:t>
            </w:r>
          </w:p>
        </w:tc>
        <w:tc>
          <w:tcPr>
            <w:tcW w:w="1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4.55</w:t>
            </w:r>
          </w:p>
        </w:tc>
        <w:tc>
          <w:tcPr>
            <w:tcW w:w="1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11/03/2029</w:t>
            </w:r>
          </w:p>
        </w:tc>
      </w:tr>
      <w:tr>
        <w:trPr>
          <w:trHeight w:val="198"/>
        </w:trPr>
        <w:tc>
          <w:tcPr>
            <w:tcW w:w="1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Jian Wang</w:t>
            </w:r>
          </w:p>
        </w:tc>
        <w:tc>
          <w:tcPr>
            <w:tcW w:w="10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(1)(8)</w:t>
            </w:r>
          </w:p>
        </w:tc>
        <w:tc>
          <w:tcPr>
            <w:tcW w:w="1720" w:type="dxa"/>
            <w:vAlign w:val="bottom"/>
            <w:gridSpan w:val="2"/>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99,999</w:t>
            </w:r>
          </w:p>
        </w:tc>
        <w:tc>
          <w:tcPr>
            <w:tcW w:w="178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20,001</w:t>
            </w:r>
          </w:p>
        </w:tc>
        <w:tc>
          <w:tcPr>
            <w:tcW w:w="1920" w:type="dxa"/>
            <w:vAlign w:val="bottom"/>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0"/>
              <w:spacing w:after="0" w:line="198" w:lineRule="exact"/>
              <w:rPr>
                <w:sz w:val="20"/>
                <w:szCs w:val="20"/>
                <w:color w:val="auto"/>
              </w:rPr>
            </w:pPr>
            <w:r>
              <w:rPr>
                <w:rFonts w:ascii="Times New Roman" w:cs="Times New Roman" w:eastAsia="Times New Roman" w:hAnsi="Times New Roman"/>
                <w:sz w:val="18"/>
                <w:szCs w:val="18"/>
                <w:color w:val="auto"/>
              </w:rPr>
              <w:t>4.62</w:t>
            </w:r>
          </w:p>
        </w:tc>
        <w:tc>
          <w:tcPr>
            <w:tcW w:w="188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7/31/2028</w:t>
            </w:r>
          </w:p>
        </w:tc>
      </w:tr>
      <w:tr>
        <w:trPr>
          <w:trHeight w:val="216"/>
        </w:trPr>
        <w:tc>
          <w:tcPr>
            <w:tcW w:w="17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7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60,000</w:t>
            </w: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30,000</w:t>
            </w:r>
          </w:p>
        </w:tc>
        <w:tc>
          <w:tcPr>
            <w:tcW w:w="1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5.60</w:t>
            </w:r>
          </w:p>
        </w:tc>
        <w:tc>
          <w:tcPr>
            <w:tcW w:w="1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4/22/2029</w:t>
            </w:r>
          </w:p>
        </w:tc>
      </w:tr>
      <w:tr>
        <w:trPr>
          <w:trHeight w:val="234"/>
        </w:trPr>
        <w:tc>
          <w:tcPr>
            <w:tcW w:w="17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tcPr>
          <w:p>
            <w:pPr>
              <w:spacing w:after="0"/>
              <w:rPr>
                <w:sz w:val="20"/>
                <w:szCs w:val="20"/>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298,462</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1.89</w:t>
            </w:r>
          </w:p>
        </w:tc>
        <w:tc>
          <w:tcPr>
            <w:tcW w:w="1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12/31/2024</w:t>
            </w:r>
          </w:p>
        </w:tc>
      </w:tr>
      <w:tr>
        <w:trPr>
          <w:trHeight w:val="216"/>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Lisa Feng</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7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43,125</w:t>
            </w:r>
          </w:p>
        </w:tc>
        <w:tc>
          <w:tcPr>
            <w:tcW w:w="1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1,875</w:t>
            </w:r>
          </w:p>
        </w:tc>
        <w:tc>
          <w:tcPr>
            <w:tcW w:w="1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1.77</w:t>
            </w:r>
          </w:p>
        </w:tc>
        <w:tc>
          <w:tcPr>
            <w:tcW w:w="1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1/24/2028</w:t>
            </w:r>
          </w:p>
        </w:tc>
      </w:tr>
      <w:tr>
        <w:trPr>
          <w:trHeight w:val="216"/>
        </w:trPr>
        <w:tc>
          <w:tcPr>
            <w:tcW w:w="17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7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49,998</w:t>
            </w:r>
          </w:p>
        </w:tc>
        <w:tc>
          <w:tcPr>
            <w:tcW w:w="1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25,002</w:t>
            </w:r>
          </w:p>
        </w:tc>
        <w:tc>
          <w:tcPr>
            <w:tcW w:w="1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5.60</w:t>
            </w:r>
          </w:p>
        </w:tc>
        <w:tc>
          <w:tcPr>
            <w:tcW w:w="1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4/22/2029</w:t>
            </w:r>
          </w:p>
        </w:tc>
      </w:tr>
      <w:tr>
        <w:trPr>
          <w:trHeight w:val="216"/>
        </w:trPr>
        <w:tc>
          <w:tcPr>
            <w:tcW w:w="17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7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15,624</w:t>
            </w:r>
          </w:p>
        </w:tc>
        <w:tc>
          <w:tcPr>
            <w:tcW w:w="1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14,376</w:t>
            </w:r>
          </w:p>
        </w:tc>
        <w:tc>
          <w:tcPr>
            <w:tcW w:w="1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4.55</w:t>
            </w:r>
          </w:p>
        </w:tc>
        <w:tc>
          <w:tcPr>
            <w:tcW w:w="1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11/3/2029</w:t>
            </w:r>
          </w:p>
        </w:tc>
      </w:tr>
      <w:tr>
        <w:trPr>
          <w:trHeight w:val="216"/>
        </w:trPr>
        <w:tc>
          <w:tcPr>
            <w:tcW w:w="17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7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12,498</w:t>
            </w:r>
          </w:p>
        </w:tc>
        <w:tc>
          <w:tcPr>
            <w:tcW w:w="1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17,502</w:t>
            </w:r>
          </w:p>
        </w:tc>
        <w:tc>
          <w:tcPr>
            <w:tcW w:w="1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12.75</w:t>
            </w:r>
          </w:p>
        </w:tc>
        <w:tc>
          <w:tcPr>
            <w:tcW w:w="1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4/27/2030</w:t>
            </w:r>
          </w:p>
        </w:tc>
      </w:tr>
      <w:tr>
        <w:trPr>
          <w:trHeight w:val="216"/>
        </w:trPr>
        <w:tc>
          <w:tcPr>
            <w:tcW w:w="17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260,000</w:t>
            </w:r>
          </w:p>
        </w:tc>
        <w:tc>
          <w:tcPr>
            <w:tcW w:w="11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1.89</w:t>
            </w:r>
          </w:p>
        </w:tc>
        <w:tc>
          <w:tcPr>
            <w:tcW w:w="1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12/31/2024</w:t>
            </w:r>
          </w:p>
        </w:tc>
      </w:tr>
      <w:tr>
        <w:trPr>
          <w:trHeight w:val="198"/>
        </w:trPr>
        <w:tc>
          <w:tcPr>
            <w:tcW w:w="1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Fuping Chen</w:t>
            </w:r>
          </w:p>
        </w:tc>
        <w:tc>
          <w:tcPr>
            <w:tcW w:w="10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(1)(4)</w:t>
            </w:r>
          </w:p>
        </w:tc>
        <w:tc>
          <w:tcPr>
            <w:tcW w:w="1720" w:type="dxa"/>
            <w:vAlign w:val="bottom"/>
            <w:gridSpan w:val="2"/>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46,164</w:t>
            </w:r>
          </w:p>
        </w:tc>
        <w:tc>
          <w:tcPr>
            <w:tcW w:w="178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0"/>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188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12/27/2026</w:t>
            </w:r>
          </w:p>
        </w:tc>
      </w:tr>
      <w:tr>
        <w:trPr>
          <w:trHeight w:val="216"/>
        </w:trPr>
        <w:tc>
          <w:tcPr>
            <w:tcW w:w="17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7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50,001</w:t>
            </w: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1.00</w:t>
            </w:r>
          </w:p>
        </w:tc>
        <w:tc>
          <w:tcPr>
            <w:tcW w:w="1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12/27/2026</w:t>
            </w:r>
          </w:p>
        </w:tc>
      </w:tr>
      <w:tr>
        <w:trPr>
          <w:trHeight w:val="216"/>
        </w:trPr>
        <w:tc>
          <w:tcPr>
            <w:tcW w:w="17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7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146,874</w:t>
            </w: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3,126</w:t>
            </w:r>
          </w:p>
        </w:tc>
        <w:tc>
          <w:tcPr>
            <w:tcW w:w="1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1.77</w:t>
            </w:r>
          </w:p>
        </w:tc>
        <w:tc>
          <w:tcPr>
            <w:tcW w:w="1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1/24/2028</w:t>
            </w:r>
          </w:p>
        </w:tc>
      </w:tr>
      <w:tr>
        <w:trPr>
          <w:trHeight w:val="216"/>
        </w:trPr>
        <w:tc>
          <w:tcPr>
            <w:tcW w:w="17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7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17,493</w:t>
            </w: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12,507</w:t>
            </w:r>
          </w:p>
        </w:tc>
        <w:tc>
          <w:tcPr>
            <w:tcW w:w="1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5.33</w:t>
            </w:r>
          </w:p>
        </w:tc>
        <w:tc>
          <w:tcPr>
            <w:tcW w:w="1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8/3/2029</w:t>
            </w:r>
          </w:p>
        </w:tc>
      </w:tr>
      <w:tr>
        <w:trPr>
          <w:trHeight w:val="216"/>
        </w:trPr>
        <w:tc>
          <w:tcPr>
            <w:tcW w:w="17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7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30,000</w:t>
            </w: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30,000</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28.42</w:t>
            </w:r>
          </w:p>
        </w:tc>
        <w:tc>
          <w:tcPr>
            <w:tcW w:w="1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7/27/2030</w:t>
            </w:r>
          </w:p>
        </w:tc>
      </w:tr>
      <w:tr>
        <w:trPr>
          <w:trHeight w:val="234"/>
        </w:trPr>
        <w:tc>
          <w:tcPr>
            <w:tcW w:w="17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tcPr>
          <w:p>
            <w:pPr>
              <w:spacing w:after="0"/>
              <w:rPr>
                <w:sz w:val="20"/>
                <w:szCs w:val="20"/>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260,000</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1.89</w:t>
            </w:r>
          </w:p>
        </w:tc>
        <w:tc>
          <w:tcPr>
            <w:tcW w:w="1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12/31/2024</w:t>
            </w:r>
          </w:p>
        </w:tc>
      </w:tr>
    </w:tbl>
    <w:p>
      <w:pPr>
        <w:spacing w:after="0" w:line="198"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exercisable, subject to vesting, to acquire Class A common stock.</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exercisable, subject to vesting, to acquire shares of ACM Shanghai. Assumes threshold achievement. One-half of the option vests on January 1, 2023, generally subject to continued service and key financial metrics. The remaining half of the option vests on January 1, 2024, generally subject to continued service and key financial metrics. In each case, vesting is also contingent on the applicable NEO’s performance rating for the year prior to the applicable time-based vesting date, such that 100% of the option that would otherwise vest pursuant to the foregoing two sentences will vest if such performance rating is “excellent” or “good,” 80% if such performance rating is “medium,” 60% if such performance rating is “pass,” and 0% if such performance rating is below “pass.” All such options accelerate vesting upon a defined change in control of ACM Research.</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[Footnotes continued on next page]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both"/>
        <w:ind w:left="34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was granted on May 1, 2015. One quarter of the option vested and became exercisable on the first anniversary of the grant date, with the remaining three-quarters vesting and becoming exercisable in equal monthly installments over the following 36 months, subject to continued service through each vesting date. Option accelerates vesting upon a defined change in control of ACM Research</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was granted on December 28, 2016. One quarter of the option vested and became exercisable on the first anniversary of the grant date, with the remaining three-quarters vesting and becoming exercisable in equal monthly installments over the following 36 months, subject to continued service through each vesting date. Option accelerates vesting upon a defined change in control of ACM Research</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was granted on April 23, 2019. One quarter of the option vested and became exercisable on the first anniversary of the grant date, with the remaining three-quarters vesting and becoming exercisable in equal monthly installments over the following 36 months, subject to continued service through each vesting date. Option accelerates vesting upon a defined change in control of ACM Research.</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was granted on March 20, 2020. An initial 181,799 shares vested and became exercisable on August 5, 2020, which was the first trading day as of which our market capitalization equaled or exceeded $1,553,383,586. The remaining shares will vest and become exercise in two equal installments upon the first trading days, if any, on which the Issuer's market capitalization equals or exceeds $2,553,383,586 and $3,553,383,586, respectively.</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was granted on January 1, 2020. Performance-based option award pursuant to which one-half of the shares subject to the award vests and becomes exercisable on the third anniversary of the grant date if ACM Shanghai’s operating income is not less than RMB1 billion for the year ending December 31, 2021, and the second half of the shares subject to the award vests and becomes exercisable on the fourth anniversary of the grant date if ACM Shanghai’s operating income is not less than RMB1.2 billion for the year ending December 31, 2022.</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was granted on August 1, 2018. One quarter of the option vested and became exercisable on the first anniversary of the grant date, with the remaining three-quarters vesting and becoming exercisable in equal monthly installments over the following 36 months, subject to continued service through each vesting date. Option accelerates vesting upon a defined change in control of ACM Research.</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was granted on November 4, 2019. One quarter of the option vested and became exercisable on the first anniversary of the grant date, with the remaining three-quarters vesting and becoming exercisable in equal monthly installments over the following 36 months, subject to continued service through each vesting date. Option accelerates vesting upon a defined change in control of ACM Research.</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was granted on January 25, 2018. One quarter of the option vested and became exercisable on the first anniversary of the grant date, with the remaining three-quarters vesting and becoming exercisable in equal monthly installments over the following 36 months, subject to continued service through each vesting date. Option accelerates vesting upon a defined change in control of ACM Research.</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was granted on April 28, 2020. One quarter of the option vested and became exercisable on the first anniversary of the grant date, with the remaining three-quarters vesting and becoming exercisable in equal monthly installments over the following 36 months, subject to continued service through each vesting date. Option accelerates vesting upon a defined change in control of ACM Research.</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was granted on August 4, 2019. One quarter of the option vested and became exercisable on the first anniversary of the grant date, with the remaining three-quarters vesting and becoming exercisable in equal monthly installments over the following 36 months, subject to continued service through each vesting date. Option accelerates vesting upon a defined change in control of ACM Research.</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was granted on July 28, 2020. Performance-based option award pursuant to which one-half of the shares subject to the award vests and becomes exercisable upon our receipt of our first demo tool order from a specified semiconductor company and the other half vests and becomes exercisable upon the qualification of our first demo tool for such semiconductor company.</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information regarding the vesting acceleration provisions applicable to the options held by our NEOs, please see “Compensation Discussion and Analysis—Potential Change in Control Benefits”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Equity Award Exercises and Stock Vested</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the exercise by the NEOs of vested options during the year ended December 31, 2021. All options were exercised for Class A common stock.</w:t>
      </w:r>
    </w:p>
    <w:p>
      <w:pPr>
        <w:spacing w:after="0" w:line="158" w:lineRule="exact"/>
        <w:rPr>
          <w:sz w:val="20"/>
          <w:szCs w:val="20"/>
          <w:color w:val="auto"/>
        </w:rPr>
      </w:pPr>
    </w:p>
    <w:tbl>
      <w:tblPr>
        <w:tblLayout w:type="fixed"/>
        <w:tblInd w:w="2260" w:type="dxa"/>
        <w:tblCellMar>
          <w:top w:w="0" w:type="dxa"/>
          <w:left w:w="0" w:type="dxa"/>
          <w:bottom w:w="0" w:type="dxa"/>
          <w:right w:w="0" w:type="dxa"/>
        </w:tblCellMar>
      </w:tblPr>
      <w:tr>
        <w:trPr>
          <w:trHeight w:val="245"/>
        </w:trPr>
        <w:tc>
          <w:tcPr>
            <w:tcW w:w="3300" w:type="dxa"/>
            <w:vAlign w:val="bottom"/>
          </w:tcPr>
          <w:p>
            <w:pPr>
              <w:spacing w:after="0"/>
              <w:rPr>
                <w:sz w:val="21"/>
                <w:szCs w:val="21"/>
                <w:color w:val="auto"/>
              </w:rPr>
            </w:pPr>
          </w:p>
        </w:tc>
        <w:tc>
          <w:tcPr>
            <w:tcW w:w="3360" w:type="dxa"/>
            <w:vAlign w:val="bottom"/>
            <w:tcBorders>
              <w:bottom w:val="single" w:sz="8" w:color="auto"/>
            </w:tcBorders>
            <w:gridSpan w:val="3"/>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80" w:type="dxa"/>
            <w:vAlign w:val="bottom"/>
          </w:tcPr>
          <w:p>
            <w:pPr>
              <w:spacing w:after="0"/>
              <w:rPr>
                <w:sz w:val="21"/>
                <w:szCs w:val="21"/>
                <w:color w:val="auto"/>
              </w:rPr>
            </w:pPr>
          </w:p>
        </w:tc>
      </w:tr>
      <w:tr>
        <w:trPr>
          <w:trHeight w:val="194"/>
        </w:trPr>
        <w:tc>
          <w:tcPr>
            <w:tcW w:w="3300" w:type="dxa"/>
            <w:vAlign w:val="bottom"/>
          </w:tcPr>
          <w:p>
            <w:pPr>
              <w:spacing w:after="0"/>
              <w:rPr>
                <w:sz w:val="16"/>
                <w:szCs w:val="16"/>
                <w:color w:val="auto"/>
              </w:rPr>
            </w:pPr>
          </w:p>
        </w:tc>
        <w:tc>
          <w:tcPr>
            <w:tcW w:w="16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3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Acquired on</w:t>
            </w:r>
          </w:p>
        </w:tc>
        <w:tc>
          <w:tcPr>
            <w:tcW w:w="180" w:type="dxa"/>
            <w:vAlign w:val="bottom"/>
          </w:tcPr>
          <w:p>
            <w:pPr>
              <w:spacing w:after="0"/>
              <w:rPr>
                <w:sz w:val="18"/>
                <w:szCs w:val="18"/>
                <w:color w:val="auto"/>
              </w:rPr>
            </w:pP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7"/>
              </w:rPr>
              <w:t>Value Realized on</w:t>
            </w:r>
          </w:p>
        </w:tc>
        <w:tc>
          <w:tcPr>
            <w:tcW w:w="80" w:type="dxa"/>
            <w:vAlign w:val="bottom"/>
          </w:tcPr>
          <w:p>
            <w:pPr>
              <w:spacing w:after="0"/>
              <w:rPr>
                <w:sz w:val="18"/>
                <w:szCs w:val="18"/>
                <w:color w:val="auto"/>
              </w:rPr>
            </w:pPr>
          </w:p>
        </w:tc>
      </w:tr>
      <w:tr>
        <w:trPr>
          <w:trHeight w:val="238"/>
        </w:trPr>
        <w:tc>
          <w:tcPr>
            <w:tcW w:w="3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Exercise(#)</w:t>
            </w:r>
          </w:p>
        </w:tc>
        <w:tc>
          <w:tcPr>
            <w:tcW w:w="180" w:type="dxa"/>
            <w:vAlign w:val="bottom"/>
          </w:tcPr>
          <w:p>
            <w:pPr>
              <w:spacing w:after="0"/>
              <w:rPr>
                <w:sz w:val="20"/>
                <w:szCs w:val="20"/>
                <w:color w:val="auto"/>
              </w:rPr>
            </w:pPr>
          </w:p>
        </w:tc>
        <w:tc>
          <w:tcPr>
            <w:tcW w:w="15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80" w:type="dxa"/>
            <w:vAlign w:val="bottom"/>
          </w:tcPr>
          <w:p>
            <w:pPr>
              <w:spacing w:after="0"/>
              <w:rPr>
                <w:sz w:val="20"/>
                <w:szCs w:val="20"/>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H. Wang(1)</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297,684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9,630,096</w:t>
            </w:r>
          </w:p>
        </w:tc>
        <w:tc>
          <w:tcPr>
            <w:tcW w:w="80" w:type="dxa"/>
            <w:vAlign w:val="bottom"/>
            <w:shd w:val="clear" w:color="auto" w:fill="CCEEFF"/>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Mark McKechnie</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60,084</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1,517,630</w:t>
            </w:r>
          </w:p>
        </w:tc>
        <w:tc>
          <w:tcPr>
            <w:tcW w:w="80" w:type="dxa"/>
            <w:vAlign w:val="bottom"/>
          </w:tcPr>
          <w:p>
            <w:pPr>
              <w:spacing w:after="0"/>
              <w:rPr>
                <w:sz w:val="18"/>
                <w:szCs w:val="18"/>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Jian Wang</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Lisa Feng</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17,721</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566,823</w:t>
            </w:r>
          </w:p>
        </w:tc>
        <w:tc>
          <w:tcPr>
            <w:tcW w:w="80" w:type="dxa"/>
            <w:vAlign w:val="bottom"/>
          </w:tcPr>
          <w:p>
            <w:pPr>
              <w:spacing w:after="0"/>
              <w:rPr>
                <w:sz w:val="18"/>
                <w:szCs w:val="18"/>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Fuping Chen</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3,966,900</w:t>
            </w:r>
          </w:p>
        </w:tc>
        <w:tc>
          <w:tcPr>
            <w:tcW w:w="80" w:type="dxa"/>
            <w:vAlign w:val="bottom"/>
            <w:shd w:val="clear" w:color="auto" w:fill="CCEEFF"/>
          </w:tcPr>
          <w:p>
            <w:pPr>
              <w:spacing w:after="0"/>
              <w:rPr>
                <w:sz w:val="18"/>
                <w:szCs w:val="18"/>
                <w:color w:val="auto"/>
              </w:rPr>
            </w:pPr>
          </w:p>
        </w:tc>
      </w:tr>
    </w:tbl>
    <w:p>
      <w:pPr>
        <w:ind w:left="2260"/>
        <w:spacing w:after="0"/>
        <w:rPr>
          <w:sz w:val="20"/>
          <w:szCs w:val="20"/>
          <w:color w:val="auto"/>
        </w:rPr>
      </w:pPr>
      <w:r>
        <w:rPr>
          <w:rFonts w:ascii="Times New Roman" w:cs="Times New Roman" w:eastAsia="Times New Roman" w:hAnsi="Times New Roman"/>
          <w:sz w:val="18"/>
          <w:szCs w:val="18"/>
          <w:color w:val="auto"/>
        </w:rPr>
        <w:t>(1) Amount shown is net of the 2,319 shares surrendered in payment of the exercise price.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option awards granted under our 2016 Omnibus Incentive Plan to employees, including NEOs, provide for acceleration upon a change in control, excluding the performance-based stock option granted to David Wang on March 20, 2020. Except for those option arrangements, none of our NEOs is party to a currently effective contract or other arrangement that provides for the acceleration or payment of any benefits in the event of a change in control of our company or the termination of the NEO’s employment, whether or not the termination occurs within a specified time period after the occurrence of a change in control.</w:t>
      </w:r>
    </w:p>
    <w:p>
      <w:pPr>
        <w:sectPr>
          <w:pgSz w:w="11900" w:h="16838" w:orient="portrait"/>
          <w:cols w:equalWidth="0" w:num="1">
            <w:col w:w="11240"/>
          </w:cols>
          <w:pgMar w:left="320" w:top="121" w:right="339" w:bottom="241" w:gutter="0" w:footer="0" w:header="0"/>
        </w:sect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241" w:gutter="0" w:footer="0" w:header="0"/>
          <w:type w:val="continuous"/>
        </w:sectPr>
      </w:pPr>
    </w:p>
    <w:bookmarkStart w:id="16" w:name="page17"/>
    <w:bookmarkEnd w:id="16"/>
    <w:p>
      <w:pPr>
        <w:spacing w:after="0" w:line="282" w:lineRule="auto"/>
        <w:rPr>
          <w:sz w:val="20"/>
          <w:szCs w:val="20"/>
          <w:color w:val="auto"/>
        </w:rPr>
      </w:pPr>
      <w:r>
        <w:rPr>
          <w:rFonts w:ascii="Times New Roman" w:cs="Times New Roman" w:eastAsia="Times New Roman" w:hAnsi="Times New Roman"/>
          <w:sz w:val="18"/>
          <w:szCs w:val="18"/>
          <w:color w:val="auto"/>
        </w:rPr>
        <w:t>NEOs based in the PRC, who include all NEOs other than U.S.-based Mark McKechnie, may be entitled to statutory severance as required by applicable law. The amounts below assume a triggering event occurred on December 31, 2021.</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178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8"/>
              </w:rPr>
              <w:t>Termination</w:t>
            </w:r>
          </w:p>
        </w:tc>
        <w:tc>
          <w:tcPr>
            <w:tcW w:w="180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Change in Control</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 of Equity</w:t>
            </w:r>
          </w:p>
        </w:tc>
      </w:tr>
      <w:tr>
        <w:trPr>
          <w:trHeight w:val="216"/>
        </w:trPr>
        <w:tc>
          <w:tcPr>
            <w:tcW w:w="2000" w:type="dxa"/>
            <w:vAlign w:val="bottom"/>
          </w:tcPr>
          <w:p>
            <w:pPr>
              <w:spacing w:after="0"/>
              <w:rPr>
                <w:sz w:val="18"/>
                <w:szCs w:val="18"/>
                <w:color w:val="auto"/>
              </w:rPr>
            </w:pPr>
          </w:p>
        </w:tc>
        <w:tc>
          <w:tcPr>
            <w:tcW w:w="178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Without</w:t>
            </w:r>
          </w:p>
        </w:tc>
        <w:tc>
          <w:tcPr>
            <w:tcW w:w="18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Termination Upon</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Without Termination or</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Award</w:t>
            </w:r>
          </w:p>
        </w:tc>
      </w:tr>
      <w:tr>
        <w:trPr>
          <w:trHeight w:val="238"/>
        </w:trPr>
        <w:tc>
          <w:tcPr>
            <w:tcW w:w="2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8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8"/>
              </w:rPr>
              <w:t>Cause($)(1)</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Change in Control($)</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Death or Disability($)</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Accelerations($)</w:t>
            </w: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H. Wang</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57,686</w:t>
            </w:r>
          </w:p>
        </w:tc>
        <w:tc>
          <w:tcPr>
            <w:tcW w:w="1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42,336,085</w:t>
            </w:r>
          </w:p>
        </w:tc>
        <w:tc>
          <w:tcPr>
            <w:tcW w:w="2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42,393,771</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1,141,023</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Mark McKechnie</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3,685,150</w:t>
            </w: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3,685,150</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1,847,259</w:t>
            </w: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Jian Wang</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57,686</w:t>
            </w:r>
          </w:p>
        </w:tc>
        <w:tc>
          <w:tcPr>
            <w:tcW w:w="1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4,910,600</w:t>
            </w:r>
          </w:p>
        </w:tc>
        <w:tc>
          <w:tcPr>
            <w:tcW w:w="2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4,968,286</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1,160,757</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Lisa Feng</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24,036</w:t>
            </w: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4,097,300</w:t>
            </w: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4,121,336</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1,238,028</w:t>
            </w: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Fuping Chen</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57,686</w:t>
            </w:r>
          </w:p>
        </w:tc>
        <w:tc>
          <w:tcPr>
            <w:tcW w:w="1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7,327,865</w:t>
            </w:r>
          </w:p>
        </w:tc>
        <w:tc>
          <w:tcPr>
            <w:tcW w:w="2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7,385,551</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372,105</w:t>
            </w:r>
          </w:p>
        </w:tc>
      </w:tr>
    </w:tbl>
    <w:p>
      <w:pPr>
        <w:ind w:left="1140"/>
        <w:spacing w:after="0"/>
        <w:rPr>
          <w:sz w:val="20"/>
          <w:szCs w:val="20"/>
          <w:color w:val="auto"/>
        </w:rPr>
      </w:pPr>
      <w:r>
        <w:rPr>
          <w:rFonts w:ascii="Times New Roman" w:cs="Times New Roman" w:eastAsia="Times New Roman" w:hAnsi="Times New Roman"/>
          <w:sz w:val="18"/>
          <w:szCs w:val="18"/>
          <w:color w:val="auto"/>
        </w:rPr>
        <w:t>(1) Consists of PRC statutorily required severance.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2021 with respect to shares of Class A common stock that may be issued under our equity plans and standalone option grants.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248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rPr>
              <w:t>Number of Securities</w:t>
            </w: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 Securities</w:t>
            </w:r>
          </w:p>
        </w:tc>
      </w:tr>
      <w:tr>
        <w:trPr>
          <w:trHeight w:val="216"/>
        </w:trPr>
        <w:tc>
          <w:tcPr>
            <w:tcW w:w="5040" w:type="dxa"/>
            <w:vAlign w:val="bottom"/>
          </w:tcPr>
          <w:p>
            <w:pPr>
              <w:spacing w:after="0"/>
              <w:rPr>
                <w:sz w:val="18"/>
                <w:szCs w:val="18"/>
                <w:color w:val="auto"/>
              </w:rPr>
            </w:pPr>
          </w:p>
        </w:tc>
        <w:tc>
          <w:tcPr>
            <w:tcW w:w="248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rPr>
              <w:t>to be Issued Upon</w:t>
            </w: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Exercise Price of</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 Available for</w:t>
            </w:r>
          </w:p>
        </w:tc>
      </w:tr>
      <w:tr>
        <w:trPr>
          <w:trHeight w:val="216"/>
        </w:trPr>
        <w:tc>
          <w:tcPr>
            <w:tcW w:w="5040" w:type="dxa"/>
            <w:vAlign w:val="bottom"/>
          </w:tcPr>
          <w:p>
            <w:pPr>
              <w:spacing w:after="0"/>
              <w:rPr>
                <w:sz w:val="18"/>
                <w:szCs w:val="18"/>
                <w:color w:val="auto"/>
              </w:rPr>
            </w:pPr>
          </w:p>
        </w:tc>
        <w:tc>
          <w:tcPr>
            <w:tcW w:w="248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260" w:type="dxa"/>
            <w:vAlign w:val="bottom"/>
          </w:tcPr>
          <w:p>
            <w:pPr>
              <w:spacing w:after="0"/>
              <w:rPr>
                <w:sz w:val="18"/>
                <w:szCs w:val="18"/>
                <w:color w:val="auto"/>
              </w:rPr>
            </w:pPr>
          </w:p>
        </w:tc>
        <w:tc>
          <w:tcPr>
            <w:tcW w:w="13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Future Issuance Under</w:t>
            </w:r>
          </w:p>
        </w:tc>
      </w:tr>
      <w:tr>
        <w:trPr>
          <w:trHeight w:val="216"/>
        </w:trPr>
        <w:tc>
          <w:tcPr>
            <w:tcW w:w="5040" w:type="dxa"/>
            <w:vAlign w:val="bottom"/>
          </w:tcPr>
          <w:p>
            <w:pPr>
              <w:spacing w:after="0"/>
              <w:rPr>
                <w:sz w:val="18"/>
                <w:szCs w:val="18"/>
                <w:color w:val="auto"/>
              </w:rPr>
            </w:pPr>
          </w:p>
        </w:tc>
        <w:tc>
          <w:tcPr>
            <w:tcW w:w="248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 Warrants</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w:t>
            </w:r>
          </w:p>
        </w:tc>
      </w:tr>
      <w:tr>
        <w:trPr>
          <w:trHeight w:val="216"/>
        </w:trPr>
        <w:tc>
          <w:tcPr>
            <w:tcW w:w="5040" w:type="dxa"/>
            <w:vAlign w:val="bottom"/>
          </w:tcPr>
          <w:p>
            <w:pPr>
              <w:spacing w:after="0"/>
              <w:rPr>
                <w:sz w:val="18"/>
                <w:szCs w:val="18"/>
                <w:color w:val="auto"/>
              </w:rPr>
            </w:pPr>
          </w:p>
        </w:tc>
        <w:tc>
          <w:tcPr>
            <w:tcW w:w="248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260" w:type="dxa"/>
            <w:vAlign w:val="bottom"/>
          </w:tcPr>
          <w:p>
            <w:pPr>
              <w:spacing w:after="0"/>
              <w:rPr>
                <w:sz w:val="18"/>
                <w:szCs w:val="18"/>
                <w:color w:val="auto"/>
              </w:rPr>
            </w:pPr>
          </w:p>
        </w:tc>
        <w:tc>
          <w:tcPr>
            <w:tcW w:w="13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and Rights</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Plans(1)</w:t>
            </w:r>
          </w:p>
        </w:tc>
      </w:tr>
      <w:tr>
        <w:trPr>
          <w:trHeight w:val="238"/>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48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260" w:type="dxa"/>
            <w:vAlign w:val="bottom"/>
          </w:tcPr>
          <w:p>
            <w:pPr>
              <w:spacing w:after="0"/>
              <w:rPr>
                <w:sz w:val="20"/>
                <w:szCs w:val="20"/>
                <w:color w:val="auto"/>
              </w:rPr>
            </w:pPr>
          </w:p>
        </w:tc>
        <w:tc>
          <w:tcPr>
            <w:tcW w:w="13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stockholders(2)</w:t>
            </w:r>
          </w:p>
        </w:tc>
        <w:tc>
          <w:tcPr>
            <w:tcW w:w="2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7,887,255</w:t>
            </w:r>
          </w:p>
        </w:tc>
        <w:tc>
          <w:tcPr>
            <w:tcW w:w="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6.36</w:t>
            </w:r>
          </w:p>
        </w:tc>
        <w:tc>
          <w:tcPr>
            <w:tcW w:w="2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3,864,144</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stockholders(3)</w:t>
            </w:r>
          </w:p>
        </w:tc>
        <w:tc>
          <w:tcPr>
            <w:tcW w:w="2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2,582,010</w:t>
            </w:r>
          </w:p>
        </w:tc>
        <w:tc>
          <w:tcPr>
            <w:tcW w:w="26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0.48</w:t>
            </w:r>
          </w:p>
        </w:tc>
        <w:tc>
          <w:tcPr>
            <w:tcW w:w="2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Totals</w:t>
            </w:r>
          </w:p>
        </w:tc>
        <w:tc>
          <w:tcPr>
            <w:tcW w:w="2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10,469,265</w:t>
            </w:r>
          </w:p>
        </w:tc>
        <w:tc>
          <w:tcPr>
            <w:tcW w:w="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4.91</w:t>
            </w:r>
          </w:p>
        </w:tc>
        <w:tc>
          <w:tcPr>
            <w:tcW w:w="2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3,864,144</w:t>
            </w: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of Class A common stock available at December 31, 2021 for awards under our 2016 Omnibus Incentive Plan. Excludes securities reflected in column (a). Under the terms of the 2016 Omnibus Incentive Plan, 2,347,869 shares became available for grant effective as of January 1, 2022.</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awards issued or issuable under our 2016 Omnibus Incentive Plan and 1998 Stock Option Plan.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non-qualified stock option agreements granted between 2007 and 2015 outside of any equity incentive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Pay Ratio</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required by applicable SEC rules, we are providing the following information about the relationship of the annual total compensation of our median compensated employee and the annual total compensation of David Wang, our chief executive officer as of December 31, 2021, or our CEO.</w:t>
      </w:r>
    </w:p>
    <w:p>
      <w:pPr>
        <w:spacing w:after="0" w:line="162" w:lineRule="exact"/>
        <w:rPr>
          <w:sz w:val="20"/>
          <w:szCs w:val="20"/>
          <w:color w:val="auto"/>
        </w:rPr>
      </w:pPr>
    </w:p>
    <w:p>
      <w:pPr>
        <w:jc w:val="both"/>
        <w:ind w:left="340" w:hanging="332"/>
        <w:spacing w:after="0" w:line="261"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permitted by Item 402(u) of Regulation S-K of the SEC, we are using the same median employee as we used in 2020 as there was no material change in 2021 to our employee population, our compensation arrangements or our median employee’s circumstances that we believe would have significantly impacted our pay ratio disclosure. The annual total compensation of our median compensated employee (other than our CEO) in 2020 was $24,029.</w:t>
      </w:r>
    </w:p>
    <w:p>
      <w:pPr>
        <w:spacing w:after="0" w:line="179"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our CEO’s annual total compensation, we used the amount reported in the “Total” column of the table included under “—Executive Compensation Table” above. The annual total compensation of our CEO, for the purposes of this disclosure, was $398,876.</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Based on this information, for 2021 the ratio of the annual total compensation of our CEO to the annual total compensation of our median compensated employee was 16.6 to 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took the following steps to identify, and to determine the annual total compensation of, our median compensated employee for 2020:</w:t>
      </w:r>
    </w:p>
    <w:p>
      <w:pPr>
        <w:spacing w:after="0" w:line="225" w:lineRule="exact"/>
        <w:rPr>
          <w:sz w:val="20"/>
          <w:szCs w:val="20"/>
          <w:color w:val="auto"/>
        </w:rPr>
      </w:pPr>
    </w:p>
    <w:p>
      <w:pPr>
        <w:ind w:left="34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determined that, as of December 31, 2020, our employee population consisted of 543 individuals. This population consisted of our full-time, part-time and temporary employees employed with us as of the determination date.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both"/>
        <w:ind w:left="340" w:hanging="332"/>
        <w:spacing w:after="0" w:line="261"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identify the “median employee” from our employee population, we aggregated for each applicable employee, other than our CEO, (a) annual base salary (or hourly rate multiplied by estimated work schedule, for hourly employees), (b) the bonus amount earned for 2020, which was paid out in early 2021, and (c) the grant date fair value of equity awards granted in 2020. Once aggregated, we ranked this compensation measure for our employees from lowest to highest and selected the median employee.</w:t>
      </w:r>
    </w:p>
    <w:p>
      <w:pPr>
        <w:spacing w:after="0" w:line="179"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annual total compensation of our median employee, we identified and calculated the elements of that employee’s compensation for 2020 in accordance with the requirements of Item 402(c)(2)(x) of Regulation S-K of the SEC, resulting in annual total compensation of $24,029.</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pay ratio reported above is a reasonable estimate calculated in a manner consistent with SEC rules based on our internal records and the methodology described above. SEC rules for identifying the median compensated employee and calculating the pay ratio based on that employee’s annual total compensation allow companies to adopt a variety of methodologies, to apply certain exclusions, and to make reasonable estimates and assumptions reflecting their employee populations and compensation practices. The pay ratios reported by other companies may not be comparable to the pay ratio reported above, as those companies have different employee populations and compensation practices and may utilize different methodologies, exclusions, estimates and assumptions in calculating their pay ratios.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director compensation program is intended to enhance our ability to attract, retain and motivate non-employee directors of exceptional ability and to promote the common interest of directors and stockholders in enhancing the value of the common stock. The board of directors reviews director compensation periodically based on recommendations by the nominating and governance committee. The nominating and governance committee has the sole authority to engage a consulting firm to evaluate director compensation.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2017 the board adopted a director compensation policy with respect to the compensation payable to our qualified non-employee directors, which became effective upon the completion of our initial public offering on November 7, 2017. Under this policy, each qualifying non-employee director is eligible to receive compensation for board and committee service consisting of annual cash retainers and equity awards covering Class A common stock. Our qualifying non-employee directors received the following annual cash retainers for their service through December 31, 2021:</w:t>
      </w:r>
    </w:p>
    <w:p>
      <w:pPr>
        <w:spacing w:after="0" w:line="176"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608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DIRECTOR ANNUAL CASH RETAINERS</w:t>
            </w:r>
          </w:p>
        </w:tc>
        <w:tc>
          <w:tcPr>
            <w:tcW w:w="6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8"/>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68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Retainer</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Lead Director</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20,000</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Other Directors</w:t>
            </w:r>
          </w:p>
        </w:tc>
        <w:tc>
          <w:tcPr>
            <w:tcW w:w="6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Committee Chair</w:t>
            </w:r>
          </w:p>
        </w:tc>
        <w:tc>
          <w:tcPr>
            <w:tcW w:w="6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4,000</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Other Audit Committee Members</w:t>
            </w:r>
          </w:p>
        </w:tc>
        <w:tc>
          <w:tcPr>
            <w:tcW w:w="6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3,000</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Committee Chair</w:t>
            </w:r>
          </w:p>
        </w:tc>
        <w:tc>
          <w:tcPr>
            <w:tcW w:w="6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4,000</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Other Compensation Committee Members</w:t>
            </w:r>
          </w:p>
        </w:tc>
        <w:tc>
          <w:tcPr>
            <w:tcW w:w="6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3,000</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Nominating and Governance Committee Chair</w:t>
            </w:r>
          </w:p>
        </w:tc>
        <w:tc>
          <w:tcPr>
            <w:tcW w:w="6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4,000</w:t>
            </w:r>
          </w:p>
        </w:tc>
      </w:t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Other Nominating and Governance Committee Members</w:t>
            </w:r>
          </w:p>
        </w:tc>
        <w:tc>
          <w:tcPr>
            <w:tcW w:w="68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3,000</w:t>
            </w:r>
          </w:p>
        </w:tc>
      </w:tr>
    </w:tbl>
    <w:p>
      <w:pPr>
        <w:spacing w:after="0" w:line="179"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The director compensation policy generally contemplates that each qualifying non-employee director will receive equity awards of nonqualified stock options upon his or her initial election to the board, subject to the director’s ability to accept such compensation. These nonqualified stock options are subject to vesting contingent upon continued board service through the following year’s annual meeting of stockholders. Additionally, on the date of each annual meeting of stockholders, each qualifying non-employee director who is continuing his or her board service following the date of the then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annual meeting of stockholders, receives an equity award of nonqualified stock options subject to vesting contingent upon continued board service through the following year’s annual meeting of stockholders. The effective date of the grant and the strike price of the grant will be set as the closing price of our common stock on the day of the annual stockholder meeting. With respect to the year ended December 31, 2021, the board did not grant the equity awards contemplated by the director compensation policy but instead approved the grants reflected in the “2021 Director Compensation” table below.</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Directors may be reimbursed for reasonable out-of-pocket expenses incurred in attending board and committee meetings.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Yinan Xiang has not received annual cash retainers or annual equity compensation under the director compensation policy. Prior to our 2021 annual stockholder meeting, she was not eligible for such compensation because she was designated for nomination to the board pursuant to a director nomination agreement. Following our 2021 annual stockholder meeting, Ms. Xiang agreed that she would not receive annual cash retainers or annual equity compensation in connection with her board service.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the total compensation for non-employee directors during 2021. David Wang, our sole executive officer who served as a member of the board during 2021, did not receive any additional compensation for such service as a director.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DIRECTOR COMPENSATION</w:t>
      </w:r>
    </w:p>
    <w:p>
      <w:pPr>
        <w:spacing w:after="0" w:line="31" w:lineRule="exact"/>
        <w:rPr>
          <w:sz w:val="20"/>
          <w:szCs w:val="20"/>
          <w:color w:val="auto"/>
        </w:rPr>
      </w:pPr>
    </w:p>
    <w:tbl>
      <w:tblPr>
        <w:tblLayout w:type="fixed"/>
        <w:tblInd w:w="1140" w:type="dxa"/>
        <w:tblCellMar>
          <w:top w:w="0" w:type="dxa"/>
          <w:left w:w="0" w:type="dxa"/>
          <w:bottom w:w="0" w:type="dxa"/>
          <w:right w:w="0" w:type="dxa"/>
        </w:tblCellMar>
      </w:tblPr>
      <w:tr>
        <w:trPr>
          <w:trHeight w:val="201"/>
        </w:trPr>
        <w:tc>
          <w:tcPr>
            <w:tcW w:w="3000" w:type="dxa"/>
            <w:vAlign w:val="bottom"/>
            <w:tcBorders>
              <w:top w:val="single" w:sz="8" w:color="auto"/>
            </w:tcBorders>
          </w:tcPr>
          <w:p>
            <w:pPr>
              <w:spacing w:after="0"/>
              <w:rPr>
                <w:sz w:val="17"/>
                <w:szCs w:val="17"/>
                <w:color w:val="auto"/>
              </w:rPr>
            </w:pPr>
          </w:p>
        </w:tc>
        <w:tc>
          <w:tcPr>
            <w:tcW w:w="2940" w:type="dxa"/>
            <w:vAlign w:val="bottom"/>
            <w:tcBorders>
              <w:top w:val="single" w:sz="8" w:color="auto"/>
            </w:tcBorders>
            <w:gridSpan w:val="2"/>
          </w:tcPr>
          <w:p>
            <w:pPr>
              <w:jc w:val="right"/>
              <w:ind w:right="50"/>
              <w:spacing w:after="0" w:line="201" w:lineRule="exact"/>
              <w:rPr>
                <w:sz w:val="20"/>
                <w:szCs w:val="20"/>
                <w:color w:val="auto"/>
              </w:rPr>
            </w:pPr>
            <w:r>
              <w:rPr>
                <w:rFonts w:ascii="Times New Roman" w:cs="Times New Roman" w:eastAsia="Times New Roman" w:hAnsi="Times New Roman"/>
                <w:sz w:val="18"/>
                <w:szCs w:val="18"/>
                <w:b w:val="1"/>
                <w:bCs w:val="1"/>
                <w:color w:val="auto"/>
              </w:rPr>
              <w:t>Fees Earned or</w:t>
            </w:r>
          </w:p>
        </w:tc>
        <w:tc>
          <w:tcPr>
            <w:tcW w:w="6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r>
      <w:tr>
        <w:trPr>
          <w:trHeight w:val="238"/>
        </w:trPr>
        <w:tc>
          <w:tcPr>
            <w:tcW w:w="3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29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Paid in Cash($)</w:t>
            </w:r>
          </w:p>
        </w:tc>
        <w:tc>
          <w:tcPr>
            <w:tcW w:w="18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Stock Awards($)(1)</w:t>
            </w:r>
          </w:p>
        </w:tc>
        <w:tc>
          <w:tcPr>
            <w:tcW w:w="240" w:type="dxa"/>
            <w:vAlign w:val="bottom"/>
          </w:tcPr>
          <w:p>
            <w:pPr>
              <w:spacing w:after="0"/>
              <w:rPr>
                <w:sz w:val="20"/>
                <w:szCs w:val="20"/>
                <w:color w:val="auto"/>
              </w:rPr>
            </w:pP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Haiping Dun(2)</w:t>
            </w:r>
          </w:p>
        </w:tc>
        <w:tc>
          <w:tcPr>
            <w:tcW w:w="20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27,000</w:t>
            </w:r>
          </w:p>
        </w:tc>
        <w:tc>
          <w:tcPr>
            <w:tcW w:w="6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241,233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268,233</w:t>
            </w: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Chenming C. Hu(2)</w:t>
            </w:r>
          </w:p>
        </w:tc>
        <w:tc>
          <w:tcPr>
            <w:tcW w:w="20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19,000</w:t>
            </w:r>
          </w:p>
        </w:tc>
        <w:tc>
          <w:tcPr>
            <w:tcW w:w="6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241,233</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260,233</w:t>
            </w: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Tracy Liu(2)</w:t>
            </w:r>
          </w:p>
        </w:tc>
        <w:tc>
          <w:tcPr>
            <w:tcW w:w="20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241,233</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266,233</w:t>
            </w:r>
          </w:p>
        </w:tc>
      </w:tr>
      <w:tr>
        <w:trPr>
          <w:trHeight w:val="23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Yinan Xiang</w:t>
            </w:r>
          </w:p>
        </w:tc>
        <w:tc>
          <w:tcPr>
            <w:tcW w:w="20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jc w:val="both"/>
        <w:ind w:left="340" w:hanging="332"/>
        <w:spacing w:after="0" w:line="253"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amounts shown represent the aggregate grant date fair value of stock awards granted on February 22, 2021 in accordance with Financial Accounting Standards Board Accounting Standards Codification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The amounts do not necessarily correspond to the actual amounts that will be earned by the directors. For assumptions made in valuing these awards and related information, see Note 2 to our consolidated financial statements included in the 2021 Form 10-K. As of December 31, 2021, (a) Dr. Dun held stock options for 605,001 shares of Class A common stock and 69,230 shares of ACM Shanghai, (b) Dr. Hu held stock options for 15,000 shares of Class A common stock, (c) Ms. Liu held stock options for 162,000 shares of Class A common stock, and (d) Ms. Xiang did not hold any equity awards.</w:t>
      </w:r>
    </w:p>
    <w:p>
      <w:pPr>
        <w:spacing w:after="0" w:line="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of a board committee during 2021.</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Beneficial Ownership of Common Stock</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number of outstanding shares of Class A and Class B common stock beneficially owned, and the percentage of each class beneficially owned, as of April 7, 2022 by:</w:t>
      </w:r>
    </w:p>
    <w:p>
      <w:pPr>
        <w:spacing w:after="0" w:line="162" w:lineRule="exact"/>
        <w:rPr>
          <w:sz w:val="20"/>
          <w:szCs w:val="20"/>
          <w:color w:val="auto"/>
        </w:rPr>
      </w:pPr>
    </w:p>
    <w:p>
      <w:pPr>
        <w:ind w:left="3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be the beneficial owner of more than five percent of the then-outstanding Class A common stock (on an as-converted basis) or the then-outstanding Class B common stock;</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directors and each of the NEOs;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number of shares of Class A and Class B common stock beneficially owned by each person is determined under the rules of the SEC. Under these rules, beneficial ownership includes any shares as to which the individual has sole or shared voting power or investment power and also any shares that the individual has the right to acquire by June 6, 2022 (sixty days after April 7, 2022) through the exercise or conversion of a security or other right. As of April 7, 2022, there were 54,035,280 shares of Class A common stock outstanding and 5,086,812 shares of Class B common stock outstanding. Unless otherwise indicated, each person has sole investment and voting power, or shares such power with a family member, with respect to the shares set forth in the following table. The inclusion in this table of any shares deemed beneficially owned does not constitute an admission of beneficial ownership of those shares for any other purpose.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Class A(1)</w:t>
            </w:r>
          </w:p>
        </w:tc>
        <w:tc>
          <w:tcPr>
            <w:tcW w:w="72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78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 of Total</w:t>
            </w:r>
          </w:p>
        </w:tc>
      </w:tr>
      <w:tr>
        <w:trPr>
          <w:trHeight w:val="180"/>
        </w:trPr>
        <w:tc>
          <w:tcPr>
            <w:tcW w:w="4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center"/>
              <w:ind w:right="70"/>
              <w:spacing w:after="0" w:line="180" w:lineRule="exact"/>
              <w:rPr>
                <w:sz w:val="20"/>
                <w:szCs w:val="20"/>
                <w:color w:val="auto"/>
              </w:rPr>
            </w:pPr>
            <w:r>
              <w:rPr>
                <w:rFonts w:ascii="Times New Roman" w:cs="Times New Roman" w:eastAsia="Times New Roman" w:hAnsi="Times New Roman"/>
                <w:sz w:val="18"/>
                <w:szCs w:val="18"/>
                <w:b w:val="1"/>
                <w:bCs w:val="1"/>
                <w:color w:val="auto"/>
                <w:w w:val="96"/>
              </w:rPr>
              <w:t>Voting</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Beneficial Owner</w:t>
            </w:r>
          </w:p>
        </w:tc>
        <w:tc>
          <w:tcPr>
            <w:tcW w:w="1700" w:type="dxa"/>
            <w:vAlign w:val="bottom"/>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7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8"/>
                <w:szCs w:val="18"/>
                <w:color w:val="auto"/>
              </w:rPr>
            </w:pPr>
          </w:p>
        </w:tc>
        <w:tc>
          <w:tcPr>
            <w:tcW w:w="164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Power(2)</w:t>
            </w:r>
          </w:p>
        </w:tc>
      </w:tr>
      <w:tr>
        <w:trPr>
          <w:trHeight w:val="245"/>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5% Stockholders</w:t>
            </w:r>
          </w:p>
        </w:tc>
        <w:tc>
          <w:tcPr>
            <w:tcW w:w="1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16"/>
        </w:trPr>
        <w:tc>
          <w:tcPr>
            <w:tcW w:w="4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Yiheng Capital Partners, L.P.(3)</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4,245,300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w:t>
            </w:r>
          </w:p>
        </w:tc>
        <w:tc>
          <w:tcPr>
            <w:tcW w:w="1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Morgan Stanley (4)</w:t>
            </w:r>
          </w:p>
        </w:tc>
        <w:tc>
          <w:tcPr>
            <w:tcW w:w="17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3,787,575</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7.0</w:t>
            </w:r>
          </w:p>
        </w:tc>
        <w:tc>
          <w:tcPr>
            <w:tcW w:w="1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2.4</w:t>
            </w:r>
          </w:p>
        </w:tc>
      </w:tr>
      <w:tr>
        <w:trPr>
          <w:trHeight w:val="198"/>
        </w:trPr>
        <w:tc>
          <w:tcPr>
            <w:tcW w:w="45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Shanghai Science and Technology Venture Capital Co., Ltd.</w:t>
            </w:r>
          </w:p>
        </w:tc>
        <w:tc>
          <w:tcPr>
            <w:tcW w:w="17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34"/>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3,438,510</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6.4</w:t>
            </w:r>
          </w:p>
        </w:tc>
        <w:tc>
          <w:tcPr>
            <w:tcW w:w="1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Pudong Science and Technology (Cayman) Co., Ltd.(6)</w:t>
            </w:r>
          </w:p>
        </w:tc>
        <w:tc>
          <w:tcPr>
            <w:tcW w:w="17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3,358,728</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6.2</w:t>
            </w:r>
          </w:p>
        </w:tc>
        <w:tc>
          <w:tcPr>
            <w:tcW w:w="1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4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 and Directors</w:t>
            </w:r>
          </w:p>
        </w:tc>
        <w:tc>
          <w:tcPr>
            <w:tcW w:w="12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H. Wang(7)</w:t>
            </w:r>
          </w:p>
        </w:tc>
        <w:tc>
          <w:tcPr>
            <w:tcW w:w="17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8,477,688</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15.7</w:t>
            </w:r>
          </w:p>
        </w:tc>
        <w:tc>
          <w:tcPr>
            <w:tcW w:w="1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4,166,808</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81.9%</w:t>
            </w: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58.9</w:t>
            </w: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Yinan Xiang(8)</w:t>
            </w:r>
          </w:p>
        </w:tc>
        <w:tc>
          <w:tcPr>
            <w:tcW w:w="1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3,438,510</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6.4</w:t>
            </w:r>
          </w:p>
        </w:tc>
        <w:tc>
          <w:tcPr>
            <w:tcW w:w="1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Haiping Dun(9)</w:t>
            </w:r>
          </w:p>
        </w:tc>
        <w:tc>
          <w:tcPr>
            <w:tcW w:w="17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1,708,839</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w:t>
            </w:r>
          </w:p>
        </w:tc>
        <w:tc>
          <w:tcPr>
            <w:tcW w:w="1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300,000</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5.9</w:t>
            </w: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Jian Wang(10)</w:t>
            </w:r>
          </w:p>
        </w:tc>
        <w:tc>
          <w:tcPr>
            <w:tcW w:w="1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587,535</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w:t>
            </w:r>
          </w:p>
        </w:tc>
        <w:tc>
          <w:tcPr>
            <w:tcW w:w="1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150,003</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w:t>
            </w: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Chenming Hu(11)</w:t>
            </w:r>
          </w:p>
        </w:tc>
        <w:tc>
          <w:tcPr>
            <w:tcW w:w="17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278,310</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Fuping Chen</w:t>
            </w:r>
          </w:p>
        </w:tc>
        <w:tc>
          <w:tcPr>
            <w:tcW w:w="1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Tracy Liu(12)</w:t>
            </w:r>
          </w:p>
        </w:tc>
        <w:tc>
          <w:tcPr>
            <w:tcW w:w="17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190,248</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Lisa Feng(13)</w:t>
            </w:r>
          </w:p>
        </w:tc>
        <w:tc>
          <w:tcPr>
            <w:tcW w:w="1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187,809</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McKechnie(14)</w:t>
            </w:r>
          </w:p>
        </w:tc>
        <w:tc>
          <w:tcPr>
            <w:tcW w:w="17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95,538</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5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All directors and executive officers as a group (10 persons)</w:t>
            </w:r>
          </w:p>
        </w:tc>
        <w:tc>
          <w:tcPr>
            <w:tcW w:w="17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34"/>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15,453,135</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28.6%</w:t>
            </w:r>
          </w:p>
        </w:tc>
        <w:tc>
          <w:tcPr>
            <w:tcW w:w="1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4,616,811</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90.8%</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r>
    </w:tbl>
    <w:p>
      <w:pPr>
        <w:spacing w:after="0" w:line="19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Less than 1%.</w:t>
      </w:r>
    </w:p>
    <w:p>
      <w:pPr>
        <w:spacing w:after="0" w:line="225" w:lineRule="exact"/>
        <w:rPr>
          <w:sz w:val="20"/>
          <w:szCs w:val="20"/>
          <w:color w:val="auto"/>
        </w:rPr>
      </w:pPr>
    </w:p>
    <w:p>
      <w:pPr>
        <w:ind w:left="340" w:right="2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number of shares of Class A common stock issuable upon conversion of shares of Class B common stock, which are convertible at any time into shares of Class A common stock.</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of total voting power represents voting power with respect to all shares of Class A and Class B common stock, voting as a single class. Holders are entitled to one vote per share of Class A common stock and twenty votes per share of Class B common stock.</w:t>
      </w:r>
    </w:p>
    <w:p>
      <w:pPr>
        <w:spacing w:after="0" w:line="1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[Footnotes continued on next page]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jc w:val="both"/>
        <w:ind w:left="340" w:hanging="332"/>
        <w:spacing w:after="0" w:line="266"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 filed with the SEC on February 14, 2022 by Yiheng Capital Management, L.P. Yiheng Capital Management, L.P. has shared voting power over 4,245,300 shares and shared dispositive power over 4,245,300 shares. The address of Yiheng Capital Partners, L.P. is 101 California Street, Suite 2880, San Francisco, California 94111.</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13G/A filed with the SEC on February 9, 2022 by Morgan Stanley. Morgan Stanley has shared voting power over 3,787,575 shares and shared dispositive power over 3,787,575 shares. The address of Morgan Stanley is 1585 Broadway New York, New York 10036.</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Weiguo Shen is the Chairman and General Manager of Shanghai Science and Technology Venture Co., Ltd., or SSTVC, and may be deemed to beneficially own the shares held by SSTVC. The address of SSTVC and Mr. Shen is Floor 39, #669 Xin Zha Road, Jing An District, Shanghai, PRC.</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Pudong Science and Technology (Cayman) Co., Ltd., or PST, is a wholly owned subsidiary of Shanghai Pudong High-Tech Investment Co., Ltd. Long Ji is the Corporate Representative of Pudong High-Tech Investment Co., Ltd. and may be deemed to beneficially own the shares held by PST. The address of PST, its parent and Mr. Ji is No. 439, 13 Building, Chunxiao Road, Zhangjiang Hi-tech Park, Pudong District, Shanghai.</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620,001 shares of Class A common stock held by Dr. Wang and Jing Chen, as Trustees for the Wang-Chen Family Living Trust; (b) 180,000 shares of Class A common stock held by Dr. Wang and Jing Chen, as Trustees for The David Hui Wang and Jing Chen Family Irrevocable Trust for Wang Children; (c) 100,02 shares held by Dr. Wang’s wife, Jing Chen; (d) 45,837 shares of Class A common stock held by Dr. Wang’s daughter, Sophia Wang; (e) 4,166,808 shares of Class A common stock issuable upon conversion of Class B common stock, of which shares of Class B common stock a total of 352,002 are held by Dr. Wang’s son, Brian Wang, 352,002 are held by Dr. Wang’s daughter, Sophia Wang, and 22,002 are held by Dr. Wang and Jing Chen, as Trustees for The David Hui Wang and Jing Chen Family Irrevocable Trust for Wang Children; and (d) 2,861,022 shares of Class A common stock issuable upon the exercise of options exercisable by June 6, 2022.</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owned by SSTVC (see note (5) above). See “Item 10. Directors, Executive Officers and Corporate Governance¾Background of Directors” for biographical information with respect to Ms. Xiang, including her employment relationship with SSTVC. Ms. Xiang disclaims beneficial ownership of the shares beneficially owned by SSTVC except to the extent of her pecuniary interest therein.</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553,749 shares of Class A common stock issuable under options exercisable by June 6, 2022 and (b) 300,000 shares of Class A common stock issuable upon conversion of Class B common stock.</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184,374 shares of Class A common stock issuable under options exercisable by June 6, 2022 and (b) 150,003 shares of Class A common stock issuable upon conversion of Class B common stock.</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15,000 shares of Class A common stock issuable under options exercisable by June 6, 2022.</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148,248 shares of Class A common stock issuable under options exercisable by June 6, 2022.</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137,808 shares of Class A common stock exercisable under options by June 6, 2022.</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94,638 shares of Class A common stock exercisable under options by June 6, 2022.</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4,353,495 shares of Class A common stock issuable under options exercisable by June 6, 2022, (b) 4,616,811 shares of Class A common stock issuable upon conversion of Class B common stock and (c) shares held jointly, indirectly and/or in trust.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indicated, the address of all individuals listed above is c/o ACM Research, Inc., 42307 Osgood Road, Suite I, Fremont, California 94539.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Section 16(a) of the Securities Exchange Act requires our executive officers and directors and any persons owning ten percent or more of our Class A common stock to file reports with the SEC to report their beneficial ownership of and transactions in our securities and to furnish us with copies of the reports.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solely upon a review of the Section 16(a) reports furnished to us, along with written representations from our executive officers and directors, we believe that all required reports were timely filed during 2021, except that Haiping Dun, Chenming Hu and Tracy Liu each inadvertently failed to file one report, and as a result one transaction was not reported on a timely basis.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Procedures for Approval of Related Person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“Item 10. Directors, Executive Officers and Corporate Governance-Corporate Governance and Board Structure” and “—Board Committees.”</w:t>
      </w:r>
    </w:p>
    <w:p>
      <w:pPr>
        <w:spacing w:after="0" w:line="23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Independence of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“Item 10. Directors, Executive Officers and Corporate Governance-Corporate Governance and Board Structure” and “—Board Committees.”</w:t>
      </w:r>
    </w:p>
    <w:p>
      <w:pPr>
        <w:spacing w:after="0" w:line="200" w:lineRule="exact"/>
        <w:rPr>
          <w:sz w:val="20"/>
          <w:szCs w:val="20"/>
          <w:color w:val="auto"/>
        </w:rPr>
      </w:pPr>
    </w:p>
    <w:p>
      <w:pPr>
        <w:spacing w:after="0" w:line="20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80"/>
          </w:cols>
          <w:pgMar w:left="320" w:top="117" w:right="1099" w:bottom="1440" w:gutter="0" w:footer="0" w:header="0"/>
        </w:sectPr>
      </w:pPr>
    </w:p>
    <w:bookmarkStart w:id="22" w:name="page23"/>
    <w:bookmarkEnd w:id="22"/>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8"/>
          <w:szCs w:val="18"/>
          <w:b w:val="1"/>
          <w:bCs w:val="1"/>
          <w:color w:val="auto"/>
        </w:rPr>
        <w:t>Principal Accounting Fees and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Independent Auditor Fees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aggregate fees billed to us by BDO China Shu Lun Pan Certified Public Accountants LLP (Shenzhen, China, PCAOB ID 1818) or professional services rendered for the years ended December 31, 2021 and 2020:</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4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Audit Fees(1)</w:t>
            </w:r>
          </w:p>
        </w:tc>
        <w:tc>
          <w:tcPr>
            <w:tcW w:w="37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723,850</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479,225</w:t>
            </w: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Audit-related Fees(2)</w:t>
            </w:r>
          </w:p>
        </w:tc>
        <w:tc>
          <w:tcPr>
            <w:tcW w:w="37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1,579,450</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410,350</w:t>
            </w: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7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2,303,300</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889,575</w:t>
            </w:r>
          </w:p>
        </w:tc>
      </w:tr>
    </w:tbl>
    <w:p>
      <w:pPr>
        <w:spacing w:after="0" w:line="198" w:lineRule="exact"/>
        <w:rPr>
          <w:sz w:val="20"/>
          <w:szCs w:val="20"/>
          <w:color w:val="auto"/>
        </w:rPr>
      </w:pPr>
    </w:p>
    <w:p>
      <w:pPr>
        <w:jc w:val="both"/>
        <w:ind w:left="340" w:right="20" w:hanging="332"/>
        <w:spacing w:after="0" w:line="266"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services relating to the audit of the annual consolidated financial statements of ACM Research and ACM Shanghai, review of quarterly consolidated financial statements, statutory audits, comfort letters, and consents and review of documentation filed with SEC-registered and other securities offerings.</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services relating to the audit of the financial statements of ACM Shanghai in connection with its initial public offering on the Shanghai Stock Exchange’s Sci-Tech innovAtion boaRd.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Policies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audit committee has adopted a policy that requires the audit committee or a member of the audit committee to pre-approve all engagements with our independent auditor. These services include audit services, audit-related services and tax services. Each year, the audit committee must approve the independent auditor’s retention to audit our financial statements, subject to ratification by the stockholders. The audit committee also approves the estimated fees associated with the audit before the audit begins. The audit committee or a member of the audit committee also pre-approves any engagement of an auditing firm other than the independent auditor to perform a statutory audit for any of our subsidiaries.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256" w:lineRule="exact"/>
        <w:rPr>
          <w:sz w:val="20"/>
          <w:szCs w:val="20"/>
          <w:color w:val="auto"/>
        </w:rPr>
      </w:pPr>
    </w:p>
    <w:p>
      <w:pPr>
        <w:ind w:left="500" w:hanging="492"/>
        <w:spacing w:after="0"/>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is filed as part of the 2021 Form 10-K:</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Index to Consolidated Financial Statements in Item 8 of 2021 Form 10-K.</w:t>
      </w:r>
    </w:p>
    <w:p>
      <w:pPr>
        <w:spacing w:after="0" w:line="252" w:lineRule="exact"/>
        <w:rPr>
          <w:sz w:val="20"/>
          <w:szCs w:val="20"/>
          <w:color w:val="auto"/>
        </w:rPr>
      </w:pPr>
    </w:p>
    <w:p>
      <w:pPr>
        <w:ind w:left="500"/>
        <w:spacing w:after="0" w:line="282" w:lineRule="auto"/>
        <w:rPr>
          <w:sz w:val="20"/>
          <w:szCs w:val="20"/>
          <w:color w:val="auto"/>
        </w:rPr>
      </w:pPr>
      <w:r>
        <w:rPr>
          <w:rFonts w:ascii="Times New Roman" w:cs="Times New Roman" w:eastAsia="Times New Roman" w:hAnsi="Times New Roman"/>
          <w:sz w:val="18"/>
          <w:szCs w:val="18"/>
          <w:color w:val="auto"/>
        </w:rPr>
        <w:t>All schedules were omitted because they are not applicable, not required under the instructions, or the requested information is shown in the consolidated financial statements or related notes thereto.</w:t>
      </w:r>
    </w:p>
    <w:p>
      <w:pPr>
        <w:spacing w:after="0" w:line="189" w:lineRule="exact"/>
        <w:rPr>
          <w:sz w:val="20"/>
          <w:szCs w:val="20"/>
          <w:color w:val="auto"/>
        </w:rPr>
      </w:pPr>
    </w:p>
    <w:p>
      <w:pPr>
        <w:ind w:left="500" w:hanging="492"/>
        <w:spacing w:after="0"/>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1140" w:type="dxa"/>
            <w:vAlign w:val="bottom"/>
            <w:gridSpan w:val="6"/>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9780" w:type="dxa"/>
            <w:vAlign w:val="bottom"/>
          </w:tcPr>
          <w:p>
            <w:pPr>
              <w:spacing w:after="0"/>
              <w:rPr>
                <w:sz w:val="18"/>
                <w:szCs w:val="18"/>
                <w:color w:val="auto"/>
              </w:rPr>
            </w:pPr>
          </w:p>
        </w:tc>
      </w:tr>
      <w:tr>
        <w:trPr>
          <w:trHeight w:val="245"/>
        </w:trPr>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4"/>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9780" w:type="dxa"/>
            <w:vAlign w:val="bottom"/>
          </w:tcPr>
          <w:p>
            <w:pPr>
              <w:ind w:left="44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300" w:type="dxa"/>
            <w:vAlign w:val="bottom"/>
            <w:tcBorders>
              <w:top w:val="single" w:sz="8" w:color="auto"/>
            </w:tcBorders>
            <w:gridSpan w:val="6"/>
            <w:shd w:val="clear" w:color="auto" w:fill="CCEEFF"/>
          </w:tcPr>
          <w:p>
            <w:pPr>
              <w:spacing w:after="0" w:line="17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01(a)</w:t>
              </w:r>
            </w:hyperlink>
          </w:p>
        </w:tc>
        <w:tc>
          <w:tcPr>
            <w:tcW w:w="160" w:type="dxa"/>
            <w:vAlign w:val="bottom"/>
            <w:tcBorders>
              <w:top w:val="single" w:sz="8" w:color="CCEEFF"/>
            </w:tcBorders>
            <w:shd w:val="clear" w:color="auto" w:fill="CCEEFF"/>
          </w:tcPr>
          <w:p>
            <w:pPr>
              <w:spacing w:after="0"/>
              <w:rPr>
                <w:sz w:val="15"/>
                <w:szCs w:val="15"/>
                <w:color w:val="auto"/>
              </w:rPr>
            </w:pPr>
          </w:p>
        </w:tc>
        <w:tc>
          <w:tcPr>
            <w:tcW w:w="978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Restated Certificate of Incorporation of ACM Research, Inc. (incorporated herein by reference to Exhibit 3.01 to the Current Report on</w:t>
            </w: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9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8-K filed on November 14, 2017)</w:t>
            </w:r>
          </w:p>
        </w:tc>
      </w:tr>
      <w:tr>
        <w:trPr>
          <w:trHeight w:val="175"/>
        </w:trPr>
        <w:tc>
          <w:tcPr>
            <w:tcW w:w="1460" w:type="dxa"/>
            <w:vAlign w:val="bottom"/>
            <w:gridSpan w:val="7"/>
          </w:tcPr>
          <w:p>
            <w:pPr>
              <w:spacing w:after="0" w:line="17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01(b)</w:t>
              </w:r>
            </w:hyperlink>
          </w:p>
        </w:tc>
        <w:tc>
          <w:tcPr>
            <w:tcW w:w="9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Certificate of Amendment to Restated Certificate of Incorporation of ACM Research, Inc., dated July 13, 2021 (incorporated herein by</w:t>
            </w:r>
          </w:p>
        </w:tc>
      </w:tr>
      <w:tr>
        <w:trPr>
          <w:trHeight w:val="237"/>
        </w:trPr>
        <w:tc>
          <w:tcPr>
            <w:tcW w:w="3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reference to Exhibit 3.01 to the Current Report filed on July 13, 2021)</w:t>
            </w:r>
          </w:p>
        </w:tc>
      </w:tr>
      <w:tr>
        <w:trPr>
          <w:trHeight w:val="176"/>
        </w:trPr>
        <w:tc>
          <w:tcPr>
            <w:tcW w:w="42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02</w:t>
              </w:r>
            </w:hyperlink>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Restated Bylaws of ACM Research, Inc. (incorporated herein by reference to Exhibit 3.02 to the Current Report on Form 8-K filed on</w:t>
            </w:r>
          </w:p>
        </w:tc>
      </w:tr>
      <w:tr>
        <w:trPr>
          <w:trHeight w:val="236"/>
        </w:trPr>
        <w:tc>
          <w:tcPr>
            <w:tcW w:w="3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9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14, 2017)</w:t>
            </w:r>
          </w:p>
        </w:tc>
      </w:tr>
      <w:tr>
        <w:trPr>
          <w:trHeight w:val="176"/>
        </w:trPr>
        <w:tc>
          <w:tcPr>
            <w:tcW w:w="420" w:type="dxa"/>
            <w:vAlign w:val="bottom"/>
            <w:gridSpan w:val="2"/>
          </w:tcPr>
          <w:p>
            <w:pPr>
              <w:spacing w:after="0" w:line="17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01</w:t>
              </w:r>
            </w:hyperlink>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Senior Secured Promissory Note dated March 30, 2018 issued by Shengxin (Shanghai) Management Consulting Limited Partnership to</w:t>
            </w:r>
          </w:p>
        </w:tc>
      </w:tr>
      <w:tr>
        <w:trPr>
          <w:trHeight w:val="218"/>
        </w:trPr>
        <w:tc>
          <w:tcPr>
            <w:tcW w:w="320" w:type="dxa"/>
            <w:vAlign w:val="bottom"/>
            <w:tcBorders>
              <w:top w:val="single" w:sz="8" w:color="0000EE"/>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ACM Research (Shanghai), Inc. (incorporated herein by reference to Exhibit 10.03 to the Quarterly Report on Form 10-Q filed on May</w:t>
            </w:r>
          </w:p>
        </w:tc>
      </w:tr>
      <w:tr>
        <w:trPr>
          <w:trHeight w:val="234"/>
        </w:trPr>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14, 2018)</w:t>
            </w:r>
          </w:p>
        </w:tc>
      </w:tr>
      <w:tr>
        <w:trPr>
          <w:trHeight w:val="175"/>
        </w:trPr>
        <w:tc>
          <w:tcPr>
            <w:tcW w:w="42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02</w:t>
              </w:r>
            </w:hyperlink>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Intercompany Promissory Note dated March 30, 2018 issued by ACM Research (Shanghai), Inc. to ACM Research, Inc. (incorporated</w:t>
            </w: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9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herein by reference to Exhibit 10.04 to the Quarterly Report on Form 10-Q filed on May 14, 2018)</w:t>
            </w:r>
          </w:p>
        </w:tc>
      </w:tr>
      <w:tr>
        <w:trPr>
          <w:trHeight w:val="176"/>
        </w:trPr>
        <w:tc>
          <w:tcPr>
            <w:tcW w:w="420" w:type="dxa"/>
            <w:vAlign w:val="bottom"/>
            <w:gridSpan w:val="2"/>
          </w:tcPr>
          <w:p>
            <w:pPr>
              <w:spacing w:after="0" w:line="17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03</w:t>
              </w:r>
            </w:hyperlink>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w w:val="99"/>
              </w:rPr>
              <w:t>Warrant Exercise Agreement dated March 30, 2018 by and among ACM Research, Inc., ACM Research (Shanghai), Inc., and Shengxin</w:t>
            </w:r>
          </w:p>
        </w:tc>
      </w:tr>
      <w:tr>
        <w:trPr>
          <w:trHeight w:val="218"/>
        </w:trPr>
        <w:tc>
          <w:tcPr>
            <w:tcW w:w="320" w:type="dxa"/>
            <w:vAlign w:val="bottom"/>
            <w:tcBorders>
              <w:top w:val="single" w:sz="8" w:color="0000EE"/>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(Shanghai) Management Consulting Limited Partnership (incorporated herein by reference to Exhibit 10.02 to the Quarterly Report on</w:t>
            </w:r>
          </w:p>
        </w:tc>
      </w:tr>
      <w:tr>
        <w:trPr>
          <w:trHeight w:val="234"/>
        </w:trPr>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Form 10-Q filed on May 14, 2018)</w:t>
            </w:r>
          </w:p>
        </w:tc>
      </w:tr>
      <w:tr>
        <w:trPr>
          <w:trHeight w:val="175"/>
        </w:trPr>
        <w:tc>
          <w:tcPr>
            <w:tcW w:w="1460" w:type="dxa"/>
            <w:vAlign w:val="bottom"/>
            <w:gridSpan w:val="7"/>
            <w:shd w:val="clear" w:color="auto" w:fill="CCEEFF"/>
          </w:tcPr>
          <w:p>
            <w:pPr>
              <w:spacing w:after="0" w:line="17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04‡</w:t>
              </w:r>
            </w:hyperlink>
          </w:p>
        </w:tc>
        <w:tc>
          <w:tcPr>
            <w:tcW w:w="9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Warrant to Purchase Class A Common Stock issued to Shengxin (Shanghai) Management Consulting Limited Partnership dated July</w:t>
            </w:r>
          </w:p>
        </w:tc>
      </w:tr>
      <w:tr>
        <w:trPr>
          <w:trHeight w:val="236"/>
        </w:trPr>
        <w:tc>
          <w:tcPr>
            <w:tcW w:w="3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9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29, 2020 (incorporated herein by reference to Exhibit 4.01 to the Quarterly Report on Form 10-Q filed on August 10, 2020)</w:t>
            </w:r>
          </w:p>
        </w:tc>
      </w:tr>
      <w:tr>
        <w:trPr>
          <w:trHeight w:val="176"/>
        </w:trPr>
        <w:tc>
          <w:tcPr>
            <w:tcW w:w="420" w:type="dxa"/>
            <w:vAlign w:val="bottom"/>
            <w:gridSpan w:val="2"/>
          </w:tcPr>
          <w:p>
            <w:pPr>
              <w:spacing w:after="0" w:line="17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05</w:t>
              </w:r>
            </w:hyperlink>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Description of ACM Research, Inc.’s Securities</w:t>
            </w:r>
          </w:p>
        </w:tc>
      </w:tr>
      <w:tr>
        <w:trPr>
          <w:trHeight w:val="20"/>
        </w:trPr>
        <w:tc>
          <w:tcPr>
            <w:tcW w:w="3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r>
      <w:tr>
        <w:trPr>
          <w:trHeight w:val="175"/>
        </w:trPr>
        <w:tc>
          <w:tcPr>
            <w:tcW w:w="1460" w:type="dxa"/>
            <w:vAlign w:val="bottom"/>
            <w:gridSpan w:val="7"/>
            <w:shd w:val="clear" w:color="auto" w:fill="CCEEFF"/>
          </w:tcPr>
          <w:p>
            <w:pPr>
              <w:spacing w:after="0" w:line="17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01(a)</w:t>
              </w:r>
            </w:hyperlink>
          </w:p>
        </w:tc>
        <w:tc>
          <w:tcPr>
            <w:tcW w:w="9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Lease dated March 22, 2017 between ACM Research, Inc. and D&amp;J Construction, Inc. (incorporated herein by reference to Exhibit</w:t>
            </w:r>
          </w:p>
        </w:tc>
      </w:tr>
      <w:tr>
        <w:trPr>
          <w:trHeight w:val="236"/>
        </w:trPr>
        <w:tc>
          <w:tcPr>
            <w:tcW w:w="3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6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9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10.01 to the Registration Statement on Form S-1 filed on September 13, 2017)</w:t>
            </w:r>
          </w:p>
        </w:tc>
      </w:tr>
      <w:tr>
        <w:trPr>
          <w:trHeight w:val="176"/>
        </w:trPr>
        <w:tc>
          <w:tcPr>
            <w:tcW w:w="1460" w:type="dxa"/>
            <w:vAlign w:val="bottom"/>
            <w:gridSpan w:val="7"/>
          </w:tcPr>
          <w:p>
            <w:pPr>
              <w:spacing w:after="0" w:line="17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01(b)</w:t>
              </w:r>
            </w:hyperlink>
          </w:p>
        </w:tc>
        <w:tc>
          <w:tcPr>
            <w:tcW w:w="9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Lease Amendment dated February 28, 2018 between ACM Research, Inc. and D&amp;J Construction, Inc. (incorporated herein by</w:t>
            </w:r>
          </w:p>
        </w:tc>
      </w:tr>
      <w:tr>
        <w:trPr>
          <w:trHeight w:val="236"/>
        </w:trPr>
        <w:tc>
          <w:tcPr>
            <w:tcW w:w="3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reference to Exhibit 10.06 to the Amended Quarterly Report on Form 10-Q/A filed on October 15, 2018)</w:t>
            </w:r>
          </w:p>
        </w:tc>
      </w:tr>
      <w:tr>
        <w:trPr>
          <w:trHeight w:val="175"/>
        </w:trPr>
        <w:tc>
          <w:tcPr>
            <w:tcW w:w="1460" w:type="dxa"/>
            <w:vAlign w:val="bottom"/>
            <w:gridSpan w:val="7"/>
            <w:shd w:val="clear" w:color="auto" w:fill="CCEEFF"/>
          </w:tcPr>
          <w:p>
            <w:pPr>
              <w:spacing w:after="0" w:line="17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01(c)</w:t>
              </w:r>
            </w:hyperlink>
          </w:p>
        </w:tc>
        <w:tc>
          <w:tcPr>
            <w:tcW w:w="9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Lease Amendment dated February 4, 2019 between ACM Research, Inc. and D&amp;J Construction, Inc. (incorporated herein by reference</w:t>
            </w: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6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9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 Exhibit 10.1 to the Current Report on Form 8-K filed on February 8, 2019)</w:t>
            </w:r>
          </w:p>
        </w:tc>
      </w:tr>
      <w:tr>
        <w:trPr>
          <w:trHeight w:val="175"/>
        </w:trPr>
        <w:tc>
          <w:tcPr>
            <w:tcW w:w="1460" w:type="dxa"/>
            <w:vAlign w:val="bottom"/>
            <w:gridSpan w:val="7"/>
          </w:tcPr>
          <w:p>
            <w:pPr>
              <w:spacing w:after="0" w:line="17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01(d)</w:t>
              </w:r>
            </w:hyperlink>
          </w:p>
        </w:tc>
        <w:tc>
          <w:tcPr>
            <w:tcW w:w="9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Lease Amendment dated January 4, 2021 between ACM Research, Inc. and D&amp;J Construction, Inc.</w:t>
            </w:r>
          </w:p>
        </w:tc>
      </w:tr>
      <w:tr>
        <w:trPr>
          <w:trHeight w:val="20"/>
        </w:trPr>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r>
      <w:tr>
        <w:trPr>
          <w:trHeight w:val="175"/>
        </w:trPr>
        <w:tc>
          <w:tcPr>
            <w:tcW w:w="52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02</w:t>
              </w:r>
            </w:hyperlink>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Lease Agreement dated April 26, 2018 between ACM Research (Shanghai), Inc. and Shanghai Zhangjiang Group Co., Ltd.</w:t>
            </w: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9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(incorporated herein by reference to Exhibit 10.01 to the Amended Quarterly Report on Form 10-Q/A filed on October 15, 2018)</w:t>
            </w:r>
          </w:p>
        </w:tc>
      </w:tr>
      <w:tr>
        <w:trPr>
          <w:trHeight w:val="175"/>
        </w:trPr>
        <w:tc>
          <w:tcPr>
            <w:tcW w:w="520" w:type="dxa"/>
            <w:vAlign w:val="bottom"/>
            <w:gridSpan w:val="3"/>
          </w:tcPr>
          <w:p>
            <w:pPr>
              <w:spacing w:after="0" w:line="17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03</w:t>
              </w:r>
            </w:hyperlink>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Lease Agreement dated January 18, 2018 between ACM Research (Shanghai), Inc. and Shanghai Shengyu Culture Development Co.,</w:t>
            </w:r>
          </w:p>
        </w:tc>
      </w:tr>
      <w:tr>
        <w:trPr>
          <w:trHeight w:val="237"/>
        </w:trPr>
        <w:tc>
          <w:tcPr>
            <w:tcW w:w="3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Ltd. (incorporated herein by reference to Exhibit 10.05 to the Amended Quarterly Report on Form 10-Q/A filed on October 15, 2018)</w:t>
            </w:r>
          </w:p>
        </w:tc>
      </w:tr>
      <w:tr>
        <w:trPr>
          <w:trHeight w:val="584"/>
        </w:trPr>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780" w:type="dxa"/>
            <w:vAlign w:val="bottom"/>
          </w:tcPr>
          <w:p>
            <w:pPr>
              <w:ind w:left="4100"/>
              <w:spacing w:after="0"/>
              <w:rPr>
                <w:sz w:val="20"/>
                <w:szCs w:val="20"/>
                <w:color w:val="auto"/>
              </w:rPr>
            </w:pPr>
            <w:r>
              <w:rPr>
                <w:rFonts w:ascii="Times New Roman" w:cs="Times New Roman" w:eastAsia="Times New Roman" w:hAnsi="Times New Roman"/>
                <w:sz w:val="14"/>
                <w:szCs w:val="14"/>
                <w:color w:val="auto"/>
              </w:rPr>
              <w:t>20</w:t>
            </w:r>
          </w:p>
        </w:tc>
      </w:tr>
      <w:tr>
        <w:trPr>
          <w:trHeight w:val="44"/>
        </w:trPr>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7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7" w:right="33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gridSpan w:val="3"/>
            <w:shd w:val="clear" w:color="auto" w:fill="CCEEFF"/>
          </w:tcPr>
          <w:p>
            <w:pPr>
              <w:spacing w:after="0"/>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04</w:t>
              </w:r>
            </w:hyperlink>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Securities Purchase Agreement dated March 14, 2017 by and among ACM Research, Inc., Shengxin (Shanghai) Management</w:t>
            </w:r>
          </w:p>
        </w:tc>
      </w:tr>
      <w:tr>
        <w:trPr>
          <w:trHeight w:val="218"/>
        </w:trPr>
        <w:tc>
          <w:tcPr>
            <w:tcW w:w="40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1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Consulting Limited Partnership and ACM Research (Shanghai), Inc. (incorporated herein by reference to Exhibit 10.03 to the</w:t>
            </w:r>
          </w:p>
        </w:tc>
      </w:tr>
      <w:tr>
        <w:trPr>
          <w:trHeight w:val="234"/>
        </w:trPr>
        <w:tc>
          <w:tcPr>
            <w:tcW w:w="4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Registration Statement on Form S-1 filed on September 13, 2017)</w:t>
            </w:r>
          </w:p>
        </w:tc>
      </w:tr>
      <w:tr>
        <w:trPr>
          <w:trHeight w:val="176"/>
        </w:trPr>
        <w:tc>
          <w:tcPr>
            <w:tcW w:w="520" w:type="dxa"/>
            <w:vAlign w:val="bottom"/>
            <w:gridSpan w:val="3"/>
          </w:tcPr>
          <w:p>
            <w:pPr>
              <w:spacing w:after="0" w:line="17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05</w:t>
              </w:r>
            </w:hyperlink>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1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Securities Purchase Agreement dated March 23, 2017 between ACM Research, Inc. and Shanghai Science and Technology Venture</w:t>
            </w:r>
          </w:p>
        </w:tc>
      </w:tr>
      <w:tr>
        <w:trPr>
          <w:trHeight w:val="218"/>
        </w:trPr>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Co., Ltd., as amended (incorporated herein by reference to Exhibit 10.04 to the Amended Registration Statement on Form S-</w:t>
            </w:r>
          </w:p>
        </w:tc>
      </w:tr>
      <w:tr>
        <w:trPr>
          <w:trHeight w:val="234"/>
        </w:trPr>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1/A filed on October 18, 2017)</w:t>
            </w:r>
          </w:p>
        </w:tc>
      </w:tr>
      <w:tr>
        <w:trPr>
          <w:trHeight w:val="176"/>
        </w:trPr>
        <w:tc>
          <w:tcPr>
            <w:tcW w:w="52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06</w:t>
              </w:r>
            </w:hyperlink>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1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Ordinary Share Purchase Agreement dated September 6, 2017 by and among ACM Research, Inc., Ninebell Co., Ltd. and Moon-Soo</w:t>
            </w:r>
          </w:p>
        </w:tc>
      </w:tr>
      <w:tr>
        <w:trPr>
          <w:trHeight w:val="218"/>
        </w:trPr>
        <w:tc>
          <w:tcPr>
            <w:tcW w:w="40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1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Choi (incorporated herein by reference to Exhibit 10.07 to the Amended Registration Statement on Form S-1/A filed on October 18,</w:t>
            </w:r>
          </w:p>
        </w:tc>
      </w:tr>
      <w:tr>
        <w:trPr>
          <w:trHeight w:val="234"/>
        </w:trPr>
        <w:tc>
          <w:tcPr>
            <w:tcW w:w="4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2017)</w:t>
            </w:r>
          </w:p>
        </w:tc>
      </w:tr>
      <w:tr>
        <w:trPr>
          <w:trHeight w:val="176"/>
        </w:trPr>
        <w:tc>
          <w:tcPr>
            <w:tcW w:w="520" w:type="dxa"/>
            <w:vAlign w:val="bottom"/>
            <w:gridSpan w:val="3"/>
          </w:tcPr>
          <w:p>
            <w:pPr>
              <w:spacing w:after="0" w:line="176"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07</w:t>
              </w:r>
            </w:hyperlink>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1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Form of Second Amended and Restated Registration Rights Agreement to be entered into between ACM Research, Inc. and certain of</w:t>
            </w:r>
          </w:p>
        </w:tc>
      </w:tr>
      <w:tr>
        <w:trPr>
          <w:trHeight w:val="218"/>
        </w:trPr>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its stockholders (incorporated herein by reference to Exhibit 10.09 to the Amended Registration Statement on Form S-1/A filed on</w:t>
            </w:r>
          </w:p>
        </w:tc>
      </w:tr>
      <w:tr>
        <w:trPr>
          <w:trHeight w:val="234"/>
        </w:trPr>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October 18, 2017)</w:t>
            </w:r>
          </w:p>
        </w:tc>
      </w:tr>
      <w:tr>
        <w:trPr>
          <w:trHeight w:val="176"/>
        </w:trPr>
        <w:tc>
          <w:tcPr>
            <w:tcW w:w="52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08</w:t>
              </w:r>
            </w:hyperlink>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1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Stock Purchase Agreement, dated October 11, 2017, by and among ACM Research, Inc., Xunxin (Shanghai) Capital Co., Limited,</w:t>
            </w:r>
          </w:p>
        </w:tc>
      </w:tr>
      <w:tr>
        <w:trPr>
          <w:trHeight w:val="218"/>
        </w:trPr>
        <w:tc>
          <w:tcPr>
            <w:tcW w:w="40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1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Xinxin (Hongkong) Capital Co., Limited and David H. Wang (incorporated herein by reference to Exhibit 10.10 to the Amended</w:t>
            </w:r>
          </w:p>
        </w:tc>
      </w:tr>
      <w:tr>
        <w:trPr>
          <w:trHeight w:val="234"/>
        </w:trPr>
        <w:tc>
          <w:tcPr>
            <w:tcW w:w="4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Registration Statement on Form S-1/A filed on October 18, 2017)</w:t>
            </w:r>
          </w:p>
        </w:tc>
      </w:tr>
      <w:tr>
        <w:trPr>
          <w:trHeight w:val="175"/>
        </w:trPr>
        <w:tc>
          <w:tcPr>
            <w:tcW w:w="520" w:type="dxa"/>
            <w:vAlign w:val="bottom"/>
            <w:gridSpan w:val="3"/>
          </w:tcPr>
          <w:p>
            <w:pPr>
              <w:spacing w:after="0" w:line="17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09</w:t>
              </w:r>
            </w:hyperlink>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1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Nomination and Voting Agreement, dated October 11, 2017, by and among Xinxin (Hongkong) Capital Co., Limited, ACM Research,</w:t>
            </w:r>
          </w:p>
        </w:tc>
      </w:tr>
      <w:tr>
        <w:trPr>
          <w:trHeight w:val="218"/>
        </w:trPr>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 David H. Wang, and the individuals named therein (incorporated herein by reference to Exhibit 10.12 to the Amended</w:t>
            </w:r>
          </w:p>
        </w:tc>
      </w:tr>
      <w:tr>
        <w:trPr>
          <w:trHeight w:val="234"/>
        </w:trPr>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Registration Statement on Form S-1/A filed on October 18, 2017)</w:t>
            </w:r>
          </w:p>
        </w:tc>
      </w:tr>
      <w:tr>
        <w:trPr>
          <w:trHeight w:val="176"/>
        </w:trPr>
        <w:tc>
          <w:tcPr>
            <w:tcW w:w="52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10</w:t>
              </w:r>
            </w:hyperlink>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1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Termination Agreement between ACM Research, Inc. and Xinxin (Hongkong) Capital Co., Limited, dated as of May 18, 2021</w:t>
            </w:r>
          </w:p>
        </w:tc>
      </w:tr>
      <w:tr>
        <w:trPr>
          <w:trHeight w:val="236"/>
        </w:trPr>
        <w:tc>
          <w:tcPr>
            <w:tcW w:w="40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CCEEFF"/>
            </w:tcBorders>
            <w:shd w:val="clear" w:color="auto" w:fill="CCEEFF"/>
          </w:tcPr>
          <w:p>
            <w:pPr>
              <w:spacing w:after="0"/>
              <w:rPr>
                <w:sz w:val="20"/>
                <w:szCs w:val="20"/>
                <w:color w:val="auto"/>
              </w:rPr>
            </w:pPr>
          </w:p>
        </w:tc>
        <w:tc>
          <w:tcPr>
            <w:tcW w:w="101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(incorporated herein by reference to Exhibit 10.01 to the Current Report on Form 8-K filed on May 21, 2021)</w:t>
            </w:r>
          </w:p>
        </w:tc>
      </w:tr>
      <w:tr>
        <w:trPr>
          <w:trHeight w:val="176"/>
        </w:trPr>
        <w:tc>
          <w:tcPr>
            <w:tcW w:w="420" w:type="dxa"/>
            <w:vAlign w:val="bottom"/>
            <w:gridSpan w:val="2"/>
          </w:tcPr>
          <w:p>
            <w:pPr>
              <w:spacing w:after="0" w:line="176" w:lineRule="exact"/>
              <w:rPr>
                <w:rFonts w:ascii="Times New Roman" w:cs="Times New Roman" w:eastAsia="Times New Roman" w:hAnsi="Times New Roman"/>
                <w:sz w:val="18"/>
                <w:szCs w:val="18"/>
                <w:color w:val="0000EE"/>
                <w:w w:val="98"/>
              </w:rPr>
            </w:pPr>
            <w:hyperlink r:id="rId54">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11</w:t>
              </w:r>
            </w:hyperlink>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1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Voting Agreement, dated March 23, 2017, by and among Shanghai Technology Venture Capital Co., Ltd. (also known as Shanghai</w:t>
            </w:r>
          </w:p>
        </w:tc>
      </w:tr>
      <w:tr>
        <w:trPr>
          <w:trHeight w:val="218"/>
        </w:trPr>
        <w:tc>
          <w:tcPr>
            <w:tcW w:w="40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Science and Technology Venture Capital Co., Ltd.) and ACM Research, Inc. (incorporated herein by reference to Exhibit 10.13 to the</w:t>
            </w:r>
          </w:p>
        </w:tc>
      </w:tr>
      <w:tr>
        <w:trPr>
          <w:trHeight w:val="234"/>
        </w:trPr>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Amended Registration Statement on Form S-1/A filed on October 18, 2017)</w:t>
            </w:r>
          </w:p>
        </w:tc>
      </w:tr>
      <w:tr>
        <w:trPr>
          <w:trHeight w:val="176"/>
        </w:trPr>
        <w:tc>
          <w:tcPr>
            <w:tcW w:w="52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12</w:t>
              </w:r>
            </w:hyperlink>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1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Form of Capital Increase Agreement between ACM Research, Inc. and certain investors (incorporated herein by reference to Exhibit</w:t>
            </w:r>
          </w:p>
        </w:tc>
      </w:tr>
      <w:tr>
        <w:trPr>
          <w:trHeight w:val="236"/>
        </w:trPr>
        <w:tc>
          <w:tcPr>
            <w:tcW w:w="40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CCEEFF"/>
            </w:tcBorders>
            <w:shd w:val="clear" w:color="auto" w:fill="CCEEFF"/>
          </w:tcPr>
          <w:p>
            <w:pPr>
              <w:spacing w:after="0"/>
              <w:rPr>
                <w:sz w:val="20"/>
                <w:szCs w:val="20"/>
                <w:color w:val="auto"/>
              </w:rPr>
            </w:pPr>
          </w:p>
        </w:tc>
        <w:tc>
          <w:tcPr>
            <w:tcW w:w="101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10.01 to the Quarterly Report on Form 10-Q filed on August 12, 2019)</w:t>
            </w:r>
          </w:p>
        </w:tc>
      </w:tr>
      <w:tr>
        <w:trPr>
          <w:trHeight w:val="176"/>
        </w:trPr>
        <w:tc>
          <w:tcPr>
            <w:tcW w:w="1100" w:type="dxa"/>
            <w:vAlign w:val="bottom"/>
            <w:gridSpan w:val="7"/>
          </w:tcPr>
          <w:p>
            <w:pPr>
              <w:spacing w:after="0" w:line="17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12</w:t>
              </w:r>
              <w:r>
                <w:rPr>
                  <w:rFonts w:ascii="Times New Roman" w:cs="Times New Roman" w:eastAsia="Times New Roman" w:hAnsi="Times New Roman"/>
                  <w:sz w:val="18"/>
                  <w:szCs w:val="18"/>
                  <w:color w:val="0000EE"/>
                </w:rPr>
                <w:t xml:space="preserve"> (a)</w:t>
              </w:r>
            </w:hyperlink>
          </w:p>
        </w:tc>
        <w:tc>
          <w:tcPr>
            <w:tcW w:w="101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Schedule identifying agreements substantially identical to the form of Capital Increase Agreement filed as Exhibit 10.12 hereto</w:t>
            </w:r>
          </w:p>
        </w:tc>
      </w:tr>
      <w:tr>
        <w:trPr>
          <w:trHeight w:val="237"/>
        </w:trPr>
        <w:tc>
          <w:tcPr>
            <w:tcW w:w="4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(incorporated herein by reference to Exhibit 10.01(a) to the Quarterly Report on Form 10-Q filed on August 12, 2019)</w:t>
            </w:r>
          </w:p>
        </w:tc>
      </w:tr>
      <w:tr>
        <w:trPr>
          <w:trHeight w:val="175"/>
        </w:trPr>
        <w:tc>
          <w:tcPr>
            <w:tcW w:w="52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13</w:t>
              </w:r>
            </w:hyperlink>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1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Form of Agreement between ACM Research, Inc. and certain Investors (incorporated herein by reference to Exhibit 10.02 to the</w:t>
            </w:r>
          </w:p>
        </w:tc>
      </w:tr>
      <w:tr>
        <w:trPr>
          <w:trHeight w:val="237"/>
        </w:trPr>
        <w:tc>
          <w:tcPr>
            <w:tcW w:w="40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CCEEFF"/>
            </w:tcBorders>
            <w:shd w:val="clear" w:color="auto" w:fill="CCEEFF"/>
          </w:tcPr>
          <w:p>
            <w:pPr>
              <w:spacing w:after="0"/>
              <w:rPr>
                <w:sz w:val="20"/>
                <w:szCs w:val="20"/>
                <w:color w:val="auto"/>
              </w:rPr>
            </w:pPr>
          </w:p>
        </w:tc>
        <w:tc>
          <w:tcPr>
            <w:tcW w:w="101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Quarterly Report on Form 10-Q filed on August 12, 2019)</w:t>
            </w:r>
          </w:p>
        </w:tc>
      </w:tr>
      <w:tr>
        <w:trPr>
          <w:trHeight w:val="176"/>
        </w:trPr>
        <w:tc>
          <w:tcPr>
            <w:tcW w:w="1100" w:type="dxa"/>
            <w:vAlign w:val="bottom"/>
            <w:gridSpan w:val="7"/>
          </w:tcPr>
          <w:p>
            <w:pPr>
              <w:spacing w:after="0" w:line="17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13(a)</w:t>
              </w:r>
            </w:hyperlink>
          </w:p>
        </w:tc>
        <w:tc>
          <w:tcPr>
            <w:tcW w:w="101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Schedule identifying agreements substantially identical to the form of Agreement filed as Exhibit 10.13 hereto (incorporated herein by</w:t>
            </w:r>
          </w:p>
        </w:tc>
      </w:tr>
      <w:tr>
        <w:trPr>
          <w:trHeight w:val="236"/>
        </w:trPr>
        <w:tc>
          <w:tcPr>
            <w:tcW w:w="4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reference to Exhibit 10.02(a) to the Quarterly Report on Form 10-Q filed on August 12, 2019)</w:t>
            </w:r>
          </w:p>
        </w:tc>
      </w:tr>
      <w:tr>
        <w:trPr>
          <w:trHeight w:val="175"/>
        </w:trPr>
        <w:tc>
          <w:tcPr>
            <w:tcW w:w="52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14</w:t>
              </w:r>
            </w:hyperlink>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1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Partnership Agreement of Hefei Shixi Chanheng Integrated Circuit Industry Venture Capital Fund Partnership (LP) dated September 5,</w:t>
            </w:r>
          </w:p>
        </w:tc>
      </w:tr>
      <w:tr>
        <w:trPr>
          <w:trHeight w:val="218"/>
        </w:trPr>
        <w:tc>
          <w:tcPr>
            <w:tcW w:w="40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1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2019 by and among Infotech National Emerging Industry Venture Investment Guidance Fund (LP), Hefei Guozheng Asset</w:t>
            </w:r>
          </w:p>
        </w:tc>
      </w:tr>
      <w:tr>
        <w:trPr>
          <w:trHeight w:val="216"/>
        </w:trPr>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Management Co, Ltd., Hefei Economic and Technological Development Zone Industrial Investment Guidance Fund Co., Ltd., ACM</w:t>
            </w:r>
          </w:p>
        </w:tc>
      </w:tr>
      <w:tr>
        <w:trPr>
          <w:trHeight w:val="216"/>
        </w:trPr>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(Shanghai), Inc., Hefei Tongyi Equity Investment Partnership (LP), Shenzen Waitan Technology Development Co., Ltd., and</w:t>
            </w:r>
          </w:p>
        </w:tc>
      </w:tr>
      <w:tr>
        <w:trPr>
          <w:trHeight w:val="216"/>
        </w:trPr>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Beijing Shixi Qingliu Investment Co., Ltd. (incorporated herein by reference to Exhibit 10.03 to the Quarterly Report on Form 10-Q</w:t>
            </w:r>
          </w:p>
        </w:tc>
      </w:tr>
      <w:tr>
        <w:trPr>
          <w:trHeight w:val="234"/>
        </w:trPr>
        <w:tc>
          <w:tcPr>
            <w:tcW w:w="4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filed on November 13, 2019)</w:t>
            </w:r>
          </w:p>
        </w:tc>
      </w:tr>
      <w:tr>
        <w:trPr>
          <w:trHeight w:val="175"/>
        </w:trPr>
        <w:tc>
          <w:tcPr>
            <w:tcW w:w="620" w:type="dxa"/>
            <w:vAlign w:val="bottom"/>
            <w:gridSpan w:val="4"/>
          </w:tcPr>
          <w:p>
            <w:pPr>
              <w:spacing w:after="0" w:line="17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15+</w:t>
              </w:r>
            </w:hyperlink>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1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2016 Omnibus Incentive Plan of ACM Research, Inc. (incorporated herein by reference to Exhibit 10.01 to the Quarterly Report on</w:t>
            </w:r>
          </w:p>
        </w:tc>
      </w:tr>
      <w:tr>
        <w:trPr>
          <w:trHeight w:val="237"/>
        </w:trPr>
        <w:tc>
          <w:tcPr>
            <w:tcW w:w="4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10-Q filed on December 8, 2017)</w:t>
            </w:r>
          </w:p>
        </w:tc>
      </w:tr>
      <w:tr>
        <w:trPr>
          <w:trHeight w:val="175"/>
        </w:trPr>
        <w:tc>
          <w:tcPr>
            <w:tcW w:w="1100" w:type="dxa"/>
            <w:vAlign w:val="bottom"/>
            <w:gridSpan w:val="7"/>
            <w:shd w:val="clear" w:color="auto" w:fill="CCEEFF"/>
          </w:tcPr>
          <w:p>
            <w:pPr>
              <w:spacing w:after="0" w:line="17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15(a)+</w:t>
              </w:r>
            </w:hyperlink>
          </w:p>
        </w:tc>
        <w:tc>
          <w:tcPr>
            <w:tcW w:w="101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Form of Incentive Stock Option Grant Notice and Agreement under 2016 Omnibus Incentive Plan (incorporated herein by reference to</w:t>
            </w:r>
          </w:p>
        </w:tc>
      </w:tr>
      <w:tr>
        <w:trPr>
          <w:trHeight w:val="236"/>
        </w:trPr>
        <w:tc>
          <w:tcPr>
            <w:tcW w:w="40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380" w:type="dxa"/>
            <w:vAlign w:val="bottom"/>
            <w:tcBorders>
              <w:top w:val="single" w:sz="8" w:color="CCEEFF"/>
            </w:tcBorders>
            <w:shd w:val="clear" w:color="auto" w:fill="CCEEFF"/>
          </w:tcPr>
          <w:p>
            <w:pPr>
              <w:spacing w:after="0"/>
              <w:rPr>
                <w:sz w:val="20"/>
                <w:szCs w:val="20"/>
                <w:color w:val="auto"/>
              </w:rPr>
            </w:pPr>
          </w:p>
        </w:tc>
        <w:tc>
          <w:tcPr>
            <w:tcW w:w="101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Exhibit 10.10(a) to the Registration Statement on Form S-1 filed on September 13, 2017)</w:t>
            </w:r>
          </w:p>
        </w:tc>
      </w:tr>
      <w:tr>
        <w:trPr>
          <w:trHeight w:val="176"/>
        </w:trPr>
        <w:tc>
          <w:tcPr>
            <w:tcW w:w="1100" w:type="dxa"/>
            <w:vAlign w:val="bottom"/>
            <w:gridSpan w:val="7"/>
          </w:tcPr>
          <w:p>
            <w:pPr>
              <w:spacing w:after="0" w:line="17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15(b)+</w:t>
              </w:r>
            </w:hyperlink>
          </w:p>
        </w:tc>
        <w:tc>
          <w:tcPr>
            <w:tcW w:w="101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Form of Non-qualified Stock Option Grant Notice and Agreement under 2016 Omnibus Incentive Plan  (incorporated herein by</w:t>
            </w:r>
          </w:p>
        </w:tc>
      </w:tr>
      <w:tr>
        <w:trPr>
          <w:trHeight w:val="236"/>
        </w:trPr>
        <w:tc>
          <w:tcPr>
            <w:tcW w:w="4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380" w:type="dxa"/>
            <w:vAlign w:val="bottom"/>
          </w:tcPr>
          <w:p>
            <w:pPr>
              <w:spacing w:after="0"/>
              <w:rPr>
                <w:sz w:val="20"/>
                <w:szCs w:val="20"/>
                <w:color w:val="auto"/>
              </w:rPr>
            </w:pPr>
          </w:p>
        </w:tc>
        <w:tc>
          <w:tcPr>
            <w:tcW w:w="10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reference to Exhibit 10.10(b) to the Registration Statement on Form S-1 filed on September 13, 2017)</w:t>
            </w:r>
          </w:p>
        </w:tc>
      </w:tr>
      <w:tr>
        <w:trPr>
          <w:trHeight w:val="175"/>
        </w:trPr>
        <w:tc>
          <w:tcPr>
            <w:tcW w:w="1100" w:type="dxa"/>
            <w:vAlign w:val="bottom"/>
            <w:gridSpan w:val="7"/>
            <w:shd w:val="clear" w:color="auto" w:fill="CCEEFF"/>
          </w:tcPr>
          <w:p>
            <w:pPr>
              <w:spacing w:after="0" w:line="17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15(c)+</w:t>
              </w:r>
            </w:hyperlink>
          </w:p>
        </w:tc>
        <w:tc>
          <w:tcPr>
            <w:tcW w:w="101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Form of Restricted Stock Unit Grant Notice and Agreement under 2016 Omnibus Incentive Plan (incorporated herein by reference to</w:t>
            </w:r>
          </w:p>
        </w:tc>
      </w:tr>
      <w:tr>
        <w:trPr>
          <w:trHeight w:val="237"/>
        </w:trPr>
        <w:tc>
          <w:tcPr>
            <w:tcW w:w="40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380" w:type="dxa"/>
            <w:vAlign w:val="bottom"/>
            <w:tcBorders>
              <w:top w:val="single" w:sz="8" w:color="CCEEFF"/>
            </w:tcBorders>
            <w:shd w:val="clear" w:color="auto" w:fill="CCEEFF"/>
          </w:tcPr>
          <w:p>
            <w:pPr>
              <w:spacing w:after="0"/>
              <w:rPr>
                <w:sz w:val="20"/>
                <w:szCs w:val="20"/>
                <w:color w:val="auto"/>
              </w:rPr>
            </w:pPr>
          </w:p>
        </w:tc>
        <w:tc>
          <w:tcPr>
            <w:tcW w:w="101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Exhibit 10.10(c) to the Registration Statement on Form S-1 filed on September 13, 2017)</w:t>
            </w:r>
          </w:p>
        </w:tc>
      </w:tr>
      <w:tr>
        <w:trPr>
          <w:trHeight w:val="175"/>
        </w:trPr>
        <w:tc>
          <w:tcPr>
            <w:tcW w:w="620" w:type="dxa"/>
            <w:vAlign w:val="bottom"/>
            <w:gridSpan w:val="4"/>
          </w:tcPr>
          <w:p>
            <w:pPr>
              <w:spacing w:after="0" w:line="17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16+</w:t>
              </w:r>
            </w:hyperlink>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1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Form of Nonstatutory Stock Option Agreement of ACM Research, Inc. (incorporated herein by reference to Exhibit 10.11 to the</w:t>
            </w:r>
          </w:p>
        </w:tc>
      </w:tr>
      <w:tr>
        <w:trPr>
          <w:trHeight w:val="237"/>
        </w:trPr>
        <w:tc>
          <w:tcPr>
            <w:tcW w:w="4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Registration Statement on Form S-1 filed on September 13, 2017)</w:t>
            </w:r>
          </w:p>
        </w:tc>
      </w:tr>
      <w:tr>
        <w:trPr>
          <w:trHeight w:val="584"/>
        </w:trPr>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140" w:type="dxa"/>
            <w:vAlign w:val="bottom"/>
          </w:tcPr>
          <w:p>
            <w:pPr>
              <w:ind w:left="4460"/>
              <w:spacing w:after="0"/>
              <w:rPr>
                <w:sz w:val="20"/>
                <w:szCs w:val="20"/>
                <w:color w:val="auto"/>
              </w:rPr>
            </w:pPr>
            <w:r>
              <w:rPr>
                <w:rFonts w:ascii="Times New Roman" w:cs="Times New Roman" w:eastAsia="Times New Roman" w:hAnsi="Times New Roman"/>
                <w:sz w:val="14"/>
                <w:szCs w:val="14"/>
                <w:color w:val="auto"/>
              </w:rPr>
              <w:t>21</w:t>
            </w:r>
          </w:p>
        </w:tc>
      </w:tr>
      <w:tr>
        <w:trPr>
          <w:trHeight w:val="44"/>
        </w:trPr>
        <w:tc>
          <w:tcPr>
            <w:tcW w:w="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14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08" w:right="33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 w:type="dxa"/>
            <w:vAlign w:val="bottom"/>
            <w:gridSpan w:val="4"/>
            <w:shd w:val="clear" w:color="auto" w:fill="CCEEFF"/>
          </w:tcPr>
          <w:p>
            <w:pPr>
              <w:spacing w:after="0"/>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17+</w:t>
              </w:r>
            </w:hyperlink>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1998 Stock Option Plan of ACM Research, Inc. (incorporated herein by reference to Exhibit 10.12 to the Registration Statement on</w:t>
            </w:r>
          </w:p>
        </w:tc>
      </w:tr>
      <w:tr>
        <w:trPr>
          <w:trHeight w:val="237"/>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CCEEFF"/>
            </w:tcBorders>
            <w:shd w:val="clear" w:color="auto" w:fill="CCEEFF"/>
          </w:tcPr>
          <w:p>
            <w:pPr>
              <w:spacing w:after="0"/>
              <w:rPr>
                <w:sz w:val="20"/>
                <w:szCs w:val="20"/>
                <w:color w:val="auto"/>
              </w:rPr>
            </w:pPr>
          </w:p>
        </w:tc>
        <w:tc>
          <w:tcPr>
            <w:tcW w:w="101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Form S-1 filed on September 13, 2017)</w:t>
            </w:r>
          </w:p>
        </w:tc>
      </w:tr>
      <w:tr>
        <w:trPr>
          <w:trHeight w:val="176"/>
        </w:trPr>
        <w:tc>
          <w:tcPr>
            <w:tcW w:w="1100" w:type="dxa"/>
            <w:vAlign w:val="bottom"/>
            <w:gridSpan w:val="7"/>
          </w:tcPr>
          <w:p>
            <w:pPr>
              <w:spacing w:after="0" w:line="17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17(a)+</w:t>
              </w:r>
            </w:hyperlink>
          </w:p>
        </w:tc>
        <w:tc>
          <w:tcPr>
            <w:tcW w:w="101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Form of Incentive Stock Option Agreement under 1998 Stock Option Plan (incorporated herein by reference to Exhibit 10.12(a) to the</w:t>
            </w:r>
          </w:p>
        </w:tc>
      </w:tr>
      <w:tr>
        <w:trPr>
          <w:trHeight w:val="237"/>
        </w:trPr>
        <w:tc>
          <w:tcPr>
            <w:tcW w:w="4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380" w:type="dxa"/>
            <w:vAlign w:val="bottom"/>
          </w:tcPr>
          <w:p>
            <w:pPr>
              <w:spacing w:after="0"/>
              <w:rPr>
                <w:sz w:val="20"/>
                <w:szCs w:val="20"/>
                <w:color w:val="auto"/>
              </w:rPr>
            </w:pPr>
          </w:p>
        </w:tc>
        <w:tc>
          <w:tcPr>
            <w:tcW w:w="10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Registration Statement on Form S-1 filed on September 13, 2017)</w:t>
            </w:r>
          </w:p>
        </w:tc>
      </w:tr>
      <w:tr>
        <w:trPr>
          <w:trHeight w:val="175"/>
        </w:trPr>
        <w:tc>
          <w:tcPr>
            <w:tcW w:w="1100" w:type="dxa"/>
            <w:vAlign w:val="bottom"/>
            <w:gridSpan w:val="7"/>
            <w:shd w:val="clear" w:color="auto" w:fill="CCEEFF"/>
          </w:tcPr>
          <w:p>
            <w:pPr>
              <w:spacing w:after="0" w:line="17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17(b)+</w:t>
              </w:r>
            </w:hyperlink>
          </w:p>
        </w:tc>
        <w:tc>
          <w:tcPr>
            <w:tcW w:w="101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Form of Non-statutory Stock Option Agreement under 1998 Stock Option Plan (incorporated herein by reference to Exhibit 10.12(b)</w:t>
            </w:r>
          </w:p>
        </w:tc>
      </w:tr>
      <w:tr>
        <w:trPr>
          <w:trHeight w:val="237"/>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380" w:type="dxa"/>
            <w:vAlign w:val="bottom"/>
            <w:tcBorders>
              <w:top w:val="single" w:sz="8" w:color="CCEEFF"/>
            </w:tcBorders>
            <w:shd w:val="clear" w:color="auto" w:fill="CCEEFF"/>
          </w:tcPr>
          <w:p>
            <w:pPr>
              <w:spacing w:after="0"/>
              <w:rPr>
                <w:sz w:val="20"/>
                <w:szCs w:val="20"/>
                <w:color w:val="auto"/>
              </w:rPr>
            </w:pPr>
          </w:p>
        </w:tc>
        <w:tc>
          <w:tcPr>
            <w:tcW w:w="101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 the Registration Statement on Form S-1 filed on September 13, 2017)</w:t>
            </w:r>
          </w:p>
        </w:tc>
      </w:tr>
      <w:tr>
        <w:trPr>
          <w:trHeight w:val="176"/>
        </w:trPr>
        <w:tc>
          <w:tcPr>
            <w:tcW w:w="500" w:type="dxa"/>
            <w:vAlign w:val="bottom"/>
            <w:gridSpan w:val="2"/>
          </w:tcPr>
          <w:p>
            <w:pPr>
              <w:spacing w:after="0" w:line="17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18</w:t>
              </w:r>
            </w:hyperlink>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1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Form of Indemnification Agreement entered into between ACM Research, Inc. and certain of its directors and officers (incorporated</w:t>
            </w:r>
          </w:p>
        </w:tc>
      </w:tr>
      <w:tr>
        <w:trPr>
          <w:trHeight w:val="236"/>
        </w:trPr>
        <w:tc>
          <w:tcPr>
            <w:tcW w:w="42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herein by reference to Exhibit 10.13 to the Registration Statement on Form S-1 filed on September 13, 2017)</w:t>
            </w:r>
          </w:p>
        </w:tc>
      </w:tr>
      <w:tr>
        <w:trPr>
          <w:trHeight w:val="176"/>
        </w:trPr>
        <w:tc>
          <w:tcPr>
            <w:tcW w:w="600" w:type="dxa"/>
            <w:vAlign w:val="bottom"/>
            <w:gridSpan w:val="4"/>
            <w:shd w:val="clear" w:color="auto" w:fill="CCEEFF"/>
          </w:tcPr>
          <w:p>
            <w:pPr>
              <w:spacing w:after="0" w:line="17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19+</w:t>
              </w:r>
            </w:hyperlink>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1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Letter agreement dated June 12, 2019 between ACM Research, Inc. and Mark McKechnie (incorporated herein by reference to Exhibit</w:t>
            </w:r>
          </w:p>
        </w:tc>
      </w:tr>
      <w:tr>
        <w:trPr>
          <w:trHeight w:val="237"/>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CCEEFF"/>
            </w:tcBorders>
            <w:shd w:val="clear" w:color="auto" w:fill="CCEEFF"/>
          </w:tcPr>
          <w:p>
            <w:pPr>
              <w:spacing w:after="0"/>
              <w:rPr>
                <w:sz w:val="20"/>
                <w:szCs w:val="20"/>
                <w:color w:val="auto"/>
              </w:rPr>
            </w:pPr>
          </w:p>
        </w:tc>
        <w:tc>
          <w:tcPr>
            <w:tcW w:w="101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10.02 to the Current Report on Form 8-K filed on August 13, 2019)</w:t>
            </w:r>
          </w:p>
        </w:tc>
      </w:tr>
      <w:tr>
        <w:trPr>
          <w:trHeight w:val="175"/>
        </w:trPr>
        <w:tc>
          <w:tcPr>
            <w:tcW w:w="1100" w:type="dxa"/>
            <w:vAlign w:val="bottom"/>
            <w:gridSpan w:val="7"/>
          </w:tcPr>
          <w:p>
            <w:pPr>
              <w:spacing w:after="0" w:line="17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20+‡</w:t>
              </w:r>
            </w:hyperlink>
          </w:p>
        </w:tc>
        <w:tc>
          <w:tcPr>
            <w:tcW w:w="101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Employment Agreement dated January 8, 2018 between ACM Research (Shanghai), Inc and Lisa Feng</w:t>
            </w:r>
          </w:p>
        </w:tc>
      </w:tr>
      <w:tr>
        <w:trPr>
          <w:trHeight w:val="21"/>
        </w:trPr>
        <w:tc>
          <w:tcPr>
            <w:tcW w:w="4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140" w:type="dxa"/>
            <w:vAlign w:val="bottom"/>
          </w:tcPr>
          <w:p>
            <w:pPr>
              <w:spacing w:after="0" w:line="20" w:lineRule="exact"/>
              <w:rPr>
                <w:sz w:val="1"/>
                <w:szCs w:val="1"/>
                <w:color w:val="auto"/>
              </w:rPr>
            </w:pPr>
          </w:p>
        </w:tc>
      </w:tr>
      <w:tr>
        <w:trPr>
          <w:trHeight w:val="175"/>
        </w:trPr>
        <w:tc>
          <w:tcPr>
            <w:tcW w:w="50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21</w:t>
              </w:r>
            </w:hyperlink>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1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Note Assignment and Cancellation Agreement dated April 30, 2020 by and among ACM Research, Inc., ACM Research (Shanghai),</w:t>
            </w:r>
          </w:p>
        </w:tc>
      </w:tr>
      <w:tr>
        <w:trPr>
          <w:trHeight w:val="218"/>
        </w:trPr>
        <w:tc>
          <w:tcPr>
            <w:tcW w:w="4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1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 and Shengxin (Shanghai) Management Consulting Limited Partnership (incorporated herein by reference to Exhibit 10.02 to the</w:t>
            </w:r>
          </w:p>
        </w:tc>
      </w:tr>
      <w:tr>
        <w:trPr>
          <w:trHeight w:val="234"/>
        </w:trPr>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Quarterly Report Form 10-Q filed on May 8, 2020)</w:t>
            </w:r>
          </w:p>
        </w:tc>
      </w:tr>
      <w:tr>
        <w:trPr>
          <w:trHeight w:val="176"/>
        </w:trPr>
        <w:tc>
          <w:tcPr>
            <w:tcW w:w="1100" w:type="dxa"/>
            <w:vAlign w:val="bottom"/>
            <w:gridSpan w:val="7"/>
          </w:tcPr>
          <w:p>
            <w:pPr>
              <w:spacing w:after="0" w:line="17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22(a)</w:t>
              </w:r>
            </w:hyperlink>
          </w:p>
        </w:tc>
        <w:tc>
          <w:tcPr>
            <w:tcW w:w="101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Share Transfer and Note Cancellation Agreement dated April 30, 2020 between ACM Research, Inc. and Shengxin (Shanghai)</w:t>
            </w:r>
          </w:p>
        </w:tc>
      </w:tr>
      <w:tr>
        <w:trPr>
          <w:trHeight w:val="218"/>
        </w:trPr>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Management Consulting Limited Partnership (incorporated herein by reference to Exhibit 10.03 to the Quarterly Report on Form 10-Q</w:t>
            </w:r>
          </w:p>
        </w:tc>
      </w:tr>
      <w:tr>
        <w:trPr>
          <w:trHeight w:val="234"/>
        </w:trPr>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filed on May 8, 2020)</w:t>
            </w:r>
          </w:p>
        </w:tc>
      </w:tr>
      <w:tr>
        <w:trPr>
          <w:trHeight w:val="176"/>
        </w:trPr>
        <w:tc>
          <w:tcPr>
            <w:tcW w:w="1100" w:type="dxa"/>
            <w:vAlign w:val="bottom"/>
            <w:gridSpan w:val="7"/>
            <w:shd w:val="clear" w:color="auto" w:fill="CCEEFF"/>
          </w:tcPr>
          <w:p>
            <w:pPr>
              <w:spacing w:after="0" w:line="17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22(b)</w:t>
              </w:r>
            </w:hyperlink>
          </w:p>
        </w:tc>
        <w:tc>
          <w:tcPr>
            <w:tcW w:w="101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w w:val="99"/>
              </w:rPr>
              <w:t>Amendment No. 1 to Share Transfer and Note Cancellation Agreement dated July 29, 2020 between ACM Research, Inc. and Shengxin</w:t>
            </w:r>
          </w:p>
        </w:tc>
      </w:tr>
      <w:tr>
        <w:trPr>
          <w:trHeight w:val="218"/>
        </w:trPr>
        <w:tc>
          <w:tcPr>
            <w:tcW w:w="4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1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(Shanghai) Management Consulting Limited Partnership (incorporated herein by reference to Exhibit 10.01 to the Quarterly Report on</w:t>
            </w:r>
          </w:p>
        </w:tc>
      </w:tr>
      <w:tr>
        <w:trPr>
          <w:trHeight w:val="234"/>
        </w:trPr>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Form 10-Q filed on November 9, 2020)</w:t>
            </w:r>
          </w:p>
        </w:tc>
      </w:tr>
      <w:tr>
        <w:trPr>
          <w:trHeight w:val="176"/>
        </w:trPr>
        <w:tc>
          <w:tcPr>
            <w:tcW w:w="1100" w:type="dxa"/>
            <w:vAlign w:val="bottom"/>
            <w:gridSpan w:val="7"/>
          </w:tcPr>
          <w:p>
            <w:pPr>
              <w:spacing w:after="0" w:line="17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23‡†</w:t>
              </w:r>
            </w:hyperlink>
          </w:p>
        </w:tc>
        <w:tc>
          <w:tcPr>
            <w:tcW w:w="101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Grant Contract for State-owned Construction Land Use Right in Shanghai City (Category of R&amp;D Headquarters and Industrial</w:t>
            </w:r>
          </w:p>
        </w:tc>
      </w:tr>
      <w:tr>
        <w:trPr>
          <w:trHeight w:val="218"/>
        </w:trPr>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Projects) dated as of May 7, 2020 between ACM Research (Lingang), Inc. and China (Shanghai) Pilot Free Trade Zone Lin-gang</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Special Area Administration (incorporated herein by reference to Exhibit 10.01 to the Current Report on Form 8-K filed on May 13,</w:t>
            </w:r>
          </w:p>
        </w:tc>
      </w:tr>
      <w:tr>
        <w:trPr>
          <w:trHeight w:val="234"/>
        </w:trPr>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2020)</w:t>
            </w:r>
          </w:p>
        </w:tc>
      </w:tr>
      <w:tr>
        <w:trPr>
          <w:trHeight w:val="176"/>
        </w:trPr>
        <w:tc>
          <w:tcPr>
            <w:tcW w:w="1100" w:type="dxa"/>
            <w:vAlign w:val="bottom"/>
            <w:gridSpan w:val="7"/>
            <w:shd w:val="clear" w:color="auto" w:fill="CCEEFF"/>
          </w:tcPr>
          <w:p>
            <w:pPr>
              <w:spacing w:after="0" w:line="17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24†</w:t>
              </w:r>
            </w:hyperlink>
          </w:p>
        </w:tc>
        <w:tc>
          <w:tcPr>
            <w:tcW w:w="101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Commitment Letter Regarding the Lock-up of Shares, effective as of May 26, 2020, of ACM Research, Inc. (incorporated herein by</w:t>
            </w:r>
          </w:p>
        </w:tc>
      </w:tr>
      <w:tr>
        <w:trPr>
          <w:trHeight w:val="237"/>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CCEEFF"/>
            </w:tcBorders>
            <w:shd w:val="clear" w:color="auto" w:fill="CCEEFF"/>
          </w:tcPr>
          <w:p>
            <w:pPr>
              <w:spacing w:after="0"/>
              <w:rPr>
                <w:sz w:val="20"/>
                <w:szCs w:val="20"/>
                <w:color w:val="auto"/>
              </w:rPr>
            </w:pPr>
          </w:p>
        </w:tc>
        <w:tc>
          <w:tcPr>
            <w:tcW w:w="101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reference to Exhibit 10.01 to the Current Report on Form 8-K filed on June 1, 2020)</w:t>
            </w:r>
          </w:p>
        </w:tc>
      </w:tr>
      <w:tr>
        <w:trPr>
          <w:trHeight w:val="175"/>
        </w:trPr>
        <w:tc>
          <w:tcPr>
            <w:tcW w:w="1100" w:type="dxa"/>
            <w:vAlign w:val="bottom"/>
            <w:gridSpan w:val="7"/>
          </w:tcPr>
          <w:p>
            <w:pPr>
              <w:spacing w:after="0" w:line="17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25†</w:t>
              </w:r>
            </w:hyperlink>
          </w:p>
        </w:tc>
        <w:tc>
          <w:tcPr>
            <w:tcW w:w="101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Commitment Letter Regarding Shareholding Intent and Intent to Reduce Shareholding, effective as of May 26, 2020, of ACM</w:t>
            </w:r>
          </w:p>
        </w:tc>
      </w:tr>
      <w:tr>
        <w:trPr>
          <w:trHeight w:val="218"/>
        </w:trPr>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Inc. and David H. Wang (incorporated herein by reference to Exhibit 10.02 to the Current Report to Form 8-K filed on June</w:t>
            </w:r>
          </w:p>
        </w:tc>
      </w:tr>
      <w:tr>
        <w:trPr>
          <w:trHeight w:val="234"/>
        </w:trPr>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1, 2020)</w:t>
            </w:r>
          </w:p>
        </w:tc>
      </w:tr>
      <w:tr>
        <w:trPr>
          <w:trHeight w:val="176"/>
        </w:trPr>
        <w:tc>
          <w:tcPr>
            <w:tcW w:w="1100" w:type="dxa"/>
            <w:vAlign w:val="bottom"/>
            <w:gridSpan w:val="7"/>
            <w:shd w:val="clear" w:color="auto" w:fill="CCEEFF"/>
          </w:tcPr>
          <w:p>
            <w:pPr>
              <w:spacing w:after="0" w:line="17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26†</w:t>
              </w:r>
            </w:hyperlink>
          </w:p>
        </w:tc>
        <w:tc>
          <w:tcPr>
            <w:tcW w:w="101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Commitment Letter Regarding the Plan and Binding Measures for Stabilizing the Stock Price of ACM Research (Shanghai), Inc.</w:t>
            </w:r>
          </w:p>
        </w:tc>
      </w:tr>
      <w:tr>
        <w:trPr>
          <w:trHeight w:val="218"/>
        </w:trPr>
        <w:tc>
          <w:tcPr>
            <w:tcW w:w="4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1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Within Three Years After Listing, effective as of May 26, 2020, of ACM Research, Inc., ACM Research (Shanghai), Inc., and certain</w:t>
            </w:r>
          </w:p>
        </w:tc>
      </w:tr>
      <w:tr>
        <w:trPr>
          <w:trHeight w:val="234"/>
        </w:trPr>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individuals named therein (incorporated herein by reference to Exhibit 10.03 to the Current Report on Form 8-K filed on June 1, 2020)</w:t>
            </w:r>
          </w:p>
        </w:tc>
      </w:tr>
      <w:tr>
        <w:trPr>
          <w:trHeight w:val="175"/>
        </w:trPr>
        <w:tc>
          <w:tcPr>
            <w:tcW w:w="1100" w:type="dxa"/>
            <w:vAlign w:val="bottom"/>
            <w:gridSpan w:val="7"/>
          </w:tcPr>
          <w:p>
            <w:pPr>
              <w:spacing w:after="0" w:line="17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27†</w:t>
              </w:r>
            </w:hyperlink>
          </w:p>
        </w:tc>
        <w:tc>
          <w:tcPr>
            <w:tcW w:w="101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Commitment Letter Regarding Fraudulent Issuance of Listed Shares, effective as of May 26, 2020, of ACM Research, Inc., ACM</w:t>
            </w:r>
          </w:p>
        </w:tc>
      </w:tr>
      <w:tr>
        <w:trPr>
          <w:trHeight w:val="218"/>
        </w:trPr>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(Shanghai), Inc. and David H. Wang (incorporated herein by reference to Exhibit 10.04 to the Current Report on Form 8-K</w:t>
            </w:r>
          </w:p>
        </w:tc>
      </w:tr>
      <w:tr>
        <w:trPr>
          <w:trHeight w:val="234"/>
        </w:trPr>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filed on June 1, 2020)</w:t>
            </w:r>
          </w:p>
        </w:tc>
      </w:tr>
      <w:tr>
        <w:trPr>
          <w:trHeight w:val="176"/>
        </w:trPr>
        <w:tc>
          <w:tcPr>
            <w:tcW w:w="1100" w:type="dxa"/>
            <w:vAlign w:val="bottom"/>
            <w:gridSpan w:val="7"/>
            <w:shd w:val="clear" w:color="auto" w:fill="CCEEFF"/>
          </w:tcPr>
          <w:p>
            <w:pPr>
              <w:spacing w:after="0" w:line="17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28‡†</w:t>
              </w:r>
            </w:hyperlink>
          </w:p>
        </w:tc>
        <w:tc>
          <w:tcPr>
            <w:tcW w:w="101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Commitment Letter Regarding the Lack of False Records, Misleading Statements or Major Omissions in the Preliminary Information</w:t>
            </w:r>
          </w:p>
        </w:tc>
      </w:tr>
      <w:tr>
        <w:trPr>
          <w:trHeight w:val="218"/>
        </w:trPr>
        <w:tc>
          <w:tcPr>
            <w:tcW w:w="4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1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Document, effective as of May 26, 2020, of ACM Research, Inc. (incorporated herein by reference to Exhibit 10.05 to the Current</w:t>
            </w:r>
          </w:p>
        </w:tc>
      </w:tr>
      <w:tr>
        <w:trPr>
          <w:trHeight w:val="234"/>
        </w:trPr>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Report on Form 8-K filed on June 1, 2020)</w:t>
            </w:r>
          </w:p>
        </w:tc>
      </w:tr>
      <w:tr>
        <w:trPr>
          <w:trHeight w:val="176"/>
        </w:trPr>
        <w:tc>
          <w:tcPr>
            <w:tcW w:w="1100" w:type="dxa"/>
            <w:vAlign w:val="bottom"/>
            <w:gridSpan w:val="7"/>
          </w:tcPr>
          <w:p>
            <w:pPr>
              <w:spacing w:after="0" w:line="17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29†</w:t>
              </w:r>
            </w:hyperlink>
          </w:p>
        </w:tc>
        <w:tc>
          <w:tcPr>
            <w:tcW w:w="101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Commitment Letter Regarding Making Up for Diluted Immediate Returns, effective as of May 26, 2020, of ACM Research, Inc.</w:t>
            </w:r>
          </w:p>
        </w:tc>
      </w:tr>
      <w:tr>
        <w:trPr>
          <w:trHeight w:val="236"/>
        </w:trPr>
        <w:tc>
          <w:tcPr>
            <w:tcW w:w="4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(incorporated herein by reference to Exhibit 10.06 to the Current Report on Form 8-K filed on June 1, 2020)</w:t>
            </w:r>
          </w:p>
        </w:tc>
      </w:tr>
      <w:tr>
        <w:trPr>
          <w:trHeight w:val="175"/>
        </w:trPr>
        <w:tc>
          <w:tcPr>
            <w:tcW w:w="1100" w:type="dxa"/>
            <w:vAlign w:val="bottom"/>
            <w:gridSpan w:val="7"/>
            <w:shd w:val="clear" w:color="auto" w:fill="CCEEFF"/>
          </w:tcPr>
          <w:p>
            <w:pPr>
              <w:spacing w:after="0" w:line="17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30‡†</w:t>
              </w:r>
            </w:hyperlink>
          </w:p>
        </w:tc>
        <w:tc>
          <w:tcPr>
            <w:tcW w:w="101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Commitment Letter Regarding Unfulfilled Commitment on Binding Measures, effective as of May 26, 2020, of ACM Research, Inc.</w:t>
            </w:r>
          </w:p>
        </w:tc>
      </w:tr>
      <w:tr>
        <w:trPr>
          <w:trHeight w:val="237"/>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CCEEFF"/>
            </w:tcBorders>
            <w:shd w:val="clear" w:color="auto" w:fill="CCEEFF"/>
          </w:tcPr>
          <w:p>
            <w:pPr>
              <w:spacing w:after="0"/>
              <w:rPr>
                <w:sz w:val="20"/>
                <w:szCs w:val="20"/>
                <w:color w:val="auto"/>
              </w:rPr>
            </w:pPr>
          </w:p>
        </w:tc>
        <w:tc>
          <w:tcPr>
            <w:tcW w:w="101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David H. Wang (incorporated herein by reference to Exhibit 10.07 to the Current Report on Form 8-K filed on June 1, 2020)</w:t>
            </w:r>
          </w:p>
        </w:tc>
      </w:tr>
      <w:tr>
        <w:trPr>
          <w:trHeight w:val="175"/>
        </w:trPr>
        <w:tc>
          <w:tcPr>
            <w:tcW w:w="1100" w:type="dxa"/>
            <w:vAlign w:val="bottom"/>
            <w:gridSpan w:val="7"/>
          </w:tcPr>
          <w:p>
            <w:pPr>
              <w:spacing w:after="0" w:line="17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31†</w:t>
              </w:r>
            </w:hyperlink>
          </w:p>
        </w:tc>
        <w:tc>
          <w:tcPr>
            <w:tcW w:w="101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Commitment Letter Regarding the Avoidance of Competition in the Same Industry, effective as of May 26, 2020, of ACM Research,</w:t>
            </w:r>
          </w:p>
        </w:tc>
      </w:tr>
      <w:tr>
        <w:trPr>
          <w:trHeight w:val="237"/>
        </w:trPr>
        <w:tc>
          <w:tcPr>
            <w:tcW w:w="4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 (incorporated herein by reference to Exhibit 10.08 to the Current Report on Form 8-K filed on June 1, 2020)</w:t>
            </w:r>
          </w:p>
        </w:tc>
      </w:tr>
      <w:tr>
        <w:trPr>
          <w:trHeight w:val="584"/>
        </w:trPr>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140" w:type="dxa"/>
            <w:vAlign w:val="bottom"/>
          </w:tcPr>
          <w:p>
            <w:pPr>
              <w:ind w:left="4460"/>
              <w:spacing w:after="0"/>
              <w:rPr>
                <w:sz w:val="20"/>
                <w:szCs w:val="20"/>
                <w:color w:val="auto"/>
              </w:rPr>
            </w:pPr>
            <w:r>
              <w:rPr>
                <w:rFonts w:ascii="Times New Roman" w:cs="Times New Roman" w:eastAsia="Times New Roman" w:hAnsi="Times New Roman"/>
                <w:sz w:val="14"/>
                <w:szCs w:val="14"/>
                <w:color w:val="auto"/>
              </w:rPr>
              <w:t>22</w:t>
            </w:r>
          </w:p>
        </w:tc>
      </w:tr>
      <w:tr>
        <w:trPr>
          <w:trHeight w:val="44"/>
        </w:trPr>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14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08" w:right="33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gridSpan w:val="5"/>
            <w:shd w:val="clear" w:color="auto" w:fill="CCEEFF"/>
          </w:tcPr>
          <w:p>
            <w:pPr>
              <w:spacing w:after="0"/>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32†</w:t>
              </w:r>
            </w:hyperlink>
          </w:p>
        </w:tc>
        <w:tc>
          <w:tcPr>
            <w:tcW w:w="10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Commitment Letter Regarding the Standardization and Reduction of Related Transactions, effective as of May 26, 2020, of ACM</w:t>
            </w:r>
          </w:p>
        </w:tc>
      </w:tr>
      <w:tr>
        <w:trPr>
          <w:trHeight w:val="237"/>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10200" w:type="dxa"/>
            <w:vAlign w:val="bottom"/>
            <w:tcBorders>
              <w:top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Research, Inc. (incorporated herein by reference to Exhibit 10.09 to the Current Report on Form 8-K filed on June 1, 2020)</w:t>
            </w:r>
          </w:p>
        </w:tc>
      </w:tr>
      <w:tr>
        <w:trPr>
          <w:trHeight w:val="176"/>
        </w:trPr>
        <w:tc>
          <w:tcPr>
            <w:tcW w:w="1040" w:type="dxa"/>
            <w:vAlign w:val="bottom"/>
            <w:gridSpan w:val="5"/>
          </w:tcPr>
          <w:p>
            <w:pPr>
              <w:spacing w:after="0" w:line="17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33†</w:t>
              </w:r>
            </w:hyperlink>
          </w:p>
        </w:tc>
        <w:tc>
          <w:tcPr>
            <w:tcW w:w="10200" w:type="dxa"/>
            <w:vAlign w:val="bottom"/>
          </w:tcPr>
          <w:p>
            <w:pPr>
              <w:ind w:left="420"/>
              <w:spacing w:after="0" w:line="176" w:lineRule="exact"/>
              <w:rPr>
                <w:sz w:val="20"/>
                <w:szCs w:val="20"/>
                <w:color w:val="auto"/>
              </w:rPr>
            </w:pPr>
            <w:r>
              <w:rPr>
                <w:rFonts w:ascii="Times New Roman" w:cs="Times New Roman" w:eastAsia="Times New Roman" w:hAnsi="Times New Roman"/>
                <w:sz w:val="18"/>
                <w:szCs w:val="18"/>
                <w:color w:val="auto"/>
              </w:rPr>
              <w:t>Commitment Letter Regarding the Avoidance of Funds Occupation and Illegal Guarantee, effective as of May 26, 2020, of ACM</w:t>
            </w:r>
          </w:p>
        </w:tc>
      </w:tr>
      <w:tr>
        <w:trPr>
          <w:trHeight w:val="237"/>
        </w:trPr>
        <w:tc>
          <w:tcPr>
            <w:tcW w:w="4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Research, Inc. (incorporated herein by reference to Exhibit 10.10 to the Current Report on Form 8-K filed on June 1, 2020)</w:t>
            </w:r>
          </w:p>
        </w:tc>
      </w:tr>
      <w:tr>
        <w:trPr>
          <w:trHeight w:val="175"/>
        </w:trPr>
        <w:tc>
          <w:tcPr>
            <w:tcW w:w="104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34‡†</w:t>
              </w:r>
            </w:hyperlink>
          </w:p>
        </w:tc>
        <w:tc>
          <w:tcPr>
            <w:tcW w:w="10200" w:type="dxa"/>
            <w:vAlign w:val="bottom"/>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Statement and Commitment Letter, effective as of May 26, 2020, of ACM Research, Inc. (incorporated herein by reference to Exhibit</w:t>
            </w:r>
          </w:p>
        </w:tc>
      </w:tr>
      <w:tr>
        <w:trPr>
          <w:trHeight w:val="237"/>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10200" w:type="dxa"/>
            <w:vAlign w:val="bottom"/>
            <w:tcBorders>
              <w:top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10.11 to the Current Report on Form 8-K filed on June 1, 2020)</w:t>
            </w:r>
          </w:p>
        </w:tc>
      </w:tr>
      <w:tr>
        <w:trPr>
          <w:trHeight w:val="176"/>
        </w:trPr>
        <w:tc>
          <w:tcPr>
            <w:tcW w:w="1040" w:type="dxa"/>
            <w:vAlign w:val="bottom"/>
            <w:gridSpan w:val="5"/>
          </w:tcPr>
          <w:p>
            <w:pPr>
              <w:spacing w:after="0" w:line="17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35†</w:t>
              </w:r>
            </w:hyperlink>
          </w:p>
        </w:tc>
        <w:tc>
          <w:tcPr>
            <w:tcW w:w="10200" w:type="dxa"/>
            <w:vAlign w:val="bottom"/>
          </w:tcPr>
          <w:p>
            <w:pPr>
              <w:ind w:left="420"/>
              <w:spacing w:after="0" w:line="176" w:lineRule="exact"/>
              <w:rPr>
                <w:sz w:val="20"/>
                <w:szCs w:val="20"/>
                <w:color w:val="auto"/>
              </w:rPr>
            </w:pPr>
            <w:r>
              <w:rPr>
                <w:rFonts w:ascii="Times New Roman" w:cs="Times New Roman" w:eastAsia="Times New Roman" w:hAnsi="Times New Roman"/>
                <w:sz w:val="18"/>
                <w:szCs w:val="18"/>
                <w:color w:val="auto"/>
              </w:rPr>
              <w:t>Commitment Letter Regarding Property Lease Matters, effective as of May 26, 2020, of ACM Research, Inc. (incorporated herein by</w:t>
            </w:r>
          </w:p>
        </w:tc>
      </w:tr>
      <w:tr>
        <w:trPr>
          <w:trHeight w:val="236"/>
        </w:trPr>
        <w:tc>
          <w:tcPr>
            <w:tcW w:w="4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reference to Exhibit 10.12 to the Current Report on Form 8-K filed on June 1, 2020)</w:t>
            </w:r>
          </w:p>
        </w:tc>
      </w:tr>
      <w:tr>
        <w:trPr>
          <w:trHeight w:val="176"/>
        </w:trPr>
        <w:tc>
          <w:tcPr>
            <w:tcW w:w="104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36†</w:t>
              </w:r>
            </w:hyperlink>
          </w:p>
        </w:tc>
        <w:tc>
          <w:tcPr>
            <w:tcW w:w="10200" w:type="dxa"/>
            <w:vAlign w:val="bottom"/>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w w:val="99"/>
              </w:rPr>
              <w:t>Commitment Letter Regarding Social Insurance and Housing Provident Fund Matters, effective as of May 26, 2020, of ACM Research,</w:t>
            </w:r>
          </w:p>
        </w:tc>
      </w:tr>
      <w:tr>
        <w:trPr>
          <w:trHeight w:val="237"/>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10200" w:type="dxa"/>
            <w:vAlign w:val="bottom"/>
            <w:tcBorders>
              <w:top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Inc. (incorporated herein by reference to Exhibit 10.13 to the Current Report on Form 8-K filed on June 1, 2020)</w:t>
            </w:r>
          </w:p>
        </w:tc>
      </w:tr>
      <w:tr>
        <w:trPr>
          <w:trHeight w:val="175"/>
        </w:trPr>
        <w:tc>
          <w:tcPr>
            <w:tcW w:w="1040" w:type="dxa"/>
            <w:vAlign w:val="bottom"/>
            <w:gridSpan w:val="5"/>
          </w:tcPr>
          <w:p>
            <w:pPr>
              <w:spacing w:after="0" w:line="17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37†</w:t>
              </w:r>
            </w:hyperlink>
          </w:p>
        </w:tc>
        <w:tc>
          <w:tcPr>
            <w:tcW w:w="10200" w:type="dxa"/>
            <w:vAlign w:val="bottom"/>
          </w:tcPr>
          <w:p>
            <w:pPr>
              <w:ind w:left="420"/>
              <w:spacing w:after="0" w:line="176" w:lineRule="exact"/>
              <w:rPr>
                <w:sz w:val="20"/>
                <w:szCs w:val="20"/>
                <w:color w:val="auto"/>
              </w:rPr>
            </w:pPr>
            <w:r>
              <w:rPr>
                <w:rFonts w:ascii="Times New Roman" w:cs="Times New Roman" w:eastAsia="Times New Roman" w:hAnsi="Times New Roman"/>
                <w:sz w:val="18"/>
                <w:szCs w:val="18"/>
                <w:color w:val="auto"/>
              </w:rPr>
              <w:t>Commitment Letter Regarding Foreign Exchange Matters, effective as of May 26, 2020, of ACM Research, Inc. (incorporated herein</w:t>
            </w:r>
          </w:p>
        </w:tc>
      </w:tr>
      <w:tr>
        <w:trPr>
          <w:trHeight w:val="237"/>
        </w:trPr>
        <w:tc>
          <w:tcPr>
            <w:tcW w:w="4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by reference to Exhibit 10.14 to the Current Report on Form 8-K filed on June 1, 2020)</w:t>
            </w:r>
          </w:p>
        </w:tc>
      </w:tr>
      <w:tr>
        <w:trPr>
          <w:trHeight w:val="176"/>
        </w:trPr>
        <w:tc>
          <w:tcPr>
            <w:tcW w:w="104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38†</w:t>
              </w:r>
            </w:hyperlink>
          </w:p>
        </w:tc>
        <w:tc>
          <w:tcPr>
            <w:tcW w:w="10200" w:type="dxa"/>
            <w:vAlign w:val="bottom"/>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Confirmation and Commitment Letter Regarding the Historical Evolution Related Matters Regarding ACM Research (Shanghai), Inc.,</w:t>
            </w:r>
          </w:p>
        </w:tc>
      </w:tr>
      <w:tr>
        <w:trPr>
          <w:trHeight w:val="218"/>
        </w:trPr>
        <w:tc>
          <w:tcPr>
            <w:tcW w:w="4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200" w:type="dxa"/>
            <w:vAlign w:val="bottom"/>
            <w:tcBorders>
              <w:top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effective as of May 26, 2020, of ACM Research, Inc. (incorporated herein by reference to Exhibit 10.15 to the Current Report on Form</w:t>
            </w:r>
          </w:p>
        </w:tc>
      </w:tr>
      <w:tr>
        <w:trPr>
          <w:trHeight w:val="234"/>
        </w:trPr>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8-K filed on June 1, 2020)</w:t>
            </w:r>
          </w:p>
        </w:tc>
      </w:tr>
      <w:tr>
        <w:trPr>
          <w:trHeight w:val="175"/>
        </w:trPr>
        <w:tc>
          <w:tcPr>
            <w:tcW w:w="1040" w:type="dxa"/>
            <w:vAlign w:val="bottom"/>
            <w:gridSpan w:val="5"/>
          </w:tcPr>
          <w:p>
            <w:pPr>
              <w:spacing w:after="0" w:line="17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39†</w:t>
              </w:r>
            </w:hyperlink>
          </w:p>
        </w:tc>
        <w:tc>
          <w:tcPr>
            <w:tcW w:w="10200" w:type="dxa"/>
            <w:vAlign w:val="bottom"/>
          </w:tcPr>
          <w:p>
            <w:pPr>
              <w:ind w:left="420"/>
              <w:spacing w:after="0" w:line="176" w:lineRule="exact"/>
              <w:rPr>
                <w:sz w:val="20"/>
                <w:szCs w:val="20"/>
                <w:color w:val="auto"/>
              </w:rPr>
            </w:pPr>
            <w:r>
              <w:rPr>
                <w:rFonts w:ascii="Times New Roman" w:cs="Times New Roman" w:eastAsia="Times New Roman" w:hAnsi="Times New Roman"/>
                <w:sz w:val="18"/>
                <w:szCs w:val="18"/>
                <w:color w:val="auto"/>
              </w:rPr>
              <w:t>Confirmation Letter, effective as of May 26, 2020, of ACM Research, Inc. (incorporated herein by reference to Exhibit 10.16 to the</w:t>
            </w:r>
          </w:p>
        </w:tc>
      </w:tr>
      <w:tr>
        <w:trPr>
          <w:trHeight w:val="237"/>
        </w:trPr>
        <w:tc>
          <w:tcPr>
            <w:tcW w:w="4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Current Report on Form 8-K filed on June 1, 2020)</w:t>
            </w:r>
          </w:p>
        </w:tc>
      </w:tr>
      <w:tr>
        <w:trPr>
          <w:trHeight w:val="176"/>
        </w:trPr>
        <w:tc>
          <w:tcPr>
            <w:tcW w:w="104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40‡†</w:t>
              </w:r>
            </w:hyperlink>
          </w:p>
        </w:tc>
        <w:tc>
          <w:tcPr>
            <w:tcW w:w="10200" w:type="dxa"/>
            <w:vAlign w:val="bottom"/>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Qingdao Fortune-Tech Xinxing Capital Partnership (L.P.) Partnership Agreement, dated June 9, 2020, among China Fortune Tech</w:t>
            </w:r>
          </w:p>
        </w:tc>
      </w:tr>
      <w:tr>
        <w:trPr>
          <w:trHeight w:val="218"/>
        </w:trPr>
        <w:tc>
          <w:tcPr>
            <w:tcW w:w="4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200" w:type="dxa"/>
            <w:vAlign w:val="bottom"/>
            <w:tcBorders>
              <w:top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Capital Co., Ltd., as general partner, and the several limited partners named therein, including ACM Research (Shanghai), Inc.</w:t>
            </w:r>
          </w:p>
        </w:tc>
      </w:tr>
      <w:tr>
        <w:trPr>
          <w:trHeight w:val="234"/>
        </w:trPr>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(incorporated herein by reference to Exhibit 10.01 to the Current Report on Form 8-K filed on July 7, 2020)</w:t>
            </w:r>
          </w:p>
        </w:tc>
      </w:tr>
      <w:tr>
        <w:trPr>
          <w:trHeight w:val="175"/>
        </w:trPr>
        <w:tc>
          <w:tcPr>
            <w:tcW w:w="1040" w:type="dxa"/>
            <w:vAlign w:val="bottom"/>
            <w:gridSpan w:val="5"/>
          </w:tcPr>
          <w:p>
            <w:pPr>
              <w:spacing w:after="0" w:line="17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41‡†</w:t>
              </w:r>
            </w:hyperlink>
          </w:p>
        </w:tc>
        <w:tc>
          <w:tcPr>
            <w:tcW w:w="10200" w:type="dxa"/>
            <w:vAlign w:val="bottom"/>
          </w:tcPr>
          <w:p>
            <w:pPr>
              <w:ind w:left="420"/>
              <w:spacing w:after="0" w:line="176" w:lineRule="exact"/>
              <w:rPr>
                <w:sz w:val="20"/>
                <w:szCs w:val="20"/>
                <w:color w:val="auto"/>
              </w:rPr>
            </w:pPr>
            <w:r>
              <w:rPr>
                <w:rFonts w:ascii="Times New Roman" w:cs="Times New Roman" w:eastAsia="Times New Roman" w:hAnsi="Times New Roman"/>
                <w:sz w:val="18"/>
                <w:szCs w:val="18"/>
                <w:color w:val="auto"/>
              </w:rPr>
              <w:t>Supplementary Agreement to Partnership Agreement of Qingdao Fortune-Tech Xinxing Capital Partnership (L.P.), dated June 15,</w:t>
            </w:r>
          </w:p>
        </w:tc>
      </w:tr>
      <w:tr>
        <w:trPr>
          <w:trHeight w:val="218"/>
        </w:trPr>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2020, among China Fortune Tech Capital Co., Ltd., as general partner, and the several limited partners named therein, including ACM</w:t>
            </w:r>
          </w:p>
        </w:tc>
      </w:tr>
      <w:tr>
        <w:trPr>
          <w:trHeight w:val="234"/>
        </w:trPr>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Research (Shanghai), Inc. (incorporated herein by reference to Exhibit 10.02 to the Current Report on Form 8-K filed on July 7, 2020)</w:t>
            </w:r>
          </w:p>
        </w:tc>
      </w:tr>
      <w:tr>
        <w:trPr>
          <w:trHeight w:val="176"/>
        </w:trPr>
        <w:tc>
          <w:tcPr>
            <w:tcW w:w="50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42</w:t>
              </w:r>
            </w:hyperlink>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200" w:type="dxa"/>
            <w:vAlign w:val="bottom"/>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Adoption Agreement dated July 29, 2020 between ACM Research, Inc. and Shengxin (Shanghai) Management Consulting Limited</w:t>
            </w:r>
          </w:p>
        </w:tc>
      </w:tr>
      <w:tr>
        <w:trPr>
          <w:trHeight w:val="218"/>
        </w:trPr>
        <w:tc>
          <w:tcPr>
            <w:tcW w:w="4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200" w:type="dxa"/>
            <w:vAlign w:val="bottom"/>
            <w:tcBorders>
              <w:top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Partnership (amending the Second Amended and Restated Registration Rights Agreement between ACM Research, Inc. and certain of</w:t>
            </w:r>
          </w:p>
        </w:tc>
      </w:tr>
      <w:tr>
        <w:trPr>
          <w:trHeight w:val="216"/>
        </w:trPr>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its stockholders filed with the SEC on October 18, 2017 as Exhibit 10.09 to Amendment No. 1 to Registration Statement on Form S-1)</w:t>
            </w:r>
          </w:p>
        </w:tc>
      </w:tr>
      <w:tr>
        <w:trPr>
          <w:trHeight w:val="234"/>
        </w:trPr>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(incorporated herein by reference to Exhibit 10.02 to the Quarterly Report on Form 10-Q filed on November 9, 2020)</w:t>
            </w:r>
          </w:p>
        </w:tc>
      </w:tr>
      <w:tr>
        <w:trPr>
          <w:trHeight w:val="175"/>
        </w:trPr>
        <w:tc>
          <w:tcPr>
            <w:tcW w:w="1040" w:type="dxa"/>
            <w:vAlign w:val="bottom"/>
            <w:gridSpan w:val="5"/>
          </w:tcPr>
          <w:p>
            <w:pPr>
              <w:spacing w:after="0" w:line="17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43†*</w:t>
              </w:r>
            </w:hyperlink>
          </w:p>
        </w:tc>
        <w:tc>
          <w:tcPr>
            <w:tcW w:w="10200" w:type="dxa"/>
            <w:vAlign w:val="bottom"/>
          </w:tcPr>
          <w:p>
            <w:pPr>
              <w:ind w:left="420"/>
              <w:spacing w:after="0" w:line="176" w:lineRule="exact"/>
              <w:rPr>
                <w:sz w:val="20"/>
                <w:szCs w:val="20"/>
                <w:color w:val="auto"/>
              </w:rPr>
            </w:pPr>
            <w:r>
              <w:rPr>
                <w:rFonts w:ascii="Times New Roman" w:cs="Times New Roman" w:eastAsia="Times New Roman" w:hAnsi="Times New Roman"/>
                <w:sz w:val="18"/>
                <w:szCs w:val="18"/>
                <w:color w:val="auto"/>
              </w:rPr>
              <w:t>Form of Shanghai Public Rental Housing Overall Pre-Sale Contract (incorporated herein by reference to Exhibit 10.01 to the Current</w:t>
            </w:r>
          </w:p>
        </w:tc>
      </w:tr>
      <w:tr>
        <w:trPr>
          <w:trHeight w:val="237"/>
        </w:trPr>
        <w:tc>
          <w:tcPr>
            <w:tcW w:w="4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Report on Form 8-K filed on February 25, 2021)</w:t>
            </w:r>
          </w:p>
        </w:tc>
      </w:tr>
      <w:tr>
        <w:trPr>
          <w:trHeight w:val="176"/>
        </w:trPr>
        <w:tc>
          <w:tcPr>
            <w:tcW w:w="104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43(a)</w:t>
              </w:r>
            </w:hyperlink>
          </w:p>
        </w:tc>
        <w:tc>
          <w:tcPr>
            <w:tcW w:w="10200" w:type="dxa"/>
            <w:vAlign w:val="bottom"/>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Schedule identifying agreements substantially identical to the form of Shanghai Public Rental Housing Overall Pre-Sale Contract filed</w:t>
            </w:r>
          </w:p>
        </w:tc>
      </w:tr>
      <w:tr>
        <w:trPr>
          <w:trHeight w:val="218"/>
        </w:trPr>
        <w:tc>
          <w:tcPr>
            <w:tcW w:w="4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200" w:type="dxa"/>
            <w:vAlign w:val="bottom"/>
            <w:tcBorders>
              <w:top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as Exhibit 10.43 hereto (incorporated herein by reference to Exhibit 10.01(a) to the Current Report on Form 8-K filed on February 25,</w:t>
            </w:r>
          </w:p>
        </w:tc>
      </w:tr>
      <w:tr>
        <w:trPr>
          <w:trHeight w:val="234"/>
        </w:trPr>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2021)</w:t>
            </w:r>
          </w:p>
        </w:tc>
      </w:tr>
      <w:tr>
        <w:trPr>
          <w:trHeight w:val="176"/>
        </w:trPr>
        <w:tc>
          <w:tcPr>
            <w:tcW w:w="1040" w:type="dxa"/>
            <w:vAlign w:val="bottom"/>
            <w:gridSpan w:val="5"/>
          </w:tcPr>
          <w:p>
            <w:pPr>
              <w:spacing w:after="0" w:line="17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44†</w:t>
              </w:r>
            </w:hyperlink>
          </w:p>
        </w:tc>
        <w:tc>
          <w:tcPr>
            <w:tcW w:w="10200" w:type="dxa"/>
            <w:vAlign w:val="bottom"/>
          </w:tcPr>
          <w:p>
            <w:pPr>
              <w:ind w:left="420"/>
              <w:spacing w:after="0" w:line="176" w:lineRule="exact"/>
              <w:rPr>
                <w:sz w:val="20"/>
                <w:szCs w:val="20"/>
                <w:color w:val="auto"/>
              </w:rPr>
            </w:pPr>
            <w:r>
              <w:rPr>
                <w:rFonts w:ascii="Times New Roman" w:cs="Times New Roman" w:eastAsia="Times New Roman" w:hAnsi="Times New Roman"/>
                <w:sz w:val="18"/>
                <w:szCs w:val="18"/>
                <w:color w:val="auto"/>
                <w:w w:val="99"/>
              </w:rPr>
              <w:t>Loan and Mortgage Contract dated November 19, 2020 between China Merchants Bank Co., Ltd., Shanghai Pilot Free Trade Zone Lin-</w:t>
            </w:r>
          </w:p>
        </w:tc>
      </w:tr>
      <w:tr>
        <w:trPr>
          <w:trHeight w:val="218"/>
        </w:trPr>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Gang Special Area Sub-branch and Shengwei Research (Shanghai), Inc. (incorporated herein by reference to Exhibit 10.02 to the</w:t>
            </w:r>
          </w:p>
        </w:tc>
      </w:tr>
      <w:tr>
        <w:trPr>
          <w:trHeight w:val="234"/>
        </w:trPr>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Current Report on Form 8-K filed on February 25, 2021)</w:t>
            </w:r>
          </w:p>
        </w:tc>
      </w:tr>
      <w:tr>
        <w:trPr>
          <w:trHeight w:val="176"/>
        </w:trPr>
        <w:tc>
          <w:tcPr>
            <w:tcW w:w="104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45†</w:t>
              </w:r>
            </w:hyperlink>
          </w:p>
        </w:tc>
        <w:tc>
          <w:tcPr>
            <w:tcW w:w="10200" w:type="dxa"/>
            <w:vAlign w:val="bottom"/>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Irrevocable Letter of Guarantee dated November 19, 2020 between China Merchants Bank Co., Ltd., Shanghai Pilot Free Trade Zone</w:t>
            </w:r>
          </w:p>
        </w:tc>
      </w:tr>
      <w:tr>
        <w:trPr>
          <w:trHeight w:val="218"/>
        </w:trPr>
        <w:tc>
          <w:tcPr>
            <w:tcW w:w="4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200" w:type="dxa"/>
            <w:vAlign w:val="bottom"/>
            <w:tcBorders>
              <w:top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Lin-Gang Special Area Sub-branch and ACM Research (Shanghai), Inc. (incorporated herein by reference to Exhibit 10.03 to the</w:t>
            </w:r>
          </w:p>
        </w:tc>
      </w:tr>
      <w:tr>
        <w:trPr>
          <w:trHeight w:val="234"/>
        </w:trPr>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Current Report on Form 8-K filed on February 25, 2021)</w:t>
            </w:r>
          </w:p>
        </w:tc>
      </w:tr>
      <w:tr>
        <w:trPr>
          <w:trHeight w:val="176"/>
        </w:trPr>
        <w:tc>
          <w:tcPr>
            <w:tcW w:w="1040" w:type="dxa"/>
            <w:vAlign w:val="bottom"/>
            <w:gridSpan w:val="5"/>
          </w:tcPr>
          <w:p>
            <w:pPr>
              <w:spacing w:after="0" w:line="17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46‡†</w:t>
              </w:r>
            </w:hyperlink>
          </w:p>
        </w:tc>
        <w:tc>
          <w:tcPr>
            <w:tcW w:w="10200" w:type="dxa"/>
            <w:vAlign w:val="bottom"/>
          </w:tcPr>
          <w:p>
            <w:pPr>
              <w:ind w:left="420"/>
              <w:spacing w:after="0" w:line="176" w:lineRule="exact"/>
              <w:rPr>
                <w:sz w:val="20"/>
                <w:szCs w:val="20"/>
                <w:color w:val="auto"/>
              </w:rPr>
            </w:pPr>
            <w:r>
              <w:rPr>
                <w:rFonts w:ascii="Times New Roman" w:cs="Times New Roman" w:eastAsia="Times New Roman" w:hAnsi="Times New Roman"/>
                <w:sz w:val="18"/>
                <w:szCs w:val="18"/>
                <w:color w:val="auto"/>
              </w:rPr>
              <w:t>Plant lease Contract dated as of February 1, 2021 between ACM Research (Shanghai), Inc. and Shanghai Shengyu Culture</w:t>
            </w:r>
          </w:p>
        </w:tc>
      </w:tr>
      <w:tr>
        <w:trPr>
          <w:trHeight w:val="236"/>
        </w:trPr>
        <w:tc>
          <w:tcPr>
            <w:tcW w:w="4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Development Co., Ltd. (incorporated herein by reference to Exhibit 10.01 to the Quarterly Report on Form 10-Q filed on May 7, 2021)</w:t>
            </w:r>
          </w:p>
        </w:tc>
      </w:tr>
      <w:tr>
        <w:trPr>
          <w:trHeight w:val="175"/>
        </w:trPr>
        <w:tc>
          <w:tcPr>
            <w:tcW w:w="50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21.</w:t>
              </w:r>
              <w:r>
                <w:rPr>
                  <w:rFonts w:ascii="Times New Roman" w:cs="Times New Roman" w:eastAsia="Times New Roman" w:hAnsi="Times New Roman"/>
                  <w:sz w:val="18"/>
                  <w:szCs w:val="18"/>
                  <w:u w:val="single" w:color="auto"/>
                  <w:color w:val="0000EE"/>
                </w:rPr>
                <w:t>01</w:t>
              </w:r>
            </w:hyperlink>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200" w:type="dxa"/>
            <w:vAlign w:val="bottom"/>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List of Subsidiaries of ACM Research, Inc. (incorporated herein by reference to Exhibit 21.01 to the Annual Report on Form 10-K</w:t>
            </w:r>
          </w:p>
        </w:tc>
      </w:tr>
      <w:tr>
        <w:trPr>
          <w:trHeight w:val="237"/>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10200" w:type="dxa"/>
            <w:vAlign w:val="bottom"/>
            <w:tcBorders>
              <w:top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filed on March 3, 2022)</w:t>
            </w:r>
          </w:p>
        </w:tc>
      </w:tr>
      <w:tr>
        <w:trPr>
          <w:trHeight w:val="175"/>
        </w:trPr>
        <w:tc>
          <w:tcPr>
            <w:tcW w:w="500" w:type="dxa"/>
            <w:vAlign w:val="bottom"/>
            <w:gridSpan w:val="2"/>
          </w:tcPr>
          <w:p>
            <w:pPr>
              <w:spacing w:after="0" w:line="17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01</w:t>
              </w:r>
            </w:hyperlink>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0" w:type="dxa"/>
            <w:vAlign w:val="bottom"/>
          </w:tcPr>
          <w:p>
            <w:pPr>
              <w:ind w:left="420"/>
              <w:spacing w:after="0" w:line="176" w:lineRule="exact"/>
              <w:rPr>
                <w:sz w:val="20"/>
                <w:szCs w:val="20"/>
                <w:color w:val="auto"/>
              </w:rPr>
            </w:pPr>
            <w:r>
              <w:rPr>
                <w:rFonts w:ascii="Times New Roman" w:cs="Times New Roman" w:eastAsia="Times New Roman" w:hAnsi="Times New Roman"/>
                <w:sz w:val="18"/>
                <w:szCs w:val="18"/>
                <w:color w:val="auto"/>
              </w:rPr>
              <w:t>Consent of BDO China Shu Lan Pan Certified Public Accountants LLP (incorporated herein by reference to Exhibit 23.01 to the</w:t>
            </w:r>
          </w:p>
        </w:tc>
      </w:tr>
      <w:tr>
        <w:trPr>
          <w:trHeight w:val="237"/>
        </w:trPr>
        <w:tc>
          <w:tcPr>
            <w:tcW w:w="42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Annual Report on Form 10-K filed on March 3, 2022)</w:t>
            </w:r>
          </w:p>
        </w:tc>
      </w:tr>
      <w:tr>
        <w:trPr>
          <w:trHeight w:val="584"/>
        </w:trPr>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0" w:type="dxa"/>
            <w:vAlign w:val="bottom"/>
          </w:tcPr>
          <w:p>
            <w:pPr>
              <w:ind w:left="4520"/>
              <w:spacing w:after="0"/>
              <w:rPr>
                <w:sz w:val="20"/>
                <w:szCs w:val="20"/>
                <w:color w:val="auto"/>
              </w:rPr>
            </w:pPr>
            <w:r>
              <w:rPr>
                <w:rFonts w:ascii="Times New Roman" w:cs="Times New Roman" w:eastAsia="Times New Roman" w:hAnsi="Times New Roman"/>
                <w:sz w:val="14"/>
                <w:szCs w:val="14"/>
                <w:color w:val="auto"/>
              </w:rPr>
              <w:t>23</w:t>
            </w:r>
          </w:p>
        </w:tc>
      </w:tr>
      <w:tr>
        <w:trPr>
          <w:trHeight w:val="44"/>
        </w:trPr>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2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08" w:right="339"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01</w:t>
            </w:r>
          </w:p>
        </w:tc>
        <w:tc>
          <w:tcPr>
            <w:tcW w:w="101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Rules 13a-14(a) and 15d-14(a) under the Securities Exchange Act of 1934, as</w:t>
            </w:r>
          </w:p>
        </w:tc>
      </w:tr>
      <w:tr>
        <w:trPr>
          <w:trHeight w:val="236"/>
        </w:trPr>
        <w:tc>
          <w:tcPr>
            <w:tcW w:w="420" w:type="dxa"/>
            <w:vAlign w:val="bottom"/>
            <w:tcBorders>
              <w:top w:val="single" w:sz="8" w:color="0000EE"/>
            </w:tcBorders>
            <w:shd w:val="clear" w:color="auto" w:fill="CCEEFF"/>
          </w:tcPr>
          <w:p>
            <w:pPr>
              <w:spacing w:after="0"/>
              <w:rPr>
                <w:sz w:val="20"/>
                <w:szCs w:val="20"/>
                <w:color w:val="auto"/>
              </w:rPr>
            </w:pPr>
          </w:p>
        </w:tc>
        <w:tc>
          <w:tcPr>
            <w:tcW w:w="660" w:type="dxa"/>
            <w:vAlign w:val="bottom"/>
            <w:tcBorders>
              <w:top w:val="single" w:sz="8" w:color="CCEEFF"/>
            </w:tcBorders>
            <w:shd w:val="clear" w:color="auto" w:fill="CCEEFF"/>
          </w:tcPr>
          <w:p>
            <w:pPr>
              <w:spacing w:after="0"/>
              <w:rPr>
                <w:sz w:val="20"/>
                <w:szCs w:val="20"/>
                <w:color w:val="auto"/>
              </w:rPr>
            </w:pPr>
          </w:p>
        </w:tc>
        <w:tc>
          <w:tcPr>
            <w:tcW w:w="10160" w:type="dxa"/>
            <w:vAlign w:val="bottom"/>
            <w:tcBorders>
              <w:top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r>
      <w:tr>
        <w:trPr>
          <w:trHeight w:val="176"/>
        </w:trPr>
        <w:tc>
          <w:tcPr>
            <w:tcW w:w="10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02</w:t>
            </w:r>
          </w:p>
        </w:tc>
        <w:tc>
          <w:tcPr>
            <w:tcW w:w="10160" w:type="dxa"/>
            <w:vAlign w:val="bottom"/>
          </w:tcPr>
          <w:p>
            <w:pPr>
              <w:ind w:left="380"/>
              <w:spacing w:after="0" w:line="176" w:lineRule="exact"/>
              <w:rPr>
                <w:sz w:val="20"/>
                <w:szCs w:val="20"/>
                <w:color w:val="auto"/>
              </w:rPr>
            </w:pPr>
            <w:r>
              <w:rPr>
                <w:rFonts w:ascii="Times New Roman" w:cs="Times New Roman" w:eastAsia="Times New Roman" w:hAnsi="Times New Roman"/>
                <w:sz w:val="18"/>
                <w:szCs w:val="18"/>
                <w:color w:val="auto"/>
              </w:rPr>
              <w:t>Certification of Principal Financial Officer Pursuant to Rules 13a-14(a) and 15d-14(a) under the Securities Exchange Act of 1934, as</w:t>
            </w:r>
          </w:p>
        </w:tc>
      </w:tr>
      <w:tr>
        <w:trPr>
          <w:trHeight w:val="237"/>
        </w:trPr>
        <w:tc>
          <w:tcPr>
            <w:tcW w:w="420" w:type="dxa"/>
            <w:vAlign w:val="bottom"/>
            <w:tcBorders>
              <w:top w:val="single" w:sz="8" w:color="0000EE"/>
            </w:tcBorders>
          </w:tcPr>
          <w:p>
            <w:pPr>
              <w:spacing w:after="0"/>
              <w:rPr>
                <w:sz w:val="20"/>
                <w:szCs w:val="20"/>
                <w:color w:val="auto"/>
              </w:rPr>
            </w:pPr>
          </w:p>
        </w:tc>
        <w:tc>
          <w:tcPr>
            <w:tcW w:w="660" w:type="dxa"/>
            <w:vAlign w:val="bottom"/>
          </w:tcPr>
          <w:p>
            <w:pPr>
              <w:spacing w:after="0"/>
              <w:rPr>
                <w:sz w:val="20"/>
                <w:szCs w:val="20"/>
                <w:color w:val="auto"/>
              </w:rPr>
            </w:pPr>
          </w:p>
        </w:tc>
        <w:tc>
          <w:tcPr>
            <w:tcW w:w="10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r>
      <w:tr>
        <w:trPr>
          <w:trHeight w:val="175"/>
        </w:trPr>
        <w:tc>
          <w:tcPr>
            <w:tcW w:w="10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01</w:t>
            </w:r>
          </w:p>
        </w:tc>
        <w:tc>
          <w:tcPr>
            <w:tcW w:w="10160" w:type="dxa"/>
            <w:vAlign w:val="bottom"/>
            <w:shd w:val="clear" w:color="auto" w:fill="CCEEFF"/>
          </w:tcPr>
          <w:p>
            <w:pPr>
              <w:ind w:left="380"/>
              <w:spacing w:after="0" w:line="176" w:lineRule="exact"/>
              <w:rPr>
                <w:sz w:val="20"/>
                <w:szCs w:val="20"/>
                <w:color w:val="auto"/>
              </w:rPr>
            </w:pPr>
            <w:r>
              <w:rPr>
                <w:rFonts w:ascii="Times New Roman" w:cs="Times New Roman" w:eastAsia="Times New Roman" w:hAnsi="Times New Roman"/>
                <w:sz w:val="18"/>
                <w:szCs w:val="18"/>
                <w:color w:val="auto"/>
                <w:w w:val="99"/>
              </w:rPr>
              <w:t>Certification of Principal Executive Officer and Principal Financial Officer Pursuant to 18 U.S.C. Section 1350, as Adopted Pursuant to</w:t>
            </w:r>
          </w:p>
        </w:tc>
      </w:tr>
      <w:tr>
        <w:trPr>
          <w:trHeight w:val="237"/>
        </w:trPr>
        <w:tc>
          <w:tcPr>
            <w:tcW w:w="420" w:type="dxa"/>
            <w:vAlign w:val="bottom"/>
            <w:tcBorders>
              <w:top w:val="single" w:sz="8" w:color="0000EE"/>
            </w:tcBorders>
            <w:shd w:val="clear" w:color="auto" w:fill="CCEEFF"/>
          </w:tcPr>
          <w:p>
            <w:pPr>
              <w:spacing w:after="0"/>
              <w:rPr>
                <w:sz w:val="20"/>
                <w:szCs w:val="20"/>
                <w:color w:val="auto"/>
              </w:rPr>
            </w:pPr>
          </w:p>
        </w:tc>
        <w:tc>
          <w:tcPr>
            <w:tcW w:w="660" w:type="dxa"/>
            <w:vAlign w:val="bottom"/>
            <w:tcBorders>
              <w:top w:val="single" w:sz="8" w:color="CCEEFF"/>
            </w:tcBorders>
            <w:shd w:val="clear" w:color="auto" w:fill="CCEEFF"/>
          </w:tcPr>
          <w:p>
            <w:pPr>
              <w:spacing w:after="0"/>
              <w:rPr>
                <w:sz w:val="20"/>
                <w:szCs w:val="20"/>
                <w:color w:val="auto"/>
              </w:rPr>
            </w:pPr>
          </w:p>
        </w:tc>
        <w:tc>
          <w:tcPr>
            <w:tcW w:w="10160" w:type="dxa"/>
            <w:vAlign w:val="bottom"/>
            <w:tcBorders>
              <w:top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Section 906 of the Sarbanes-Oxley Act of 2002</w:t>
            </w:r>
          </w:p>
        </w:tc>
      </w:tr>
      <w:tr>
        <w:trPr>
          <w:trHeight w:val="198"/>
        </w:trPr>
        <w:tc>
          <w:tcPr>
            <w:tcW w:w="10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10160" w:type="dxa"/>
            <w:vAlign w:val="bottom"/>
          </w:tcPr>
          <w:p>
            <w:pPr>
              <w:ind w:left="380"/>
              <w:spacing w:after="0" w:line="198" w:lineRule="exact"/>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w:t>
            </w:r>
          </w:p>
        </w:tc>
      </w:tr>
      <w:tr>
        <w:trPr>
          <w:trHeight w:val="234"/>
        </w:trPr>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16"/>
        </w:trPr>
        <w:tc>
          <w:tcPr>
            <w:tcW w:w="1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1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1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1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60" w:type="dxa"/>
            <w:vAlign w:val="bottom"/>
          </w:tcPr>
          <w:p>
            <w:pPr>
              <w:spacing w:after="0"/>
              <w:rPr>
                <w:sz w:val="20"/>
                <w:szCs w:val="20"/>
                <w:color w:val="auto"/>
              </w:rPr>
            </w:pPr>
          </w:p>
        </w:tc>
        <w:tc>
          <w:tcPr>
            <w:tcW w:w="10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42303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0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500" w:hanging="492"/>
        <w:spacing w:after="0"/>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252" w:lineRule="exact"/>
        <w:rPr>
          <w:sz w:val="20"/>
          <w:szCs w:val="20"/>
          <w:color w:val="auto"/>
        </w:rPr>
      </w:pPr>
    </w:p>
    <w:p>
      <w:pPr>
        <w:ind w:left="500" w:hanging="492"/>
        <w:spacing w:after="0"/>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information in this exhibit was omitted by means of redacting a portion of the text and replacing it with [***]</w:t>
      </w:r>
    </w:p>
    <w:p>
      <w:pPr>
        <w:spacing w:after="0" w:line="25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Unofficial English translation of original document prepared in Mandarin Chinese.</w:t>
      </w:r>
    </w:p>
    <w:p>
      <w:pPr>
        <w:spacing w:after="0" w:line="252" w:lineRule="exact"/>
        <w:rPr>
          <w:sz w:val="20"/>
          <w:szCs w:val="20"/>
          <w:color w:val="auto"/>
        </w:rPr>
      </w:pPr>
    </w:p>
    <w:p>
      <w:pPr>
        <w:jc w:val="both"/>
        <w:ind w:left="500" w:hanging="492"/>
        <w:spacing w:after="0" w:line="222" w:lineRule="exact"/>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appendices have been omitted pursuant to Item 601(a)(5) of Regulation S-K. We hereby undertake to furnish copies of the omitted appendices upon request by the Securities and Exchange Commission, provided that we may request confidential treatment pursuant to Rule 24b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of the Securities Exchange Act of 1934 for the appendices so furnished.</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Act of 1934, the registrant has duly caused this report to be signed on its behalf by the undersigned, thereunto duly authorized, as of April 29, 2022.</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0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David H. Wang</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0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31.01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OF PRINCIPAL EXECUTIVE OFFICER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302 OF THE SARBANES-OXLEY ACT OF 2002</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David H. Wang, certify that:</w:t>
      </w:r>
    </w:p>
    <w:p>
      <w:pPr>
        <w:spacing w:after="0" w:line="233"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have reviewed this Annual Report on Form 10-K/A of ACM Research, Inc.</w:t>
      </w:r>
    </w:p>
    <w:p>
      <w:pPr>
        <w:spacing w:after="0" w:line="233" w:lineRule="exact"/>
        <w:rPr>
          <w:rFonts w:ascii="Times New Roman" w:cs="Times New Roman" w:eastAsia="Times New Roman" w:hAnsi="Times New Roman"/>
          <w:sz w:val="22"/>
          <w:szCs w:val="22"/>
          <w:color w:val="auto"/>
        </w:rPr>
      </w:pPr>
    </w:p>
    <w:p>
      <w:pPr>
        <w:jc w:val="both"/>
        <w:ind w:right="300" w:firstLine="8"/>
        <w:spacing w:after="0" w:line="244" w:lineRule="auto"/>
        <w:tabs>
          <w:tab w:leader="none" w:pos="324"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00" w:lineRule="exact"/>
        <w:rPr>
          <w:rFonts w:ascii="Times New Roman" w:cs="Times New Roman" w:eastAsia="Times New Roman" w:hAnsi="Times New Roman"/>
          <w:sz w:val="22"/>
          <w:szCs w:val="22"/>
          <w:color w:val="auto"/>
        </w:rPr>
      </w:pPr>
    </w:p>
    <w:p>
      <w:pPr>
        <w:ind w:right="20" w:firstLine="8"/>
        <w:spacing w:after="0" w:line="244" w:lineRule="auto"/>
        <w:tabs>
          <w:tab w:leader="none" w:pos="324"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Times New Roman" w:cs="Times New Roman" w:eastAsia="Times New Roman" w:hAnsi="Times New Roman"/>
          <w:sz w:val="22"/>
          <w:szCs w:val="22"/>
          <w:color w:val="auto"/>
        </w:rPr>
      </w:pPr>
    </w:p>
    <w:p>
      <w:pPr>
        <w:ind w:right="160" w:firstLine="8"/>
        <w:spacing w:after="0" w:line="244" w:lineRule="auto"/>
        <w:tabs>
          <w:tab w:leader="none" w:pos="324"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sz w:val="20"/>
          <w:szCs w:val="20"/>
          <w:color w:val="auto"/>
        </w:rPr>
      </w:pPr>
    </w:p>
    <w:p>
      <w:pPr>
        <w:ind w:firstLine="8"/>
        <w:spacing w:after="0" w:line="244" w:lineRule="auto"/>
        <w:tabs>
          <w:tab w:leader="none" w:pos="348"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Times New Roman" w:cs="Times New Roman" w:eastAsia="Times New Roman" w:hAnsi="Times New Roman"/>
          <w:sz w:val="22"/>
          <w:szCs w:val="22"/>
          <w:color w:val="auto"/>
        </w:rPr>
      </w:pPr>
    </w:p>
    <w:p>
      <w:pPr>
        <w:ind w:right="20" w:firstLine="8"/>
        <w:spacing w:after="0" w:line="244" w:lineRule="auto"/>
        <w:tabs>
          <w:tab w:leader="none" w:pos="3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Times New Roman" w:cs="Times New Roman" w:eastAsia="Times New Roman" w:hAnsi="Times New Roman"/>
          <w:sz w:val="22"/>
          <w:szCs w:val="22"/>
          <w:color w:val="auto"/>
        </w:rPr>
      </w:pPr>
    </w:p>
    <w:p>
      <w:pPr>
        <w:jc w:val="both"/>
        <w:ind w:right="80" w:firstLine="8"/>
        <w:spacing w:after="0" w:line="244" w:lineRule="auto"/>
        <w:tabs>
          <w:tab w:leader="none" w:pos="348"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sz w:val="20"/>
          <w:szCs w:val="20"/>
          <w:color w:val="auto"/>
        </w:rPr>
      </w:pPr>
    </w:p>
    <w:p>
      <w:pPr>
        <w:ind w:right="360" w:firstLine="8"/>
        <w:spacing w:after="0" w:line="244" w:lineRule="auto"/>
        <w:tabs>
          <w:tab w:leader="none" w:pos="348"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disclosed in this report any change in the registrant’s internal control over financial reporting that occurred during the registrant’s most recent fiscal quarter (the registrant’s fourth fiscal quarter in the case of this annual report) that has materially affected, or is reasonably likely to materially affect, the registrant’s internal control over financial reporting.</w:t>
      </w:r>
    </w:p>
    <w:p>
      <w:pPr>
        <w:spacing w:after="0" w:line="200" w:lineRule="exact"/>
        <w:rPr>
          <w:sz w:val="20"/>
          <w:szCs w:val="20"/>
          <w:color w:val="auto"/>
        </w:rPr>
      </w:pPr>
    </w:p>
    <w:p>
      <w:pPr>
        <w:ind w:right="460" w:firstLine="8"/>
        <w:spacing w:after="0" w:line="244" w:lineRule="auto"/>
        <w:tabs>
          <w:tab w:leader="none" w:pos="32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sz w:val="20"/>
          <w:szCs w:val="20"/>
          <w:color w:val="auto"/>
        </w:rPr>
      </w:pPr>
    </w:p>
    <w:p>
      <w:pPr>
        <w:ind w:right="460" w:firstLine="8"/>
        <w:spacing w:after="0" w:line="244" w:lineRule="auto"/>
        <w:tabs>
          <w:tab w:leader="none" w:pos="348"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Times New Roman" w:cs="Times New Roman" w:eastAsia="Times New Roman" w:hAnsi="Times New Roman"/>
          <w:sz w:val="22"/>
          <w:szCs w:val="22"/>
          <w:color w:val="auto"/>
        </w:rPr>
      </w:pPr>
    </w:p>
    <w:p>
      <w:pPr>
        <w:ind w:right="900" w:firstLine="8"/>
        <w:spacing w:after="0" w:line="258" w:lineRule="auto"/>
        <w:tabs>
          <w:tab w:leader="none" w:pos="36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fraud, whether or not material, that involves management or other employees who have a significant role in the registrant’s internal control over financial reporting.</w:t>
      </w:r>
    </w:p>
    <w:p>
      <w:pPr>
        <w:spacing w:after="0" w:line="194"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April 29, 2022</w:t>
      </w:r>
      <w:r>
        <w:rPr>
          <w:sz w:val="20"/>
          <w:szCs w:val="20"/>
          <w:color w:val="auto"/>
        </w:rPr>
        <w:tab/>
      </w:r>
      <w:r>
        <w:rPr>
          <w:rFonts w:ascii="Times New Roman" w:cs="Times New Roman" w:eastAsia="Times New Roman" w:hAnsi="Times New Roman"/>
          <w:sz w:val="17"/>
          <w:szCs w:val="17"/>
          <w:color w:val="auto"/>
        </w:rPr>
        <w:t>/s/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0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David H. Wang</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0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31.02</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OF PRINCIPAL FINANCIAL OFFICER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302 OF THE SARBANES-OXLEY ACT OF 2002</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Mark A. McKechnie, certify that:</w:t>
      </w:r>
    </w:p>
    <w:p>
      <w:pPr>
        <w:spacing w:after="0" w:line="233"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have reviewed this annual report on Form 10-K/A of ACM Research, Inc.</w:t>
      </w:r>
    </w:p>
    <w:p>
      <w:pPr>
        <w:spacing w:after="0" w:line="233" w:lineRule="exact"/>
        <w:rPr>
          <w:rFonts w:ascii="Times New Roman" w:cs="Times New Roman" w:eastAsia="Times New Roman" w:hAnsi="Times New Roman"/>
          <w:sz w:val="22"/>
          <w:szCs w:val="22"/>
          <w:color w:val="auto"/>
        </w:rPr>
      </w:pPr>
    </w:p>
    <w:p>
      <w:pPr>
        <w:jc w:val="both"/>
        <w:ind w:right="300" w:firstLine="8"/>
        <w:spacing w:after="0" w:line="244" w:lineRule="auto"/>
        <w:tabs>
          <w:tab w:leader="none" w:pos="324"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00" w:lineRule="exact"/>
        <w:rPr>
          <w:rFonts w:ascii="Times New Roman" w:cs="Times New Roman" w:eastAsia="Times New Roman" w:hAnsi="Times New Roman"/>
          <w:sz w:val="22"/>
          <w:szCs w:val="22"/>
          <w:color w:val="auto"/>
        </w:rPr>
      </w:pPr>
    </w:p>
    <w:p>
      <w:pPr>
        <w:ind w:right="20" w:firstLine="8"/>
        <w:spacing w:after="0" w:line="244" w:lineRule="auto"/>
        <w:tabs>
          <w:tab w:leader="none" w:pos="324"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Times New Roman" w:cs="Times New Roman" w:eastAsia="Times New Roman" w:hAnsi="Times New Roman"/>
          <w:sz w:val="22"/>
          <w:szCs w:val="22"/>
          <w:color w:val="auto"/>
        </w:rPr>
      </w:pPr>
    </w:p>
    <w:p>
      <w:pPr>
        <w:ind w:right="160" w:firstLine="8"/>
        <w:spacing w:after="0" w:line="244" w:lineRule="auto"/>
        <w:tabs>
          <w:tab w:leader="none" w:pos="324"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sz w:val="20"/>
          <w:szCs w:val="20"/>
          <w:color w:val="auto"/>
        </w:rPr>
      </w:pPr>
    </w:p>
    <w:p>
      <w:pPr>
        <w:ind w:firstLine="8"/>
        <w:spacing w:after="0" w:line="244" w:lineRule="auto"/>
        <w:tabs>
          <w:tab w:leader="none" w:pos="34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Times New Roman" w:cs="Times New Roman" w:eastAsia="Times New Roman" w:hAnsi="Times New Roman"/>
          <w:sz w:val="22"/>
          <w:szCs w:val="22"/>
          <w:color w:val="auto"/>
        </w:rPr>
      </w:pPr>
    </w:p>
    <w:p>
      <w:pPr>
        <w:ind w:right="20" w:firstLine="8"/>
        <w:spacing w:after="0" w:line="244" w:lineRule="auto"/>
        <w:tabs>
          <w:tab w:leader="none" w:pos="3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Times New Roman" w:cs="Times New Roman" w:eastAsia="Times New Roman" w:hAnsi="Times New Roman"/>
          <w:sz w:val="22"/>
          <w:szCs w:val="22"/>
          <w:color w:val="auto"/>
        </w:rPr>
      </w:pPr>
    </w:p>
    <w:p>
      <w:pPr>
        <w:jc w:val="both"/>
        <w:ind w:right="80" w:firstLine="8"/>
        <w:spacing w:after="0" w:line="244" w:lineRule="auto"/>
        <w:tabs>
          <w:tab w:leader="none" w:pos="34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Times New Roman" w:cs="Times New Roman" w:eastAsia="Times New Roman" w:hAnsi="Times New Roman"/>
          <w:sz w:val="22"/>
          <w:szCs w:val="22"/>
          <w:color w:val="auto"/>
        </w:rPr>
      </w:pPr>
    </w:p>
    <w:p>
      <w:pPr>
        <w:ind w:left="360" w:hanging="352"/>
        <w:spacing w:after="0"/>
        <w:tabs>
          <w:tab w:leader="none" w:pos="3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disclosed in this report any change in the registrant’s internal control over financial reporting that occurred during the</w:t>
      </w:r>
    </w:p>
    <w:p>
      <w:pPr>
        <w:spacing w:after="0" w:line="14" w:lineRule="exact"/>
        <w:rPr>
          <w:rFonts w:ascii="Times New Roman" w:cs="Times New Roman" w:eastAsia="Times New Roman" w:hAnsi="Times New Roman"/>
          <w:sz w:val="22"/>
          <w:szCs w:val="22"/>
          <w:color w:val="auto"/>
        </w:rPr>
      </w:pPr>
    </w:p>
    <w:p>
      <w:pPr>
        <w:ind w:right="360"/>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registrant’s most recent fiscal quarter (the registrant’s fourth fiscal quarter in the case of this annual report) that has materially affected, or is reasonably likely to materially affect, the registrant’s internal control over financial reporting.</w:t>
      </w:r>
    </w:p>
    <w:p>
      <w:pPr>
        <w:spacing w:after="0" w:line="205" w:lineRule="exact"/>
        <w:rPr>
          <w:sz w:val="20"/>
          <w:szCs w:val="20"/>
          <w:color w:val="auto"/>
        </w:rPr>
      </w:pPr>
    </w:p>
    <w:p>
      <w:pPr>
        <w:ind w:right="260" w:firstLine="8"/>
        <w:spacing w:after="0" w:line="244" w:lineRule="auto"/>
        <w:tabs>
          <w:tab w:leader="none" w:pos="324"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00" w:lineRule="exact"/>
        <w:rPr>
          <w:sz w:val="20"/>
          <w:szCs w:val="20"/>
          <w:color w:val="auto"/>
        </w:rPr>
      </w:pPr>
    </w:p>
    <w:p>
      <w:pPr>
        <w:ind w:right="460" w:firstLine="8"/>
        <w:spacing w:after="0" w:line="244" w:lineRule="auto"/>
        <w:tabs>
          <w:tab w:leader="none" w:pos="348"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Times New Roman" w:cs="Times New Roman" w:eastAsia="Times New Roman" w:hAnsi="Times New Roman"/>
          <w:sz w:val="22"/>
          <w:szCs w:val="22"/>
          <w:color w:val="auto"/>
        </w:rPr>
      </w:pPr>
    </w:p>
    <w:p>
      <w:pPr>
        <w:ind w:right="900" w:firstLine="8"/>
        <w:spacing w:after="0" w:line="258" w:lineRule="auto"/>
        <w:tabs>
          <w:tab w:leader="none" w:pos="36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fraud, whether or not material, that involves management or other employees who have a significant role in the registrant’s internal control over financial reporting.</w:t>
      </w:r>
    </w:p>
    <w:p>
      <w:pPr>
        <w:spacing w:after="0" w:line="194"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April 29, 2022</w:t>
      </w:r>
      <w:r>
        <w:rPr>
          <w:sz w:val="20"/>
          <w:szCs w:val="20"/>
          <w:color w:val="auto"/>
        </w:rPr>
        <w:tab/>
      </w:r>
      <w:r>
        <w:rPr>
          <w:rFonts w:ascii="Times New Roman" w:cs="Times New Roman" w:eastAsia="Times New Roman" w:hAnsi="Times New Roman"/>
          <w:sz w:val="18"/>
          <w:szCs w:val="18"/>
          <w:color w:val="auto"/>
        </w:rPr>
        <w:t>/s/ Mark A.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0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Mark A. McKechnie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 Executive Vice President and Treasurer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32.01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PURSUANT TO 18 U.S.C. 1350,</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ADOPTED PURSUANT TO SECTION 906 OF THE SARBANES-OXLEY ACT OF 2002</w:t>
      </w:r>
    </w:p>
    <w:p>
      <w:pPr>
        <w:spacing w:after="0" w:line="209"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In connection with the Annual Report on Form 10-K/A of ACM Research, Inc. for the year ended December 31, 2021, as filed with the Securities and Exchange Commission on the date hereof (the “Report”), each of the undersigned certifies, pursuant to 18 U.S.C. Section 1350, as adopted pursuant to Section 906 of the Sarbanes-Oxley Act of 2002, that, to his or her knowledge on the date hereof:</w:t>
      </w:r>
    </w:p>
    <w:p>
      <w:pPr>
        <w:spacing w:after="0" w:line="207"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and</w:t>
      </w:r>
    </w:p>
    <w:p>
      <w:pPr>
        <w:spacing w:after="0" w:line="233" w:lineRule="exact"/>
        <w:rPr>
          <w:rFonts w:ascii="Times New Roman" w:cs="Times New Roman" w:eastAsia="Times New Roman" w:hAnsi="Times New Roman"/>
          <w:sz w:val="22"/>
          <w:szCs w:val="22"/>
          <w:color w:val="auto"/>
        </w:rPr>
      </w:pPr>
    </w:p>
    <w:p>
      <w:pPr>
        <w:ind w:right="880" w:firstLine="8"/>
        <w:spacing w:after="0" w:line="258" w:lineRule="auto"/>
        <w:tabs>
          <w:tab w:leader="none" w:pos="32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ACM Research, Inc. for the period presented therein.</w:t>
      </w:r>
    </w:p>
    <w:p>
      <w:pPr>
        <w:spacing w:after="0" w:line="194"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April 29, 2022</w:t>
      </w:r>
      <w:r>
        <w:rPr>
          <w:sz w:val="20"/>
          <w:szCs w:val="20"/>
          <w:color w:val="auto"/>
        </w:rPr>
        <w:tab/>
      </w:r>
      <w:r>
        <w:rPr>
          <w:rFonts w:ascii="Times New Roman" w:cs="Times New Roman" w:eastAsia="Times New Roman" w:hAnsi="Times New Roman"/>
          <w:sz w:val="17"/>
          <w:szCs w:val="17"/>
          <w:color w:val="auto"/>
        </w:rPr>
        <w:t>/s/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1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David H. Wang</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34"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April 29, 2022</w:t>
      </w:r>
      <w:r>
        <w:rPr>
          <w:sz w:val="20"/>
          <w:szCs w:val="20"/>
          <w:color w:val="auto"/>
        </w:rPr>
        <w:tab/>
      </w:r>
      <w:r>
        <w:rPr>
          <w:rFonts w:ascii="Times New Roman" w:cs="Times New Roman" w:eastAsia="Times New Roman" w:hAnsi="Times New Roman"/>
          <w:sz w:val="18"/>
          <w:szCs w:val="18"/>
          <w:color w:val="auto"/>
        </w:rPr>
        <w:t>/s/ Mark A.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1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Mark A. McKechnie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 Executive Vice President and Treasurer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2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2"/>
          <w:szCs w:val="22"/>
          <w:color w:val="auto"/>
        </w:rPr>
        <w:t>The foregoing certification is being furnished solely pursuant to 18 U.S.C. §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1)"/>
      <w:numFmt w:val="lowerRoman"/>
      <w:start w:val="3"/>
    </w:lvl>
  </w:abstractNum>
  <w:abstractNum w:abstractNumId="7">
    <w:nsid w:val="333AB105"/>
    <w:multiLevelType w:val="hybridMultilevel"/>
    <w:lvl w:ilvl="0">
      <w:lvlJc w:val="left"/>
      <w:lvlText w:val="(%1)"/>
      <w:numFmt w:val="decimal"/>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1)"/>
      <w:numFmt w:val="decimal"/>
      <w:start w:val="1"/>
    </w:lvl>
  </w:abstractNum>
  <w:abstractNum w:abstractNumId="10">
    <w:nsid w:val="2D1D5AE9"/>
    <w:multiLevelType w:val="hybridMultilevel"/>
    <w:lvl w:ilvl="0">
      <w:lvlJc w:val="left"/>
      <w:lvlText w:val="(%1)"/>
      <w:numFmt w:val="decimal"/>
      <w:start w:val="3"/>
    </w:lvl>
  </w:abstractNum>
  <w:abstractNum w:abstractNumId="11">
    <w:nsid w:val="6763845E"/>
    <w:multiLevelType w:val="hybridMultilevel"/>
    <w:lvl w:ilvl="0">
      <w:lvlJc w:val="left"/>
      <w:lvlText w:val="(%1)"/>
      <w:numFmt w:val="decimal"/>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1."/>
      <w:numFmt w:val="decimal"/>
      <w:start w:val="1"/>
    </w:lvl>
  </w:abstractNum>
  <w:abstractNum w:abstractNumId="14">
    <w:nsid w:val="79838CB2"/>
    <w:multiLevelType w:val="hybridMultilevel"/>
    <w:lvl w:ilvl="0">
      <w:lvlJc w:val="left"/>
      <w:lvlText w:val="%1."/>
      <w:numFmt w:val="decimal"/>
      <w:start w:val="2"/>
    </w:lvl>
  </w:abstractNum>
  <w:abstractNum w:abstractNumId="15">
    <w:nsid w:val="4353D0CD"/>
    <w:multiLevelType w:val="hybridMultilevel"/>
    <w:lvl w:ilvl="0">
      <w:lvlJc w:val="left"/>
      <w:lvlText w:val="(%1)"/>
      <w:numFmt w:val="decimal"/>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1)"/>
      <w:numFmt w:val="decimal"/>
      <w:start w:val="3"/>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1)"/>
      <w:numFmt w:val="lowerLetter"/>
      <w:start w:val="1"/>
    </w:lvl>
    <w:lvl w:ilvl="1">
      <w:lvlJc w:val="left"/>
      <w:lvlText w:val="(%2)"/>
      <w:numFmt w:val="decimal"/>
      <w:start w:val="1"/>
    </w:lvl>
  </w:abstractNum>
  <w:abstractNum w:abstractNumId="21">
    <w:nsid w:val="836C40E"/>
    <w:multiLevelType w:val="hybridMultilevel"/>
    <w:lvl w:ilvl="0">
      <w:lvlJc w:val="left"/>
      <w:lvlText w:val="(%1)"/>
      <w:numFmt w:val="lowerLetter"/>
      <w:start w:val="2"/>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1."/>
      <w:numFmt w:val="decimal"/>
      <w:start w:val="1"/>
    </w:lvl>
  </w:abstractNum>
  <w:abstractNum w:abstractNumId="26">
    <w:nsid w:val="7C3DBD3D"/>
    <w:multiLevelType w:val="hybridMultilevel"/>
    <w:lvl w:ilvl="0">
      <w:lvlJc w:val="left"/>
      <w:lvlText w:val="(%1)"/>
      <w:numFmt w:val="lowerLetter"/>
      <w:start w:val="1"/>
    </w:lvl>
  </w:abstractNum>
  <w:abstractNum w:abstractNumId="27">
    <w:nsid w:val="737B8DDC"/>
    <w:multiLevelType w:val="hybridMultilevel"/>
    <w:lvl w:ilvl="0">
      <w:lvlJc w:val="left"/>
      <w:lvlText w:val="(%1)"/>
      <w:numFmt w:val="lowerLetter"/>
      <w:start w:val="5"/>
    </w:lvl>
  </w:abstractNum>
  <w:abstractNum w:abstractNumId="28">
    <w:nsid w:val="6CEAF087"/>
    <w:multiLevelType w:val="hybridMultilevel"/>
    <w:lvl w:ilvl="0">
      <w:lvlJc w:val="left"/>
      <w:lvlText w:val="%1."/>
      <w:numFmt w:val="decimal"/>
      <w:start w:val="5"/>
    </w:lvl>
  </w:abstractNum>
  <w:abstractNum w:abstractNumId="29">
    <w:nsid w:val="22221A70"/>
    <w:multiLevelType w:val="hybridMultilevel"/>
    <w:lvl w:ilvl="0">
      <w:lvlJc w:val="left"/>
      <w:lvlText w:val="(%1)"/>
      <w:numFmt w:val="lowerLetter"/>
      <w:start w:val="1"/>
    </w:lvl>
  </w:abstractNum>
  <w:abstractNum w:abstractNumId="30">
    <w:nsid w:val="4516DDE9"/>
    <w:multiLevelType w:val="hybridMultilevel"/>
    <w:lvl w:ilvl="0">
      <w:lvlJc w:val="left"/>
      <w:lvlText w:val="%1."/>
      <w:numFmt w:val="decimal"/>
      <w:start w:val="1"/>
    </w:lvl>
  </w:abstractNum>
  <w:abstractNum w:abstractNumId="31">
    <w:nsid w:val="3006C83E"/>
    <w:multiLevelType w:val="hybridMultilevel"/>
    <w:lvl w:ilvl="0">
      <w:lvlJc w:val="left"/>
      <w:lvlText w:val="(%1)"/>
      <w:numFmt w:val="lowerLetter"/>
      <w:start w:val="1"/>
    </w:lvl>
  </w:abstractNum>
  <w:abstractNum w:abstractNumId="32">
    <w:nsid w:val="614FD4A1"/>
    <w:multiLevelType w:val="hybridMultilevel"/>
    <w:lvl w:ilvl="0">
      <w:lvlJc w:val="left"/>
      <w:lvlText w:val="%1."/>
      <w:numFmt w:val="decimal"/>
      <w:start w:val="5"/>
    </w:lvl>
  </w:abstractNum>
  <w:abstractNum w:abstractNumId="33">
    <w:nsid w:val="419AC241"/>
    <w:multiLevelType w:val="hybridMultilevel"/>
    <w:lvl w:ilvl="0">
      <w:lvlJc w:val="left"/>
      <w:lvlText w:val="(%1)"/>
      <w:numFmt w:val="lowerLetter"/>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101" Type="http://schemas.openxmlformats.org/officeDocument/2006/relationships/image" Target="media/image26.png"/><Relationship Id="rId102" Type="http://schemas.openxmlformats.org/officeDocument/2006/relationships/image" Target="media/image27.png"/><Relationship Id="rId103" Type="http://schemas.openxmlformats.org/officeDocument/2006/relationships/image" Target="media/image28.png"/><Relationship Id="rId104" Type="http://schemas.openxmlformats.org/officeDocument/2006/relationships/image" Target="media/image29.png"/><Relationship Id="rId105" Type="http://schemas.openxmlformats.org/officeDocument/2006/relationships/image" Target="media/image30.png"/><Relationship Id="rId106" Type="http://schemas.openxmlformats.org/officeDocument/2006/relationships/image" Target="media/image31.png"/><Relationship Id="rId107" Type="http://schemas.openxmlformats.org/officeDocument/2006/relationships/image" Target="media/image32.png"/><Relationship Id="rId108" Type="http://schemas.openxmlformats.org/officeDocument/2006/relationships/image" Target="media/image33.png"/><Relationship Id="rId109" Type="http://schemas.openxmlformats.org/officeDocument/2006/relationships/image" Target="media/image34.png"/><Relationship Id="rId110" Type="http://schemas.openxmlformats.org/officeDocument/2006/relationships/image" Target="media/image35.png"/><Relationship Id="rId111" Type="http://schemas.openxmlformats.org/officeDocument/2006/relationships/image" Target="media/image36.png"/><Relationship Id="rId112" Type="http://schemas.openxmlformats.org/officeDocument/2006/relationships/image" Target="media/image37.png"/><Relationship Id="rId113" Type="http://schemas.openxmlformats.org/officeDocument/2006/relationships/image" Target="media/image38.png"/><Relationship Id="rId114" Type="http://schemas.openxmlformats.org/officeDocument/2006/relationships/image" Target="media/image39.png"/><Relationship Id="rId33" Type="http://schemas.openxmlformats.org/officeDocument/2006/relationships/hyperlink" Target="https://www.sec.gov/Archives/edgar/data/1680062/000119312517342650/d407541dex301.htm" TargetMode="External"/><Relationship Id="rId34" Type="http://schemas.openxmlformats.org/officeDocument/2006/relationships/hyperlink" Target="https://www.sec.gov/Archives/edgar/data/0001680062/000114036121024240/brhc10026736_ex3-01.htm" TargetMode="External"/><Relationship Id="rId35" Type="http://schemas.openxmlformats.org/officeDocument/2006/relationships/hyperlink" Target="https://www.sec.gov/Archives/edgar/data/1680062/000119312517342650/d407541dex302.htm" TargetMode="External"/><Relationship Id="rId36" Type="http://schemas.openxmlformats.org/officeDocument/2006/relationships/hyperlink" Target="https://www.sec.gov/Archives/edgar/data/1680062/000165495418005164/acm_ex10-03.htm" TargetMode="External"/><Relationship Id="rId37" Type="http://schemas.openxmlformats.org/officeDocument/2006/relationships/hyperlink" Target="https://www.sec.gov/Archives/edgar/data/1680062/000165495418005164/acm_ex10-04.htm" TargetMode="External"/><Relationship Id="rId38" Type="http://schemas.openxmlformats.org/officeDocument/2006/relationships/hyperlink" Target="https://www.sec.gov/Archives/edgar/data/1680062/000165495418005164/acm_ex10-02.htm" TargetMode="External"/><Relationship Id="rId39" Type="http://schemas.openxmlformats.org/officeDocument/2006/relationships/hyperlink" Target="https://www.sec.gov/Archives/edgar/data/1680062/000114036120017994/brhc10014158_ex4-01.htm" TargetMode="External"/><Relationship Id="rId40" Type="http://schemas.openxmlformats.org/officeDocument/2006/relationships/hyperlink" Target="https://www.sec.gov/Archives/edgar/data/0001680062/000114036122007348/brhc10034322_ex4-05.htm" TargetMode="External"/><Relationship Id="rId41" Type="http://schemas.openxmlformats.org/officeDocument/2006/relationships/hyperlink" Target="https://www.sec.gov/Archives/edgar/data/1680062/000119312517283955/d311227dex1001.htm" TargetMode="External"/><Relationship Id="rId42" Type="http://schemas.openxmlformats.org/officeDocument/2006/relationships/hyperlink" Target="https://www.sec.gov/Archives/edgar/data/1680062/000165495418011153/acmr_ex1006.htm" TargetMode="External"/><Relationship Id="rId43" Type="http://schemas.openxmlformats.org/officeDocument/2006/relationships/hyperlink" Target="https://www.sec.gov/Archives/edgar/data/1680062/000165495419001232/acm_ex10-1.htm" TargetMode="External"/><Relationship Id="rId44" Type="http://schemas.openxmlformats.org/officeDocument/2006/relationships/hyperlink" Target="https://www.sec.gov/Archives/edgar/data/0001680062/000114036122007348/brhc10034322_ex10-01d.htm" TargetMode="External"/><Relationship Id="rId45" Type="http://schemas.openxmlformats.org/officeDocument/2006/relationships/hyperlink" Target="https://www.sec.gov/Archives/edgar/data/1680062/000165495418011154/acmr_ex1001.htm" TargetMode="External"/><Relationship Id="rId46" Type="http://schemas.openxmlformats.org/officeDocument/2006/relationships/hyperlink" Target="https://www.sec.gov/Archives/edgar/data/1680062/000165495418011153/acmr_ex1005.htm" TargetMode="External"/><Relationship Id="rId47" Type="http://schemas.openxmlformats.org/officeDocument/2006/relationships/hyperlink" Target="https://www.sec.gov/Archives/edgar/data/1680062/000119312517283955/d311227dex1003.htm" TargetMode="External"/><Relationship Id="rId48" Type="http://schemas.openxmlformats.org/officeDocument/2006/relationships/hyperlink" Target="https://www.sec.gov/Archives/edgar/data/1680062/000119312517312780/d311227dex1004.htm" TargetMode="External"/><Relationship Id="rId49" Type="http://schemas.openxmlformats.org/officeDocument/2006/relationships/hyperlink" Target="https://www.sec.gov/Archives/edgar/data/1680062/000119312517312780/d311227dex1007.htm" TargetMode="External"/><Relationship Id="rId50" Type="http://schemas.openxmlformats.org/officeDocument/2006/relationships/hyperlink" Target="https://www.sec.gov/Archives/edgar/data/1680062/000119312517312780/d311227dex1009.htm" TargetMode="External"/><Relationship Id="rId51" Type="http://schemas.openxmlformats.org/officeDocument/2006/relationships/hyperlink" Target="https://www.sec.gov/Archives/edgar/data/1680062/000119312517312780/d311227dex1010.htm" TargetMode="External"/><Relationship Id="rId52" Type="http://schemas.openxmlformats.org/officeDocument/2006/relationships/hyperlink" Target="https://www.sec.gov/Archives/edgar/data/1680062/000119312517312780/d311227dex1012.htm" TargetMode="External"/><Relationship Id="rId53" Type="http://schemas.openxmlformats.org/officeDocument/2006/relationships/hyperlink" Target="https://www.sec.gov/Archives/edgar/data/0001680062/000114036121018410/brhc10025009_ex10-01.htm" TargetMode="External"/><Relationship Id="rId54" Type="http://schemas.openxmlformats.org/officeDocument/2006/relationships/hyperlink" Target="https://www.sec.gov/Archives/edgar/data/1680062/000119312517312780/d311227dex1013.htm" TargetMode="External"/><Relationship Id="rId55" Type="http://schemas.openxmlformats.org/officeDocument/2006/relationships/hyperlink" Target="https://www.sec.gov/Archives/edgar/data/1680062/000165495419009210/acm_ex10-01.htm" TargetMode="External"/><Relationship Id="rId56" Type="http://schemas.openxmlformats.org/officeDocument/2006/relationships/hyperlink" Target="https://www.sec.gov/Archives/edgar/data/1680062/000165495419009210/acm_ex10-01a.htm" TargetMode="External"/><Relationship Id="rId57" Type="http://schemas.openxmlformats.org/officeDocument/2006/relationships/hyperlink" Target="https://www.sec.gov/Archives/edgar/data/1680062/000165495419009210/acm_ex10-02.htm" TargetMode="External"/><Relationship Id="rId58" Type="http://schemas.openxmlformats.org/officeDocument/2006/relationships/hyperlink" Target="https://www.sec.gov/Archives/edgar/data/1680062/000165495419009210/acm_ex10-02a.htm" TargetMode="External"/><Relationship Id="rId59" Type="http://schemas.openxmlformats.org/officeDocument/2006/relationships/hyperlink" Target="https://www.sec.gov/Archives/edgar/data/1680062/000114036119020461/ex10_03.htm" TargetMode="External"/><Relationship Id="rId60" Type="http://schemas.openxmlformats.org/officeDocument/2006/relationships/hyperlink" Target="https://www.sec.gov/Archives/edgar/data/1680062/000119312517364926/d481028dex1001.htm" TargetMode="External"/><Relationship Id="rId61" Type="http://schemas.openxmlformats.org/officeDocument/2006/relationships/hyperlink" Target="https://www.sec.gov/Archives/edgar/data/1680062/000119312517283955/d311227dex1010a.htm" TargetMode="External"/><Relationship Id="rId62" Type="http://schemas.openxmlformats.org/officeDocument/2006/relationships/hyperlink" Target="https://www.sec.gov/Archives/edgar/data/1680062/000119312517283955/d311227dex1010b.htm" TargetMode="External"/><Relationship Id="rId63" Type="http://schemas.openxmlformats.org/officeDocument/2006/relationships/hyperlink" Target="https://www.sec.gov/Archives/edgar/data/1680062/000119312517283955/d311227dex1010c.htm" TargetMode="External"/><Relationship Id="rId64" Type="http://schemas.openxmlformats.org/officeDocument/2006/relationships/hyperlink" Target="https://www.sec.gov/Archives/edgar/data/1680062/000119312517283955/d311227dex1011.htm" TargetMode="External"/><Relationship Id="rId65" Type="http://schemas.openxmlformats.org/officeDocument/2006/relationships/hyperlink" Target="https://www.sec.gov/Archives/edgar/data/1680062/000119312517283955/d311227dex1012.htm" TargetMode="External"/><Relationship Id="rId66" Type="http://schemas.openxmlformats.org/officeDocument/2006/relationships/hyperlink" Target="https://www.sec.gov/Archives/edgar/data/1680062/000119312517283955/d311227dex1012a.htm" TargetMode="External"/><Relationship Id="rId67" Type="http://schemas.openxmlformats.org/officeDocument/2006/relationships/hyperlink" Target="https://www.sec.gov/Archives/edgar/data/1680062/000119312517283955/d311227dex1012b.htm" TargetMode="External"/><Relationship Id="rId68" Type="http://schemas.openxmlformats.org/officeDocument/2006/relationships/hyperlink" Target="https://www.sec.gov/Archives/edgar/data/1680062/000119312517283955/d311227dex1013.htm" TargetMode="External"/><Relationship Id="rId69" Type="http://schemas.openxmlformats.org/officeDocument/2006/relationships/hyperlink" Target="https://www.sec.gov/Archives/edgar/data/1680062/000114036119014943/nc10003786x1_ex10-02.htm" TargetMode="External"/><Relationship Id="rId70" Type="http://schemas.openxmlformats.org/officeDocument/2006/relationships/hyperlink" Target="https://www.sec.gov/Archives/edgar/data/0001680062/000114036122007348/brhc10034322_ex10-20.htm" TargetMode="External"/><Relationship Id="rId71" Type="http://schemas.openxmlformats.org/officeDocument/2006/relationships/hyperlink" Target="https://www.sec.gov/Archives/edgar/data/1680062/000114036120011117/ex10_02.htm" TargetMode="External"/><Relationship Id="rId72" Type="http://schemas.openxmlformats.org/officeDocument/2006/relationships/hyperlink" Target="https://www.sec.gov/Archives/edgar/data/1680062/000114036120011117/ex10_03.htm" TargetMode="External"/><Relationship Id="rId73" Type="http://schemas.openxmlformats.org/officeDocument/2006/relationships/hyperlink" Target="https://www.sec.gov/Archives/edgar/data/1680062/000114036120025035/brhc10016473_ex10-01.htm" TargetMode="External"/><Relationship Id="rId74" Type="http://schemas.openxmlformats.org/officeDocument/2006/relationships/hyperlink" Target="https://www.sec.gov/Archives/edgar/data/1680062/000114036120011506/ex10_01.htm" TargetMode="External"/><Relationship Id="rId75" Type="http://schemas.openxmlformats.org/officeDocument/2006/relationships/hyperlink" Target="https://www.sec.gov/Archives/edgar/data/1680062/000114036120012790/ex10_01.htm" TargetMode="External"/><Relationship Id="rId76" Type="http://schemas.openxmlformats.org/officeDocument/2006/relationships/hyperlink" Target="https://www.sec.gov/Archives/edgar/data/1680062/000114036120012790/ex10_02.htm" TargetMode="External"/><Relationship Id="rId77" Type="http://schemas.openxmlformats.org/officeDocument/2006/relationships/hyperlink" Target="https://www.sec.gov/Archives/edgar/data/1680062/000114036120012790/ex10_03.htm" TargetMode="External"/><Relationship Id="rId78" Type="http://schemas.openxmlformats.org/officeDocument/2006/relationships/hyperlink" Target="https://www.sec.gov/Archives/edgar/data/1680062/000114036120012790/ex10_04.htm" TargetMode="External"/><Relationship Id="rId79" Type="http://schemas.openxmlformats.org/officeDocument/2006/relationships/hyperlink" Target="https://www.sec.gov/Archives/edgar/data/1680062/000114036120012790/ex10_05.htm" TargetMode="External"/><Relationship Id="rId80" Type="http://schemas.openxmlformats.org/officeDocument/2006/relationships/hyperlink" Target="https://www.sec.gov/Archives/edgar/data/1680062/000114036120012790/ex10_06.htm" TargetMode="External"/><Relationship Id="rId81" Type="http://schemas.openxmlformats.org/officeDocument/2006/relationships/hyperlink" Target="https://www.sec.gov/Archives/edgar/data/1680062/000114036120012790/ex10_07.htm" TargetMode="External"/><Relationship Id="rId82" Type="http://schemas.openxmlformats.org/officeDocument/2006/relationships/hyperlink" Target="https://www.sec.gov/Archives/edgar/data/1680062/000114036120012790/ex10_08.htm" TargetMode="External"/><Relationship Id="rId83" Type="http://schemas.openxmlformats.org/officeDocument/2006/relationships/hyperlink" Target="https://www.sec.gov/Archives/edgar/data/1680062/000114036120012790/ex10_09.htm" TargetMode="External"/><Relationship Id="rId84" Type="http://schemas.openxmlformats.org/officeDocument/2006/relationships/hyperlink" Target="https://www.sec.gov/Archives/edgar/data/1680062/000114036120012790/ex10_10.htm" TargetMode="External"/><Relationship Id="rId85" Type="http://schemas.openxmlformats.org/officeDocument/2006/relationships/hyperlink" Target="https://www.sec.gov/Archives/edgar/data/1680062/000114036120012790/ex10_11.htm" TargetMode="External"/><Relationship Id="rId86" Type="http://schemas.openxmlformats.org/officeDocument/2006/relationships/hyperlink" Target="https://www.sec.gov/Archives/edgar/data/1680062/000114036120012790/ex10_12.htm" TargetMode="External"/><Relationship Id="rId87" Type="http://schemas.openxmlformats.org/officeDocument/2006/relationships/hyperlink" Target="https://www.sec.gov/Archives/edgar/data/1680062/000114036120012790/ex10_13.htm" TargetMode="External"/><Relationship Id="rId88" Type="http://schemas.openxmlformats.org/officeDocument/2006/relationships/hyperlink" Target="https://www.sec.gov/Archives/edgar/data/1680062/000114036120012790/ex10_14.htm" TargetMode="External"/><Relationship Id="rId89" Type="http://schemas.openxmlformats.org/officeDocument/2006/relationships/hyperlink" Target="https://www.sec.gov/Archives/edgar/data/1680062/000114036120012790/ex10_15.htm" TargetMode="External"/><Relationship Id="rId90" Type="http://schemas.openxmlformats.org/officeDocument/2006/relationships/hyperlink" Target="https://www.sec.gov/Archives/edgar/data/1680062/000114036120012790/ex10_16.htm" TargetMode="External"/><Relationship Id="rId91" Type="http://schemas.openxmlformats.org/officeDocument/2006/relationships/hyperlink" Target="https://www.sec.gov/Archives/edgar/data/1680062/000114036120015474/ex10_01.htm" TargetMode="External"/><Relationship Id="rId92" Type="http://schemas.openxmlformats.org/officeDocument/2006/relationships/hyperlink" Target="https://www.sec.gov/Archives/edgar/data/1680062/000114036120015474/ex10_02.htm" TargetMode="External"/><Relationship Id="rId93" Type="http://schemas.openxmlformats.org/officeDocument/2006/relationships/hyperlink" Target="https://www.sec.gov/Archives/edgar/data/1680062/000114036120025035/brhc10016473_ex10-02.htm" TargetMode="External"/><Relationship Id="rId94" Type="http://schemas.openxmlformats.org/officeDocument/2006/relationships/hyperlink" Target="https://www.sec.gov/Archives/edgar/data/1680062/000114036121006213/brhc10020536_ex10-01.htm" TargetMode="External"/><Relationship Id="rId95" Type="http://schemas.openxmlformats.org/officeDocument/2006/relationships/hyperlink" Target="https://www.sec.gov/Archives/edgar/data/1680062/000114036121006213/brhc10020536_ex10-01a.htm" TargetMode="External"/><Relationship Id="rId96" Type="http://schemas.openxmlformats.org/officeDocument/2006/relationships/hyperlink" Target="https://www.sec.gov/Archives/edgar/data/1680062/000114036121006213/brhc10020536_ex10-02.htm" TargetMode="External"/><Relationship Id="rId97" Type="http://schemas.openxmlformats.org/officeDocument/2006/relationships/hyperlink" Target="https://www.sec.gov/Archives/edgar/data/1680062/000114036121006213/brhc10020536_ex10-03.htm" TargetMode="External"/><Relationship Id="rId98" Type="http://schemas.openxmlformats.org/officeDocument/2006/relationships/hyperlink" Target="https://www.sec.gov/Archives/edgar/data/0001680062/000114036121016476/brhc10023839_ex10-01.htm" TargetMode="External"/><Relationship Id="rId99" Type="http://schemas.openxmlformats.org/officeDocument/2006/relationships/hyperlink" Target="https://www.sec.gov/Archives/edgar/data/0001680062/000114036122007348/brhc10034322_ex21-01.htm" TargetMode="External"/><Relationship Id="rId100" Type="http://schemas.openxmlformats.org/officeDocument/2006/relationships/hyperlink" Target="https://www.sec.gov/Archives/edgar/data/0001680062/000114036122007348/brhc10034322_ex23-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2022-04-29T23:22:53Z</dcterms:created>
  <dcterms:modified xsi:type="dcterms:W3CDTF">2022-04-29T23:22:53Z</dcterms:modified>
</cp:coreProperties>
</file>