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David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ACM Research, Inc.</w:t>
              </w:r>
            </w:hyperlink>
            <w:r>
              <w:rPr/>
              <w:t xml:space="preserve"> [ </w:t>
            </w:r>
            <w:r>
              <w:rPr>
                <w:rFonts w:ascii="Times;serif" w:hAnsi="Times;serif"/>
                <w:color w:val="0000FF"/>
                <w:sz w:val="24"/>
                <w:shd w:fill="FFFFFF" w:val="clear"/>
              </w:rPr>
              <w:t>ACMR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6"/>
        <w:gridCol w:w="930"/>
        <w:gridCol w:w="799"/>
        <w:gridCol w:w="617"/>
        <w:gridCol w:w="342"/>
        <w:gridCol w:w="915"/>
        <w:gridCol w:w="421"/>
        <w:gridCol w:w="804"/>
        <w:gridCol w:w="1120"/>
        <w:gridCol w:w="971"/>
        <w:gridCol w:w="13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872,708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4,803</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75.99</w:t>
            </w:r>
            <w:r>
              <w:rPr>
                <w:rFonts w:ascii="Times;serif" w:hAnsi="Times;serif"/>
                <w:color w:val="008000"/>
                <w:position w:val="7"/>
                <w:sz w:val="16"/>
                <w:sz w:val="20"/>
                <w:shd w:fill="FFFFFF" w:val="clear"/>
              </w:rPr>
              <w:t>(2)</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867,905</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51,374</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77.15</w:t>
            </w:r>
            <w:r>
              <w:rPr>
                <w:rFonts w:ascii="Times;serif" w:hAnsi="Times;serif"/>
                <w:color w:val="008000"/>
                <w:position w:val="7"/>
                <w:sz w:val="16"/>
                <w:sz w:val="20"/>
                <w:shd w:fill="FFFFFF" w:val="clear"/>
              </w:rPr>
              <w:t>(3)</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816,531</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12,323</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78.08</w:t>
            </w:r>
            <w:r>
              <w:rPr>
                <w:rFonts w:ascii="Times;serif" w:hAnsi="Times;serif"/>
                <w:color w:val="008000"/>
                <w:position w:val="7"/>
                <w:sz w:val="16"/>
                <w:sz w:val="20"/>
                <w:shd w:fill="FFFFFF" w:val="clear"/>
              </w:rPr>
              <w:t>(4)</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804,208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78.57</w:t>
            </w:r>
            <w:r>
              <w:rPr>
                <w:rFonts w:ascii="Times;serif" w:hAnsi="Times;serif"/>
                <w:color w:val="008000"/>
                <w:position w:val="7"/>
                <w:sz w:val="16"/>
                <w:sz w:val="20"/>
                <w:shd w:fill="FFFFFF" w:val="clear"/>
              </w:rPr>
              <w:t>(5)</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802,708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872,708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33,493</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73.8</w:t>
            </w:r>
            <w:r>
              <w:rPr>
                <w:rFonts w:ascii="Times;serif" w:hAnsi="Times;serif"/>
                <w:color w:val="008000"/>
                <w:position w:val="7"/>
                <w:sz w:val="16"/>
                <w:sz w:val="20"/>
                <w:shd w:fill="FFFFFF" w:val="clear"/>
              </w:rPr>
              <w:t>(6)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839,215</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18,934</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74.67</w:t>
            </w:r>
            <w:r>
              <w:rPr>
                <w:rFonts w:ascii="Times;serif" w:hAnsi="Times;serif"/>
                <w:color w:val="008000"/>
                <w:position w:val="7"/>
                <w:sz w:val="16"/>
                <w:sz w:val="20"/>
                <w:shd w:fill="FFFFFF" w:val="clear"/>
              </w:rPr>
              <w:t>(7)</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820,281</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11,666</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75.58</w:t>
            </w:r>
            <w:r>
              <w:rPr>
                <w:rFonts w:ascii="Times;serif" w:hAnsi="Times;serif"/>
                <w:color w:val="008000"/>
                <w:position w:val="7"/>
                <w:sz w:val="16"/>
                <w:sz w:val="20"/>
                <w:shd w:fill="FFFFFF" w:val="clear"/>
              </w:rPr>
              <w:t>(8)</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808,615</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76.73</w:t>
            </w:r>
            <w:r>
              <w:rPr>
                <w:rFonts w:ascii="Times;serif" w:hAnsi="Times;serif"/>
                <w:color w:val="008000"/>
                <w:position w:val="7"/>
                <w:sz w:val="16"/>
                <w:sz w:val="20"/>
                <w:shd w:fill="FFFFFF" w:val="clear"/>
              </w:rPr>
              <w:t>(9)</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803,808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77.59</w:t>
            </w:r>
            <w:r>
              <w:rPr>
                <w:rFonts w:ascii="Times;serif" w:hAnsi="Times;serif"/>
                <w:color w:val="008000"/>
                <w:position w:val="7"/>
                <w:sz w:val="16"/>
                <w:sz w:val="20"/>
                <w:shd w:fill="FFFFFF" w:val="clear"/>
              </w:rPr>
              <w:t>(10)</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802,708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100,002</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Jing Chen, wife of David H. Wang</w:t>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David Hui Wang and Jing Chen Family Irrevocable Trust for Wang Children</w:t>
            </w:r>
          </w:p>
        </w:tc>
      </w:tr>
      <w:tr>
        <w:trPr/>
        <w:tc>
          <w:tcPr>
            <w:tcW w:w="19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620,001</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Wang-Chen Family Living Trust</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$75.52 to $76.41,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(4), (5), (6), (7), (8), (9), and (10)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$76.52 to $77.5,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$77.52 to $78.48,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$78.55 to $78.64,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$73.26 to $74.21,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$74.26 to $75.22,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prices ranging from $75.28 to $75.95,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prices ranging from $76.38 to $77.35,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prices ranging from $77.59 to $77.59,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David H.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1580" TargetMode="External"/><Relationship Id="rId5" Type="http://schemas.openxmlformats.org/officeDocument/2006/relationships/hyperlink" Target="http://www.sec.gov/cgi-bin/browse-edgar?action=getcompany&amp;CIK=0001680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1095</Words>
  <Characters>5623</Characters>
  <CharactersWithSpaces>6524</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