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 SECURITIES AND EXCHANGE COMMISSION</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June 2, 2020</w:t>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ACM Research,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240"/>
          </w:cols>
          <w:pgMar w:left="320" w:top="535" w:right="339" w:bottom="1440" w:gutter="0" w:footer="0" w:header="0"/>
        </w:sectPr>
      </w:pPr>
    </w:p>
    <w:p>
      <w:pPr>
        <w:spacing w:after="0" w:line="205" w:lineRule="exact"/>
        <w:rPr>
          <w:sz w:val="24"/>
          <w:szCs w:val="24"/>
          <w:color w:val="auto"/>
        </w:rPr>
      </w:pPr>
    </w:p>
    <w:p>
      <w:pPr>
        <w:jc w:val="center"/>
        <w:ind w:right="1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80"/>
        <w:spacing w:after="0"/>
        <w:rPr>
          <w:sz w:val="20"/>
          <w:szCs w:val="20"/>
          <w:color w:val="auto"/>
        </w:rPr>
      </w:pPr>
      <w:r>
        <w:rPr>
          <w:rFonts w:ascii="Arial" w:cs="Arial" w:eastAsia="Arial" w:hAnsi="Arial"/>
          <w:sz w:val="16"/>
          <w:szCs w:val="16"/>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840"/>
        <w:spacing w:after="0"/>
        <w:rPr>
          <w:sz w:val="20"/>
          <w:szCs w:val="20"/>
          <w:color w:val="auto"/>
        </w:rPr>
      </w:pPr>
      <w:r>
        <w:rPr>
          <w:rFonts w:ascii="Arial" w:cs="Arial" w:eastAsia="Arial" w:hAnsi="Arial"/>
          <w:sz w:val="18"/>
          <w:szCs w:val="18"/>
          <w:b w:val="1"/>
          <w:bCs w:val="1"/>
          <w:color w:val="auto"/>
        </w:rPr>
        <w:t>001-38273</w:t>
      </w:r>
    </w:p>
    <w:p>
      <w:pPr>
        <w:spacing w:after="0" w:line="27" w:lineRule="exact"/>
        <w:rPr>
          <w:sz w:val="24"/>
          <w:szCs w:val="24"/>
          <w:color w:val="auto"/>
        </w:rPr>
      </w:pPr>
    </w:p>
    <w:p>
      <w:pPr>
        <w:jc w:val="center"/>
        <w:ind w:right="840"/>
        <w:spacing w:after="0"/>
        <w:rPr>
          <w:sz w:val="20"/>
          <w:szCs w:val="20"/>
          <w:color w:val="auto"/>
        </w:rPr>
      </w:pPr>
      <w:r>
        <w:rPr>
          <w:rFonts w:ascii="Arial" w:cs="Arial" w:eastAsia="Arial" w:hAnsi="Arial"/>
          <w:sz w:val="16"/>
          <w:szCs w:val="16"/>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94-3290283</w:t>
      </w:r>
    </w:p>
    <w:p>
      <w:pPr>
        <w:spacing w:after="0" w:line="27" w:lineRule="exact"/>
        <w:rPr>
          <w:sz w:val="24"/>
          <w:szCs w:val="24"/>
          <w:color w:val="auto"/>
        </w:rPr>
      </w:pPr>
    </w:p>
    <w:p>
      <w:pPr>
        <w:jc w:val="center"/>
        <w:ind w:right="640"/>
        <w:spacing w:after="0"/>
        <w:rPr>
          <w:sz w:val="20"/>
          <w:szCs w:val="20"/>
          <w:color w:val="auto"/>
        </w:rPr>
      </w:pPr>
      <w:r>
        <w:rPr>
          <w:rFonts w:ascii="Arial" w:cs="Arial" w:eastAsia="Arial" w:hAnsi="Arial"/>
          <w:sz w:val="16"/>
          <w:szCs w:val="16"/>
          <w:i w:val="1"/>
          <w:iCs w:val="1"/>
          <w:color w:val="auto"/>
        </w:rPr>
        <w:t>(IRS Employer Identification No.)</w:t>
      </w:r>
    </w:p>
    <w:p>
      <w:pPr>
        <w:spacing w:after="0" w:line="200" w:lineRule="exact"/>
        <w:rPr>
          <w:sz w:val="24"/>
          <w:szCs w:val="24"/>
          <w:color w:val="auto"/>
        </w:rPr>
      </w:pPr>
    </w:p>
    <w:p>
      <w:pPr>
        <w:sectPr>
          <w:pgSz w:w="11900" w:h="16838" w:orient="portrait"/>
          <w:cols w:equalWidth="0" w:num="3">
            <w:col w:w="3900" w:space="720"/>
            <w:col w:w="2820" w:space="720"/>
            <w:col w:w="3080"/>
          </w:cols>
          <w:pgMar w:left="320" w:top="535" w:right="339" w:bottom="1440" w:gutter="0" w:footer="0" w:header="0"/>
          <w:type w:val="continuous"/>
        </w:sectPr>
      </w:pPr>
    </w:p>
    <w:p>
      <w:pPr>
        <w:spacing w:after="0" w:line="57"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42307 Osgood Road, Suite I</w:t>
      </w:r>
    </w:p>
    <w:p>
      <w:pPr>
        <w:spacing w:after="0" w:line="27"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Fremont, California</w:t>
      </w:r>
    </w:p>
    <w:p>
      <w:pPr>
        <w:spacing w:after="0" w:line="9" w:lineRule="exact"/>
        <w:rPr>
          <w:sz w:val="24"/>
          <w:szCs w:val="24"/>
          <w:color w:val="auto"/>
        </w:rPr>
      </w:pPr>
    </w:p>
    <w:p>
      <w:pPr>
        <w:jc w:val="center"/>
        <w:ind w:right="1840"/>
        <w:spacing w:after="0"/>
        <w:rPr>
          <w:sz w:val="20"/>
          <w:szCs w:val="20"/>
          <w:color w:val="auto"/>
        </w:rPr>
      </w:pPr>
      <w:r>
        <w:rPr>
          <w:rFonts w:ascii="Arial" w:cs="Arial" w:eastAsia="Arial" w:hAnsi="Arial"/>
          <w:sz w:val="16"/>
          <w:szCs w:val="16"/>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jc w:val="center"/>
        <w:ind w:right="2360"/>
        <w:spacing w:after="0"/>
        <w:rPr>
          <w:sz w:val="20"/>
          <w:szCs w:val="20"/>
          <w:color w:val="auto"/>
        </w:rPr>
      </w:pPr>
      <w:r>
        <w:rPr>
          <w:rFonts w:ascii="Arial" w:cs="Arial" w:eastAsia="Arial" w:hAnsi="Arial"/>
          <w:sz w:val="18"/>
          <w:szCs w:val="18"/>
          <w:b w:val="1"/>
          <w:bCs w:val="1"/>
          <w:color w:val="auto"/>
        </w:rPr>
        <w:t>94539</w:t>
      </w:r>
    </w:p>
    <w:p>
      <w:pPr>
        <w:spacing w:after="0" w:line="27" w:lineRule="exact"/>
        <w:rPr>
          <w:sz w:val="24"/>
          <w:szCs w:val="24"/>
          <w:color w:val="auto"/>
        </w:rPr>
      </w:pPr>
    </w:p>
    <w:p>
      <w:pPr>
        <w:jc w:val="center"/>
        <w:ind w:right="2360"/>
        <w:spacing w:after="0"/>
        <w:rPr>
          <w:sz w:val="20"/>
          <w:szCs w:val="20"/>
          <w:color w:val="auto"/>
        </w:rPr>
      </w:pPr>
      <w:r>
        <w:rPr>
          <w:rFonts w:ascii="Arial" w:cs="Arial" w:eastAsia="Arial" w:hAnsi="Arial"/>
          <w:sz w:val="16"/>
          <w:szCs w:val="16"/>
          <w:i w:val="1"/>
          <w:iCs w:val="1"/>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535"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(510) 445-3700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(Former Name or Former Address, If Changed Since Last Report)</w:t>
      </w:r>
    </w:p>
    <w:p>
      <w:pPr>
        <w:spacing w:after="0" w:line="211" w:lineRule="exact"/>
        <w:rPr>
          <w:sz w:val="24"/>
          <w:szCs w:val="24"/>
          <w:color w:val="auto"/>
        </w:rPr>
      </w:pPr>
    </w:p>
    <w:p>
      <w:pPr>
        <w:spacing w:after="0" w:line="25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5640" w:type="dxa"/>
            <w:vAlign w:val="bottom"/>
            <w:gridSpan w:val="2"/>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760" w:type="dxa"/>
            <w:vAlign w:val="bottom"/>
          </w:tcPr>
          <w:p>
            <w:pPr>
              <w:spacing w:after="0"/>
              <w:rPr>
                <w:sz w:val="20"/>
                <w:szCs w:val="20"/>
                <w:color w:val="auto"/>
              </w:rPr>
            </w:pPr>
          </w:p>
        </w:tc>
      </w:tr>
      <w:tr>
        <w:trPr>
          <w:trHeight w:val="439"/>
        </w:trPr>
        <w:tc>
          <w:tcPr>
            <w:tcW w:w="5640" w:type="dxa"/>
            <w:vAlign w:val="bottom"/>
            <w:gridSpan w:val="2"/>
          </w:tcPr>
          <w:p>
            <w:pPr>
              <w:ind w:left="1940"/>
              <w:spacing w:after="0"/>
              <w:rPr>
                <w:sz w:val="20"/>
                <w:szCs w:val="20"/>
                <w:color w:val="auto"/>
              </w:rPr>
            </w:pPr>
            <w:r>
              <w:rPr>
                <w:rFonts w:ascii="Arial" w:cs="Arial" w:eastAsia="Arial" w:hAnsi="Arial"/>
                <w:sz w:val="18"/>
                <w:szCs w:val="18"/>
                <w:b w:val="1"/>
                <w:bCs w:val="1"/>
                <w:color w:val="auto"/>
              </w:rPr>
              <w:t>Title of each class</w:t>
            </w:r>
          </w:p>
        </w:tc>
        <w:tc>
          <w:tcPr>
            <w:tcW w:w="18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Trading symbol</w:t>
            </w:r>
          </w:p>
        </w:tc>
        <w:tc>
          <w:tcPr>
            <w:tcW w:w="37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5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Class A Common Stock, par value $0.0001 per share</w:t>
            </w:r>
          </w:p>
        </w:tc>
        <w:tc>
          <w:tcPr>
            <w:tcW w:w="440" w:type="dxa"/>
            <w:vAlign w:val="bottom"/>
          </w:tcPr>
          <w:p>
            <w:pPr>
              <w:spacing w:after="0"/>
              <w:rPr>
                <w:sz w:val="20"/>
                <w:szCs w:val="20"/>
                <w:color w:val="auto"/>
              </w:rPr>
            </w:pPr>
          </w:p>
        </w:tc>
        <w:tc>
          <w:tcPr>
            <w:tcW w:w="14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ACMR</w:t>
            </w:r>
          </w:p>
        </w:tc>
        <w:tc>
          <w:tcPr>
            <w:tcW w:w="440" w:type="dxa"/>
            <w:vAlign w:val="bottom"/>
          </w:tcPr>
          <w:p>
            <w:pPr>
              <w:spacing w:after="0"/>
              <w:rPr>
                <w:sz w:val="20"/>
                <w:szCs w:val="20"/>
                <w:color w:val="auto"/>
              </w:rPr>
            </w:pPr>
          </w:p>
        </w:tc>
        <w:tc>
          <w:tcPr>
            <w:tcW w:w="37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Nasdaq Global Market</w:t>
            </w:r>
          </w:p>
        </w:tc>
      </w:tr>
    </w:tbl>
    <w:p>
      <w:pPr>
        <w:spacing w:after="0" w:line="187"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or Rule 12b-2 of the Securities Exchange Act of 1934: Emerging growth company </w:t>
      </w:r>
      <w:r>
        <w:rPr>
          <w:rFonts w:ascii="MS PGothic" w:cs="MS PGothic" w:eastAsia="MS PGothic" w:hAnsi="MS PGothic"/>
          <w:sz w:val="18"/>
          <w:szCs w:val="18"/>
          <w:color w:val="auto"/>
        </w:rPr>
        <w:t>☑</w:t>
      </w:r>
    </w:p>
    <w:p>
      <w:pPr>
        <w:spacing w:after="0" w:line="169"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416560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held our 2020 Annual Meeting of Stockholders on June 2, 2020. The board of directors solicited proxies pursuant to a proxy statement that we filed on April 23, 2020 with the Securities and Exchange Commission under Section 14(a) of the Securities Exchange Act of 1934. There was no solicitation in opposition to the board’s solicitation.</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the meeting, holders of Class A and Class B common stock were asked to consider and vote upon the two proposals set forth below. Each share of Class A common stock was entitled to one vote with respect to each matter submitted to a vote at the meeting, and each share of Class B common stock was entitled to twenty votes with respect to each matter submitted to a vote at the meeting. Shares of Class A and Class B common stock representing 35,770,806 votes, or 66.77% of the total votes attributable to all outstanding shares of Class A and Class B common stock, were present in person or by proxy at the meeting.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voting results reported below are final.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matters considered and voted on by the stockholders at the meeting and the votes of the stockholders were as follows: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Proposal 1. Stockholders voted as follows with respect to the election of each of the nominees for director identified in the proxy statement.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920" w:type="dxa"/>
            <w:vAlign w:val="bottom"/>
            <w:tcBorders>
              <w:bottom w:val="single" w:sz="8" w:color="auto"/>
            </w:tcBorders>
          </w:tcPr>
          <w:p>
            <w:pPr>
              <w:ind w:left="1320"/>
              <w:spacing w:after="0"/>
              <w:rPr>
                <w:sz w:val="20"/>
                <w:szCs w:val="20"/>
                <w:color w:val="auto"/>
              </w:rPr>
            </w:pPr>
            <w:r>
              <w:rPr>
                <w:rFonts w:ascii="Arial" w:cs="Arial" w:eastAsia="Arial" w:hAnsi="Arial"/>
                <w:sz w:val="18"/>
                <w:szCs w:val="18"/>
                <w:b w:val="1"/>
                <w:bCs w:val="1"/>
                <w:color w:val="auto"/>
              </w:rPr>
              <w:t>Nominee</w:t>
            </w:r>
          </w:p>
        </w:tc>
        <w:tc>
          <w:tcPr>
            <w:tcW w:w="2320" w:type="dxa"/>
            <w:vAlign w:val="bottom"/>
            <w:tcBorders>
              <w:bottom w:val="single" w:sz="8" w:color="auto"/>
            </w:tcBorders>
          </w:tcPr>
          <w:p>
            <w:pPr>
              <w:jc w:val="center"/>
              <w:ind w:left="230"/>
              <w:spacing w:after="0"/>
              <w:rPr>
                <w:sz w:val="20"/>
                <w:szCs w:val="20"/>
                <w:color w:val="auto"/>
              </w:rPr>
            </w:pPr>
            <w:r>
              <w:rPr>
                <w:rFonts w:ascii="Arial" w:cs="Arial" w:eastAsia="Arial" w:hAnsi="Arial"/>
                <w:sz w:val="18"/>
                <w:szCs w:val="18"/>
                <w:b w:val="1"/>
                <w:bCs w:val="1"/>
                <w:color w:val="auto"/>
                <w:w w:val="96"/>
              </w:rPr>
              <w:t>For</w:t>
            </w:r>
          </w:p>
        </w:tc>
        <w:tc>
          <w:tcPr>
            <w:tcW w:w="1860" w:type="dxa"/>
            <w:vAlign w:val="bottom"/>
            <w:tcBorders>
              <w:bottom w:val="single" w:sz="8" w:color="auto"/>
            </w:tcBorders>
          </w:tcPr>
          <w:p>
            <w:pPr>
              <w:ind w:left="600"/>
              <w:spacing w:after="0"/>
              <w:rPr>
                <w:sz w:val="20"/>
                <w:szCs w:val="20"/>
                <w:color w:val="auto"/>
              </w:rPr>
            </w:pPr>
            <w:r>
              <w:rPr>
                <w:rFonts w:ascii="Arial" w:cs="Arial" w:eastAsia="Arial" w:hAnsi="Arial"/>
                <w:sz w:val="18"/>
                <w:szCs w:val="18"/>
                <w:b w:val="1"/>
                <w:bCs w:val="1"/>
                <w:color w:val="auto"/>
              </w:rPr>
              <w:t>Against</w:t>
            </w:r>
          </w:p>
        </w:tc>
        <w:tc>
          <w:tcPr>
            <w:tcW w:w="178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0"/>
              </w:rPr>
              <w:t>Abstain</w:t>
            </w:r>
          </w:p>
        </w:tc>
        <w:tc>
          <w:tcPr>
            <w:tcW w:w="236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1"/>
              </w:rPr>
              <w:t>Broker Non-Votes</w:t>
            </w: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David H. Wang</w:t>
            </w:r>
          </w:p>
        </w:tc>
        <w:tc>
          <w:tcPr>
            <w:tcW w:w="232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90"/>
              </w:rPr>
              <w:t>32,496,839</w:t>
            </w:r>
          </w:p>
        </w:tc>
        <w:tc>
          <w:tcPr>
            <w:tcW w:w="18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244,111</w:t>
            </w:r>
          </w:p>
        </w:tc>
        <w:tc>
          <w:tcPr>
            <w:tcW w:w="17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8"/>
              </w:rPr>
              <w:t>1,871</w:t>
            </w:r>
          </w:p>
        </w:tc>
        <w:tc>
          <w:tcPr>
            <w:tcW w:w="23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9"/>
              </w:rPr>
              <w:t>3,027,985</w:t>
            </w: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Haiping Dun</w:t>
            </w:r>
          </w:p>
        </w:tc>
        <w:tc>
          <w:tcPr>
            <w:tcW w:w="2320" w:type="dxa"/>
            <w:vAlign w:val="bottom"/>
          </w:tcPr>
          <w:p>
            <w:pPr>
              <w:jc w:val="center"/>
              <w:ind w:left="210"/>
              <w:spacing w:after="0"/>
              <w:rPr>
                <w:sz w:val="20"/>
                <w:szCs w:val="20"/>
                <w:color w:val="auto"/>
              </w:rPr>
            </w:pPr>
            <w:r>
              <w:rPr>
                <w:rFonts w:ascii="Arial" w:cs="Arial" w:eastAsia="Arial" w:hAnsi="Arial"/>
                <w:sz w:val="18"/>
                <w:szCs w:val="18"/>
                <w:color w:val="auto"/>
                <w:w w:val="90"/>
              </w:rPr>
              <w:t>32,271,236</w:t>
            </w:r>
          </w:p>
        </w:tc>
        <w:tc>
          <w:tcPr>
            <w:tcW w:w="1860" w:type="dxa"/>
            <w:vAlign w:val="bottom"/>
          </w:tcPr>
          <w:p>
            <w:pPr>
              <w:ind w:left="620"/>
              <w:spacing w:after="0"/>
              <w:rPr>
                <w:sz w:val="20"/>
                <w:szCs w:val="20"/>
                <w:color w:val="auto"/>
              </w:rPr>
            </w:pPr>
            <w:r>
              <w:rPr>
                <w:rFonts w:ascii="Arial" w:cs="Arial" w:eastAsia="Arial" w:hAnsi="Arial"/>
                <w:sz w:val="18"/>
                <w:szCs w:val="18"/>
                <w:color w:val="auto"/>
              </w:rPr>
              <w:t>469,714</w:t>
            </w:r>
          </w:p>
        </w:tc>
        <w:tc>
          <w:tcPr>
            <w:tcW w:w="1780" w:type="dxa"/>
            <w:vAlign w:val="bottom"/>
          </w:tcPr>
          <w:p>
            <w:pPr>
              <w:jc w:val="center"/>
              <w:ind w:left="10"/>
              <w:spacing w:after="0"/>
              <w:rPr>
                <w:sz w:val="20"/>
                <w:szCs w:val="20"/>
                <w:color w:val="auto"/>
              </w:rPr>
            </w:pPr>
            <w:r>
              <w:rPr>
                <w:rFonts w:ascii="Arial" w:cs="Arial" w:eastAsia="Arial" w:hAnsi="Arial"/>
                <w:sz w:val="18"/>
                <w:szCs w:val="18"/>
                <w:color w:val="auto"/>
                <w:w w:val="88"/>
              </w:rPr>
              <w:t>1,871</w:t>
            </w:r>
          </w:p>
        </w:tc>
        <w:tc>
          <w:tcPr>
            <w:tcW w:w="2360" w:type="dxa"/>
            <w:vAlign w:val="bottom"/>
          </w:tcPr>
          <w:p>
            <w:pPr>
              <w:jc w:val="center"/>
              <w:ind w:left="30"/>
              <w:spacing w:after="0"/>
              <w:rPr>
                <w:sz w:val="20"/>
                <w:szCs w:val="20"/>
                <w:color w:val="auto"/>
              </w:rPr>
            </w:pPr>
            <w:r>
              <w:rPr>
                <w:rFonts w:ascii="Arial" w:cs="Arial" w:eastAsia="Arial" w:hAnsi="Arial"/>
                <w:sz w:val="18"/>
                <w:szCs w:val="18"/>
                <w:color w:val="auto"/>
                <w:w w:val="89"/>
              </w:rPr>
              <w:t>3,027,985</w:t>
            </w: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Chenming C. Hu</w:t>
            </w:r>
          </w:p>
        </w:tc>
        <w:tc>
          <w:tcPr>
            <w:tcW w:w="232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90"/>
              </w:rPr>
              <w:t>32,162,059</w:t>
            </w:r>
          </w:p>
        </w:tc>
        <w:tc>
          <w:tcPr>
            <w:tcW w:w="18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578,788</w:t>
            </w:r>
          </w:p>
        </w:tc>
        <w:tc>
          <w:tcPr>
            <w:tcW w:w="17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8"/>
              </w:rPr>
              <w:t>1,974</w:t>
            </w:r>
          </w:p>
        </w:tc>
        <w:tc>
          <w:tcPr>
            <w:tcW w:w="23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9"/>
              </w:rPr>
              <w:t>3,027,985</w:t>
            </w: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Tracy Liu</w:t>
            </w:r>
          </w:p>
        </w:tc>
        <w:tc>
          <w:tcPr>
            <w:tcW w:w="2320" w:type="dxa"/>
            <w:vAlign w:val="bottom"/>
          </w:tcPr>
          <w:p>
            <w:pPr>
              <w:jc w:val="center"/>
              <w:ind w:left="210"/>
              <w:spacing w:after="0"/>
              <w:rPr>
                <w:sz w:val="20"/>
                <w:szCs w:val="20"/>
                <w:color w:val="auto"/>
              </w:rPr>
            </w:pPr>
            <w:r>
              <w:rPr>
                <w:rFonts w:ascii="Arial" w:cs="Arial" w:eastAsia="Arial" w:hAnsi="Arial"/>
                <w:sz w:val="18"/>
                <w:szCs w:val="18"/>
                <w:color w:val="auto"/>
                <w:w w:val="90"/>
              </w:rPr>
              <w:t>32,270,896</w:t>
            </w:r>
          </w:p>
        </w:tc>
        <w:tc>
          <w:tcPr>
            <w:tcW w:w="1860" w:type="dxa"/>
            <w:vAlign w:val="bottom"/>
          </w:tcPr>
          <w:p>
            <w:pPr>
              <w:ind w:left="620"/>
              <w:spacing w:after="0"/>
              <w:rPr>
                <w:sz w:val="20"/>
                <w:szCs w:val="20"/>
                <w:color w:val="auto"/>
              </w:rPr>
            </w:pPr>
            <w:r>
              <w:rPr>
                <w:rFonts w:ascii="Arial" w:cs="Arial" w:eastAsia="Arial" w:hAnsi="Arial"/>
                <w:sz w:val="18"/>
                <w:szCs w:val="18"/>
                <w:color w:val="auto"/>
              </w:rPr>
              <w:t>470,055</w:t>
            </w:r>
          </w:p>
        </w:tc>
        <w:tc>
          <w:tcPr>
            <w:tcW w:w="1780" w:type="dxa"/>
            <w:vAlign w:val="bottom"/>
          </w:tcPr>
          <w:p>
            <w:pPr>
              <w:jc w:val="center"/>
              <w:ind w:left="10"/>
              <w:spacing w:after="0"/>
              <w:rPr>
                <w:sz w:val="20"/>
                <w:szCs w:val="20"/>
                <w:color w:val="auto"/>
              </w:rPr>
            </w:pPr>
            <w:r>
              <w:rPr>
                <w:rFonts w:ascii="Arial" w:cs="Arial" w:eastAsia="Arial" w:hAnsi="Arial"/>
                <w:sz w:val="18"/>
                <w:szCs w:val="18"/>
                <w:color w:val="auto"/>
                <w:w w:val="88"/>
              </w:rPr>
              <w:t>1,870</w:t>
            </w:r>
          </w:p>
        </w:tc>
        <w:tc>
          <w:tcPr>
            <w:tcW w:w="2360" w:type="dxa"/>
            <w:vAlign w:val="bottom"/>
          </w:tcPr>
          <w:p>
            <w:pPr>
              <w:jc w:val="center"/>
              <w:ind w:left="30"/>
              <w:spacing w:after="0"/>
              <w:rPr>
                <w:sz w:val="20"/>
                <w:szCs w:val="20"/>
                <w:color w:val="auto"/>
              </w:rPr>
            </w:pPr>
            <w:r>
              <w:rPr>
                <w:rFonts w:ascii="Arial" w:cs="Arial" w:eastAsia="Arial" w:hAnsi="Arial"/>
                <w:sz w:val="18"/>
                <w:szCs w:val="18"/>
                <w:color w:val="auto"/>
                <w:w w:val="89"/>
              </w:rPr>
              <w:t>3,027,985</w:t>
            </w: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Yinan Xiang</w:t>
            </w:r>
          </w:p>
        </w:tc>
        <w:tc>
          <w:tcPr>
            <w:tcW w:w="232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90"/>
              </w:rPr>
              <w:t>32,522,994</w:t>
            </w:r>
          </w:p>
        </w:tc>
        <w:tc>
          <w:tcPr>
            <w:tcW w:w="18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216,906</w:t>
            </w:r>
          </w:p>
        </w:tc>
        <w:tc>
          <w:tcPr>
            <w:tcW w:w="17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8"/>
              </w:rPr>
              <w:t>2,921</w:t>
            </w:r>
          </w:p>
        </w:tc>
        <w:tc>
          <w:tcPr>
            <w:tcW w:w="23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9"/>
              </w:rPr>
              <w:t>3,027,985</w:t>
            </w: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Zhengfan Yang</w:t>
            </w:r>
          </w:p>
        </w:tc>
        <w:tc>
          <w:tcPr>
            <w:tcW w:w="2320" w:type="dxa"/>
            <w:vAlign w:val="bottom"/>
          </w:tcPr>
          <w:p>
            <w:pPr>
              <w:jc w:val="center"/>
              <w:ind w:left="210"/>
              <w:spacing w:after="0"/>
              <w:rPr>
                <w:sz w:val="20"/>
                <w:szCs w:val="20"/>
                <w:color w:val="auto"/>
              </w:rPr>
            </w:pPr>
            <w:r>
              <w:rPr>
                <w:rFonts w:ascii="Arial" w:cs="Arial" w:eastAsia="Arial" w:hAnsi="Arial"/>
                <w:sz w:val="18"/>
                <w:szCs w:val="18"/>
                <w:color w:val="auto"/>
                <w:w w:val="90"/>
              </w:rPr>
              <w:t>32,268,484</w:t>
            </w:r>
          </w:p>
        </w:tc>
        <w:tc>
          <w:tcPr>
            <w:tcW w:w="1860" w:type="dxa"/>
            <w:vAlign w:val="bottom"/>
          </w:tcPr>
          <w:p>
            <w:pPr>
              <w:ind w:left="620"/>
              <w:spacing w:after="0"/>
              <w:rPr>
                <w:sz w:val="20"/>
                <w:szCs w:val="20"/>
                <w:color w:val="auto"/>
              </w:rPr>
            </w:pPr>
            <w:r>
              <w:rPr>
                <w:rFonts w:ascii="Arial" w:cs="Arial" w:eastAsia="Arial" w:hAnsi="Arial"/>
                <w:sz w:val="18"/>
                <w:szCs w:val="18"/>
                <w:color w:val="auto"/>
              </w:rPr>
              <w:t>471,416</w:t>
            </w:r>
          </w:p>
        </w:tc>
        <w:tc>
          <w:tcPr>
            <w:tcW w:w="1780" w:type="dxa"/>
            <w:vAlign w:val="bottom"/>
          </w:tcPr>
          <w:p>
            <w:pPr>
              <w:jc w:val="center"/>
              <w:ind w:left="10"/>
              <w:spacing w:after="0"/>
              <w:rPr>
                <w:sz w:val="20"/>
                <w:szCs w:val="20"/>
                <w:color w:val="auto"/>
              </w:rPr>
            </w:pPr>
            <w:r>
              <w:rPr>
                <w:rFonts w:ascii="Arial" w:cs="Arial" w:eastAsia="Arial" w:hAnsi="Arial"/>
                <w:sz w:val="18"/>
                <w:szCs w:val="18"/>
                <w:color w:val="auto"/>
                <w:w w:val="88"/>
              </w:rPr>
              <w:t>2,921</w:t>
            </w:r>
          </w:p>
        </w:tc>
        <w:tc>
          <w:tcPr>
            <w:tcW w:w="2360" w:type="dxa"/>
            <w:vAlign w:val="bottom"/>
          </w:tcPr>
          <w:p>
            <w:pPr>
              <w:jc w:val="center"/>
              <w:ind w:left="30"/>
              <w:spacing w:after="0"/>
              <w:rPr>
                <w:sz w:val="20"/>
                <w:szCs w:val="20"/>
                <w:color w:val="auto"/>
              </w:rPr>
            </w:pPr>
            <w:r>
              <w:rPr>
                <w:rFonts w:ascii="Arial" w:cs="Arial" w:eastAsia="Arial" w:hAnsi="Arial"/>
                <w:sz w:val="18"/>
                <w:szCs w:val="18"/>
                <w:color w:val="auto"/>
                <w:w w:val="89"/>
              </w:rPr>
              <w:t>3,027,985</w:t>
            </w:r>
          </w:p>
        </w:tc>
      </w:tr>
    </w:tbl>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this vote, each of the six nominees was elected as a director to serve until the 2021 Annual Meeting of Stockholders and until his or her successor is duly elected and qualified.</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Proposal 2. Stockholders ratified the appointment of BDO China Shu Lun Pan Certified Public Accountants LLP as our independent auditor for the fiscal year ending December 31, 2020, by the following vote: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6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center"/>
              <w:ind w:right="330"/>
              <w:spacing w:after="0"/>
              <w:rPr>
                <w:sz w:val="20"/>
                <w:szCs w:val="20"/>
                <w:color w:val="auto"/>
              </w:rPr>
            </w:pPr>
            <w:r>
              <w:rPr>
                <w:rFonts w:ascii="Arial" w:cs="Arial" w:eastAsia="Arial" w:hAnsi="Arial"/>
                <w:sz w:val="18"/>
                <w:szCs w:val="18"/>
                <w:b w:val="1"/>
                <w:bCs w:val="1"/>
                <w:color w:val="auto"/>
                <w:w w:val="96"/>
              </w:rPr>
              <w:t>For</w:t>
            </w: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Against</w:t>
            </w: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Abstain</w:t>
            </w:r>
          </w:p>
        </w:tc>
      </w:tr>
      <w:tr>
        <w:trPr>
          <w:trHeight w:val="202"/>
        </w:trPr>
        <w:tc>
          <w:tcPr>
            <w:tcW w:w="4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Ratification of Appointment of BDO China Shu Lun Pan</w:t>
            </w:r>
          </w:p>
        </w:tc>
        <w:tc>
          <w:tcPr>
            <w:tcW w:w="202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r>
      <w:tr>
        <w:trPr>
          <w:trHeight w:val="23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Certified Public Accountants LLP</w:t>
            </w:r>
          </w:p>
        </w:tc>
        <w:tc>
          <w:tcPr>
            <w:tcW w:w="20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35,720,533</w:t>
            </w:r>
          </w:p>
        </w:tc>
        <w:tc>
          <w:tcPr>
            <w:tcW w:w="230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43,646</w:t>
            </w:r>
          </w:p>
        </w:tc>
        <w:tc>
          <w:tcPr>
            <w:tcW w:w="236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6,627</w:t>
            </w:r>
          </w:p>
        </w:tc>
      </w:tr>
      <w:tr>
        <w:trPr>
          <w:trHeight w:val="412"/>
        </w:trPr>
        <w:tc>
          <w:tcPr>
            <w:tcW w:w="45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ACM RESEARCH, INC.</w:t>
      </w:r>
    </w:p>
    <w:p>
      <w:pPr>
        <w:spacing w:after="0" w:line="19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Mark McKechnie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 June 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2020-06-04T16:02:51Z</dcterms:created>
  <dcterms:modified xsi:type="dcterms:W3CDTF">2020-06-04T16:02:51Z</dcterms:modified>
</cp:coreProperties>
</file>