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3.jpeg" ContentType="image/jpeg"/>
  <Override PartName="/word/media/image21.jpeg" ContentType="image/jpeg"/>
  <Override PartName="/word/media/image20.jpeg" ContentType="image/jpeg"/>
  <Override PartName="/word/media/image19.jpeg" ContentType="image/jpeg"/>
  <Override PartName="/word/media/image2.gif" ContentType="image/gif"/>
  <Override PartName="/word/media/image27.jpeg" ContentType="image/jpeg"/>
  <Override PartName="/word/media/image6.jpeg" ContentType="image/jpeg"/>
  <Override PartName="/word/media/image33.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4.jpeg" ContentType="image/jpeg"/>
  <Override PartName="/word/media/image7.jpeg" ContentType="image/jpeg"/>
  <Override PartName="/word/media/image28.jpeg" ContentType="image/jpeg"/>
  <Override PartName="/word/media/image12.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00"/>
        <w:jc w:val="both"/>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 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10-Q</w:t>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left"/>
        <w:rPr/>
      </w:pPr>
      <w:r>
        <w:rPr>
          <w:rFonts w:ascii="Times New Roman;serif" w:hAnsi="Times New Roman;serif"/>
          <w:b/>
          <w:color w:val="000000"/>
          <w:sz w:val="20"/>
          <w:shd w:fill="FFFFFF" w:val="clear"/>
        </w:rPr>
        <w:t xml:space="preserve">For the quarterly period ended </w:t>
      </w:r>
      <w:r>
        <w:rPr>
          <w:rFonts w:ascii="Times New Roman;serif" w:hAnsi="Times New Roman;serif"/>
          <w:b/>
          <w:color w:val="000000"/>
          <w:sz w:val="20"/>
        </w:rPr>
        <w:t>June 30, 2026</w:t>
      </w:r>
      <w:r>
        <w:rPr>
          <w:color w:val="000000"/>
          <w:shd w:fill="FFFFFF" w:val="clear"/>
        </w:rPr>
        <w:t xml:space="preserve">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transition period from _________ to _____________</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Commission file number: 001-38273</w:t>
      </w:r>
    </w:p>
    <w:p>
      <w:pPr>
        <w:pStyle w:val="TextBody"/>
        <w:bidi w:val="0"/>
        <w:spacing w:before="120" w:after="283"/>
        <w:jc w:val="center"/>
        <w:rPr/>
      </w:pPr>
      <w:r>
        <w:rPr/>
        <w:drawing>
          <wp:inline distT="0" distB="0" distL="0" distR="0">
            <wp:extent cx="5810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1025" cy="361950"/>
                    </a:xfrm>
                    <a:prstGeom prst="rect">
                      <a:avLst/>
                    </a:prstGeom>
                  </pic:spPr>
                </pic:pic>
              </a:graphicData>
            </a:graphic>
          </wp:inline>
        </w:drawing>
      </w:r>
      <w:bookmarkStart w:id="0" w:name="i-1"/>
      <w:bookmarkEnd w:id="0"/>
    </w:p>
    <w:p>
      <w:pPr>
        <w:pStyle w:val="TextBody"/>
        <w:bidi w:val="0"/>
        <w:spacing w:lineRule="auto" w:line="288" w:before="12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ACM Research, Inc.</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(Exact Name of Registrant as Specified in Its Charter)</w:t>
      </w:r>
    </w:p>
    <w:tbl>
      <w:tblPr>
        <w:tblW w:w="8218" w:type="dxa"/>
        <w:jc w:val="left"/>
        <w:tblInd w:w="0" w:type="dxa"/>
        <w:tblLayout w:type="fixed"/>
        <w:tblCellMar>
          <w:top w:w="28" w:type="dxa"/>
          <w:left w:w="28" w:type="dxa"/>
          <w:bottom w:w="28" w:type="dxa"/>
          <w:right w:w="28" w:type="dxa"/>
        </w:tblCellMar>
      </w:tblPr>
      <w:tblGrid>
        <w:gridCol w:w="1880"/>
        <w:gridCol w:w="1652"/>
        <w:gridCol w:w="1672"/>
        <w:gridCol w:w="881"/>
        <w:gridCol w:w="881"/>
        <w:gridCol w:w="1252"/>
      </w:tblGrid>
      <w:tr>
        <w:trPr/>
        <w:tc>
          <w:tcPr>
            <w:tcW w:w="188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94-3290283</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 or Organization)</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42307 Osgood Road, Suite I</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Fremont, California</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94539</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bl>
    <w:p>
      <w:pPr>
        <w:pStyle w:val="TextBody"/>
        <w:bidi w:val="0"/>
        <w:spacing w:lineRule="auto" w:line="288" w:before="120" w:after="283"/>
        <w:jc w:val="center"/>
        <w:rPr/>
      </w:pPr>
      <w:r>
        <w:rPr>
          <w:rFonts w:ascii="Times New Roman;serif" w:hAnsi="Times New Roman;serif"/>
          <w:b w:val="false"/>
          <w:i/>
          <w:color w:val="000000"/>
          <w:sz w:val="20"/>
          <w:shd w:fill="FFFFFF" w:val="clear"/>
        </w:rPr>
        <w:t>Registrant’s telephone number, including area code:</w:t>
      </w:r>
      <w:r>
        <w:rPr>
          <w:color w:val="000000"/>
          <w:shd w:fill="FFFFFF" w:val="clear"/>
        </w:rPr>
        <w:t xml:space="preserve"> </w:t>
      </w:r>
      <w:r>
        <w:rPr>
          <w:rFonts w:ascii="Times New Roman;serif" w:hAnsi="Times New Roman;serif"/>
          <w:b/>
          <w:color w:val="000000"/>
          <w:sz w:val="20"/>
          <w:shd w:fill="FFFFFF" w:val="clear"/>
        </w:rPr>
        <w:t>(510) 445-3700</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621" w:type="dxa"/>
        <w:jc w:val="left"/>
        <w:tblInd w:w="0" w:type="dxa"/>
        <w:tblLayout w:type="fixed"/>
        <w:tblCellMar>
          <w:top w:w="28" w:type="dxa"/>
          <w:left w:w="28" w:type="dxa"/>
          <w:bottom w:w="28" w:type="dxa"/>
          <w:right w:w="28" w:type="dxa"/>
        </w:tblCellMar>
      </w:tblPr>
      <w:tblGrid>
        <w:gridCol w:w="1339"/>
        <w:gridCol w:w="1179"/>
        <w:gridCol w:w="1186"/>
        <w:gridCol w:w="109"/>
        <w:gridCol w:w="109"/>
        <w:gridCol w:w="109"/>
        <w:gridCol w:w="474"/>
        <w:gridCol w:w="474"/>
        <w:gridCol w:w="476"/>
        <w:gridCol w:w="109"/>
        <w:gridCol w:w="109"/>
        <w:gridCol w:w="109"/>
        <w:gridCol w:w="1124"/>
        <w:gridCol w:w="1124"/>
        <w:gridCol w:w="1591"/>
      </w:tblGrid>
      <w:tr>
        <w:trPr/>
        <w:tc>
          <w:tcPr>
            <w:tcW w:w="133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ACMR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627" w:type="dxa"/>
        <w:jc w:val="left"/>
        <w:tblInd w:w="0" w:type="dxa"/>
        <w:tblLayout w:type="fixed"/>
        <w:tblCellMar>
          <w:top w:w="28" w:type="dxa"/>
          <w:left w:w="28" w:type="dxa"/>
          <w:bottom w:w="28" w:type="dxa"/>
          <w:right w:w="28" w:type="dxa"/>
        </w:tblCellMar>
      </w:tblPr>
      <w:tblGrid>
        <w:gridCol w:w="124"/>
        <w:gridCol w:w="109"/>
        <w:gridCol w:w="109"/>
        <w:gridCol w:w="649"/>
        <w:gridCol w:w="649"/>
        <w:gridCol w:w="651"/>
        <w:gridCol w:w="109"/>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Indicate by check mark whether the registrant is a shell company (as defined in Rule 12b-2 of the Exchange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erif" w:hAnsi="Times New Roman;serif"/>
          <w:b w:val="false"/>
          <w:color w:val="000000"/>
          <w:sz w:val="20"/>
          <w:shd w:fill="FFFFFF" w:val="clear"/>
        </w:rPr>
        <w:t xml:space="preserve">No </w:t>
      </w:r>
      <w:r>
        <w:rPr>
          <w:color w:val="000000"/>
          <w:shd w:fill="FFFFFF" w:val="clear"/>
        </w:rPr>
        <w:t>☑</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the number of shares outstanding of each of the registrant’s classes of common stock, as of the latest practicable date.</w:t>
      </w:r>
    </w:p>
    <w:tbl>
      <w:tblPr>
        <w:tblW w:w="8276" w:type="dxa"/>
        <w:jc w:val="left"/>
        <w:tblInd w:w="0" w:type="dxa"/>
        <w:tblLayout w:type="fixed"/>
        <w:tblCellMar>
          <w:top w:w="28" w:type="dxa"/>
          <w:left w:w="28" w:type="dxa"/>
          <w:bottom w:w="28" w:type="dxa"/>
          <w:right w:w="28" w:type="dxa"/>
        </w:tblCellMar>
      </w:tblPr>
      <w:tblGrid>
        <w:gridCol w:w="1302"/>
        <w:gridCol w:w="1141"/>
        <w:gridCol w:w="1157"/>
        <w:gridCol w:w="109"/>
        <w:gridCol w:w="109"/>
        <w:gridCol w:w="109"/>
        <w:gridCol w:w="1272"/>
        <w:gridCol w:w="1272"/>
        <w:gridCol w:w="1805"/>
      </w:tblGrid>
      <w:tr>
        <w:trPr/>
        <w:tc>
          <w:tcPr>
            <w:tcW w:w="130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 Outstanding</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64,657,388 shares outstanding as of August 4, 2026</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4,991,808 shares outstanding as of August 4, 2026</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02260"/>
                <wp:effectExtent l="0" t="0" r="0" b="0"/>
                <wp:wrapNone/>
                <wp:docPr id="2"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88" w:before="200" w:after="200"/>
        <w:jc w:val="both"/>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138"/>
        <w:gridCol w:w="121"/>
        <w:gridCol w:w="121"/>
        <w:gridCol w:w="245"/>
        <w:gridCol w:w="245"/>
        <w:gridCol w:w="246"/>
        <w:gridCol w:w="2902"/>
        <w:gridCol w:w="2902"/>
        <w:gridCol w:w="2909"/>
        <w:gridCol w:w="109"/>
        <w:gridCol w:w="109"/>
        <w:gridCol w:w="158"/>
      </w:tblGrid>
      <w:tr>
        <w:trPr/>
        <w:tc>
          <w:tcPr>
            <w:tcW w:w="1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1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2e7bb88dd6a40438a4c4d2d3f59bbb1_13">
              <w:r>
                <w:rPr>
                  <w:rStyle w:val="InternetLink"/>
                  <w:rFonts w:ascii="Times New Roman;serif" w:hAnsi="Times New Roman;serif"/>
                  <w:b w:val="false"/>
                  <w:strike w:val="false"/>
                  <w:dstrike w:val="false"/>
                  <w:color w:val="000000"/>
                  <w:sz w:val="20"/>
                  <w:u w:val="none"/>
                  <w:effect w:val="none"/>
                </w:rPr>
                <w:t>PART I.</w:t>
              </w:r>
            </w:hyperlink>
          </w:p>
        </w:tc>
        <w:tc>
          <w:tcPr>
            <w:tcW w:w="8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e2e7bb88dd6a40438a4c4d2d3f59bbb1_13">
              <w:r>
                <w:rPr>
                  <w:rStyle w:val="InternetLink"/>
                  <w:rFonts w:ascii="Times New Roman;serif" w:hAnsi="Times New Roman;serif"/>
                  <w:b w:val="false"/>
                  <w:color w:val="0000FF"/>
                  <w:sz w:val="20"/>
                  <w:u w:val="single"/>
                </w:rPr>
                <w:t>FINANCIAL INFORMATION</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2e7bb88dd6a40438a4c4d2d3f59bbb1_13">
              <w:r>
                <w:rPr>
                  <w:rStyle w:val="InternetLink"/>
                  <w:rFonts w:ascii="Times New Roman;serif" w:hAnsi="Times New Roman;serif"/>
                  <w:b w:val="false"/>
                  <w:strike w:val="false"/>
                  <w:dstrike w:val="false"/>
                  <w:color w:val="3051F2"/>
                  <w:sz w:val="20"/>
                  <w:u w:val="none"/>
                  <w:effect w:val="none"/>
                </w:rPr>
                <w:t>4</w:t>
              </w:r>
            </w:hyperlink>
          </w:p>
        </w:tc>
      </w:tr>
      <w:tr>
        <w:trPr/>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2e7bb88dd6a40438a4c4d2d3f59bbb1_16">
              <w:r>
                <w:rPr>
                  <w:rStyle w:val="InternetLink"/>
                  <w:rFonts w:ascii="Times New Roman;serif" w:hAnsi="Times New Roman;serif"/>
                  <w:b w:val="false"/>
                  <w:strike w:val="false"/>
                  <w:dstrike w:val="false"/>
                  <w:color w:val="000000"/>
                  <w:sz w:val="20"/>
                  <w:u w:val="none"/>
                  <w:effect w:val="none"/>
                </w:rPr>
                <w:t>Item 1.</w:t>
              </w:r>
            </w:hyperlink>
          </w:p>
        </w:tc>
        <w:tc>
          <w:tcPr>
            <w:tcW w:w="87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e2e7bb88dd6a40438a4c4d2d3f59bbb1_16">
              <w:r>
                <w:rPr>
                  <w:rStyle w:val="InternetLink"/>
                  <w:rFonts w:ascii="Times New Roman;serif" w:hAnsi="Times New Roman;serif"/>
                  <w:b w:val="false"/>
                  <w:color w:val="0000FF"/>
                  <w:sz w:val="20"/>
                  <w:u w:val="single"/>
                </w:rPr>
                <w:t>Financial Statements (unaudited)</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2e7bb88dd6a40438a4c4d2d3f59bbb1_16">
              <w:r>
                <w:rPr>
                  <w:rStyle w:val="InternetLink"/>
                  <w:rFonts w:ascii="Times New Roman;serif" w:hAnsi="Times New Roman;serif"/>
                  <w:b w:val="false"/>
                  <w:strike w:val="false"/>
                  <w:dstrike w:val="false"/>
                  <w:color w:val="3051F2"/>
                  <w:sz w:val="20"/>
                  <w:u w:val="none"/>
                  <w:effect w:val="none"/>
                </w:rPr>
                <w:t>4</w:t>
              </w:r>
            </w:hyperlink>
          </w:p>
        </w:tc>
      </w:tr>
      <w:tr>
        <w:trPr/>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e2e7bb88dd6a40438a4c4d2d3f59bbb1_19">
              <w:r>
                <w:rPr>
                  <w:rStyle w:val="InternetLink"/>
                  <w:rFonts w:ascii="Times New Roman;serif" w:hAnsi="Times New Roman;serif"/>
                  <w:b w:val="false"/>
                  <w:color w:val="0000FF"/>
                  <w:sz w:val="20"/>
                  <w:u w:val="single"/>
                </w:rPr>
                <w:t>Condensed Consolidated Balance Sheets as of June 30, 2026 and December 31, 2025</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2e7bb88dd6a40438a4c4d2d3f59bbb1_19">
              <w:r>
                <w:rPr>
                  <w:rStyle w:val="InternetLink"/>
                  <w:rFonts w:ascii="Times New Roman;serif" w:hAnsi="Times New Roman;serif"/>
                  <w:b w:val="false"/>
                  <w:strike w:val="false"/>
                  <w:dstrike w:val="false"/>
                  <w:color w:val="3051F2"/>
                  <w:sz w:val="20"/>
                  <w:u w:val="none"/>
                  <w:effect w:val="none"/>
                </w:rPr>
                <w:t>4</w:t>
              </w:r>
            </w:hyperlink>
          </w:p>
        </w:tc>
      </w:tr>
      <w:tr>
        <w:trPr/>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e2e7bb88dd6a40438a4c4d2d3f59bbb1_22">
              <w:r>
                <w:rPr>
                  <w:rStyle w:val="InternetLink"/>
                  <w:rFonts w:ascii="Times New Roman;serif" w:hAnsi="Times New Roman;serif"/>
                  <w:b w:val="false"/>
                  <w:color w:val="0000FF"/>
                  <w:sz w:val="20"/>
                  <w:u w:val="single"/>
                </w:rPr>
                <w:t>Condensed Consolidated Statements of Comprehensive Income for the Three and Six Months Ended June 30, 2026 and 2025</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2e7bb88dd6a40438a4c4d2d3f59bbb1_22">
              <w:r>
                <w:rPr>
                  <w:rStyle w:val="InternetLink"/>
                  <w:rFonts w:ascii="Times New Roman;serif" w:hAnsi="Times New Roman;serif"/>
                  <w:b w:val="false"/>
                  <w:strike w:val="false"/>
                  <w:dstrike w:val="false"/>
                  <w:color w:val="3051F2"/>
                  <w:sz w:val="20"/>
                  <w:u w:val="none"/>
                  <w:effect w:val="none"/>
                </w:rPr>
                <w:t>5</w:t>
              </w:r>
            </w:hyperlink>
          </w:p>
        </w:tc>
      </w:tr>
      <w:tr>
        <w:trPr/>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e2e7bb88dd6a40438a4c4d2d3f59bbb1_25">
              <w:r>
                <w:rPr>
                  <w:rStyle w:val="InternetLink"/>
                  <w:rFonts w:ascii="Times New Roman;serif" w:hAnsi="Times New Roman;serif"/>
                  <w:b w:val="false"/>
                  <w:color w:val="0000FF"/>
                  <w:sz w:val="20"/>
                  <w:u w:val="single"/>
                </w:rPr>
                <w:t>Condensed Consolidated Statements of Changes in Equity for the Three and Six Months Ended June 30, 2026 and 2025</w:t>
              </w:r>
            </w:hyperlink>
            <w:r>
              <w:rPr>
                <w:color w:val="000000"/>
              </w:rPr>
              <w:t xml:space="preserve"> </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2e7bb88dd6a40438a4c4d2d3f59bbb1_25">
              <w:r>
                <w:rPr>
                  <w:rStyle w:val="InternetLink"/>
                  <w:rFonts w:ascii="Times New Roman;serif" w:hAnsi="Times New Roman;serif"/>
                  <w:b w:val="false"/>
                  <w:strike w:val="false"/>
                  <w:dstrike w:val="false"/>
                  <w:color w:val="3051F2"/>
                  <w:sz w:val="20"/>
                  <w:u w:val="none"/>
                  <w:effect w:val="none"/>
                </w:rPr>
                <w:t>6</w:t>
              </w:r>
            </w:hyperlink>
          </w:p>
        </w:tc>
      </w:tr>
      <w:tr>
        <w:trPr/>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e2e7bb88dd6a40438a4c4d2d3f59bbb1_28">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2e7bb88dd6a40438a4c4d2d3f59bbb1_28">
              <w:r>
                <w:rPr>
                  <w:rStyle w:val="InternetLink"/>
                  <w:rFonts w:ascii="Times New Roman;serif" w:hAnsi="Times New Roman;serif"/>
                  <w:b w:val="false"/>
                  <w:strike w:val="false"/>
                  <w:dstrike w:val="false"/>
                  <w:color w:val="3051F2"/>
                  <w:sz w:val="20"/>
                  <w:u w:val="none"/>
                  <w:effect w:val="none"/>
                </w:rPr>
                <w:t>9</w:t>
              </w:r>
            </w:hyperlink>
          </w:p>
        </w:tc>
      </w:tr>
      <w:tr>
        <w:trPr/>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e2e7bb88dd6a40438a4c4d2d3f59bbb1_31">
              <w:r>
                <w:rPr>
                  <w:rStyle w:val="InternetLink"/>
                  <w:rFonts w:ascii="Times New Roman;serif" w:hAnsi="Times New Roman;serif"/>
                  <w:b w:val="false"/>
                  <w:color w:val="0000FF"/>
                  <w:sz w:val="20"/>
                  <w:u w:val="single"/>
                </w:rPr>
                <w:t>Notes to the Condensed Consolidated Financial Statements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2e7bb88dd6a40438a4c4d2d3f59bbb1_31">
              <w:r>
                <w:rPr>
                  <w:rStyle w:val="InternetLink"/>
                  <w:rFonts w:ascii="Times New Roman;serif" w:hAnsi="Times New Roman;serif"/>
                  <w:b w:val="false"/>
                  <w:strike w:val="false"/>
                  <w:dstrike w:val="false"/>
                  <w:color w:val="3051F2"/>
                  <w:sz w:val="20"/>
                  <w:u w:val="none"/>
                  <w:effect w:val="none"/>
                </w:rPr>
                <w:t>10</w:t>
              </w:r>
            </w:hyperlink>
          </w:p>
        </w:tc>
      </w:tr>
      <w:tr>
        <w:trPr/>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2e7bb88dd6a40438a4c4d2d3f59bbb1_94">
              <w:r>
                <w:rPr>
                  <w:rStyle w:val="InternetLink"/>
                  <w:rFonts w:ascii="Times New Roman;serif" w:hAnsi="Times New Roman;serif"/>
                  <w:b w:val="false"/>
                  <w:strike w:val="false"/>
                  <w:dstrike w:val="false"/>
                  <w:color w:val="000000"/>
                  <w:sz w:val="20"/>
                  <w:u w:val="none"/>
                  <w:effect w:val="none"/>
                </w:rPr>
                <w:t>Item 2.</w:t>
              </w:r>
            </w:hyperlink>
          </w:p>
        </w:tc>
        <w:tc>
          <w:tcPr>
            <w:tcW w:w="87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e2e7bb88dd6a40438a4c4d2d3f59bbb1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2e7bb88dd6a40438a4c4d2d3f59bbb1_94">
              <w:r>
                <w:rPr>
                  <w:rStyle w:val="InternetLink"/>
                  <w:rFonts w:ascii="Times New Roman;serif" w:hAnsi="Times New Roman;serif"/>
                  <w:b w:val="false"/>
                  <w:strike w:val="false"/>
                  <w:dstrike w:val="false"/>
                  <w:color w:val="3051F2"/>
                  <w:sz w:val="20"/>
                  <w:u w:val="none"/>
                  <w:effect w:val="none"/>
                </w:rPr>
                <w:t>27</w:t>
              </w:r>
            </w:hyperlink>
          </w:p>
        </w:tc>
      </w:tr>
      <w:tr>
        <w:trPr/>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2e7bb88dd6a40438a4c4d2d3f59bbb1_130">
              <w:r>
                <w:rPr>
                  <w:rStyle w:val="InternetLink"/>
                  <w:rFonts w:ascii="Times New Roman;serif" w:hAnsi="Times New Roman;serif"/>
                  <w:b w:val="false"/>
                  <w:strike w:val="false"/>
                  <w:dstrike w:val="false"/>
                  <w:color w:val="000000"/>
                  <w:sz w:val="20"/>
                  <w:u w:val="none"/>
                  <w:effect w:val="none"/>
                </w:rPr>
                <w:t>Item 3.</w:t>
              </w:r>
            </w:hyperlink>
          </w:p>
        </w:tc>
        <w:tc>
          <w:tcPr>
            <w:tcW w:w="8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e2e7bb88dd6a40438a4c4d2d3f59bbb1_130">
              <w:r>
                <w:rPr>
                  <w:rStyle w:val="InternetLink"/>
                  <w:rFonts w:ascii="Times New Roman;serif" w:hAnsi="Times New Roman;serif"/>
                  <w:b w:val="false"/>
                  <w:color w:val="0000FF"/>
                  <w:sz w:val="20"/>
                  <w:u w:val="single"/>
                </w:rPr>
                <w:t>Quantitative and Qualitative Disclosures about Market Risks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2e7bb88dd6a40438a4c4d2d3f59bbb1_130">
              <w:r>
                <w:rPr>
                  <w:rStyle w:val="InternetLink"/>
                  <w:rFonts w:ascii="Times New Roman;serif" w:hAnsi="Times New Roman;serif"/>
                  <w:b w:val="false"/>
                  <w:strike w:val="false"/>
                  <w:dstrike w:val="false"/>
                  <w:color w:val="3051F2"/>
                  <w:sz w:val="20"/>
                  <w:u w:val="none"/>
                  <w:effect w:val="none"/>
                </w:rPr>
                <w:t>46</w:t>
              </w:r>
            </w:hyperlink>
          </w:p>
        </w:tc>
      </w:tr>
      <w:tr>
        <w:trPr/>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2e7bb88dd6a40438a4c4d2d3f59bbb1_133">
              <w:r>
                <w:rPr>
                  <w:rStyle w:val="InternetLink"/>
                  <w:rFonts w:ascii="Times New Roman;serif" w:hAnsi="Times New Roman;serif"/>
                  <w:b w:val="false"/>
                  <w:strike w:val="false"/>
                  <w:dstrike w:val="false"/>
                  <w:color w:val="000000"/>
                  <w:sz w:val="20"/>
                  <w:u w:val="none"/>
                  <w:effect w:val="none"/>
                </w:rPr>
                <w:t>Item 4.</w:t>
              </w:r>
            </w:hyperlink>
          </w:p>
        </w:tc>
        <w:tc>
          <w:tcPr>
            <w:tcW w:w="87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e2e7bb88dd6a40438a4c4d2d3f59bbb1_133">
              <w:r>
                <w:rPr>
                  <w:rStyle w:val="InternetLink"/>
                  <w:rFonts w:ascii="Times New Roman;serif" w:hAnsi="Times New Roman;serif"/>
                  <w:b w:val="false"/>
                  <w:color w:val="0000FF"/>
                  <w:sz w:val="20"/>
                  <w:u w:val="single"/>
                </w:rPr>
                <w:t>Controls and Procedures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2e7bb88dd6a40438a4c4d2d3f59bbb1_133">
              <w:r>
                <w:rPr>
                  <w:rStyle w:val="InternetLink"/>
                  <w:rFonts w:ascii="Times New Roman;serif" w:hAnsi="Times New Roman;serif"/>
                  <w:b w:val="false"/>
                  <w:strike w:val="false"/>
                  <w:dstrike w:val="false"/>
                  <w:color w:val="3051F2"/>
                  <w:sz w:val="20"/>
                  <w:u w:val="none"/>
                  <w:effect w:val="none"/>
                </w:rPr>
                <w:t>46</w:t>
              </w:r>
            </w:hyperlink>
          </w:p>
        </w:tc>
      </w:tr>
      <w:tr>
        <w:trPr/>
        <w:tc>
          <w:tcPr>
            <w:tcW w:w="111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2e7bb88dd6a40438a4c4d2d3f59bbb1_136">
              <w:r>
                <w:rPr>
                  <w:rStyle w:val="InternetLink"/>
                  <w:rFonts w:ascii="Times New Roman;serif" w:hAnsi="Times New Roman;serif"/>
                  <w:b w:val="false"/>
                  <w:strike w:val="false"/>
                  <w:dstrike w:val="false"/>
                  <w:color w:val="000000"/>
                  <w:sz w:val="20"/>
                  <w:u w:val="none"/>
                  <w:effect w:val="none"/>
                </w:rPr>
                <w:t>PART II.</w:t>
              </w:r>
            </w:hyperlink>
          </w:p>
        </w:tc>
        <w:tc>
          <w:tcPr>
            <w:tcW w:w="8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e2e7bb88dd6a40438a4c4d2d3f59bbb1_136">
              <w:r>
                <w:rPr>
                  <w:rStyle w:val="InternetLink"/>
                  <w:rFonts w:ascii="Times New Roman;serif" w:hAnsi="Times New Roman;serif"/>
                  <w:b w:val="false"/>
                  <w:color w:val="0000FF"/>
                  <w:sz w:val="20"/>
                  <w:u w:val="single"/>
                </w:rPr>
                <w:t>OTHER INFORMATION</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2e7bb88dd6a40438a4c4d2d3f59bbb1_136">
              <w:r>
                <w:rPr>
                  <w:rStyle w:val="InternetLink"/>
                  <w:rFonts w:ascii="Times New Roman;serif" w:hAnsi="Times New Roman;serif"/>
                  <w:b w:val="false"/>
                  <w:strike w:val="false"/>
                  <w:dstrike w:val="false"/>
                  <w:color w:val="3051F2"/>
                  <w:sz w:val="20"/>
                  <w:u w:val="none"/>
                  <w:effect w:val="none"/>
                </w:rPr>
                <w:t>47</w:t>
              </w:r>
            </w:hyperlink>
          </w:p>
        </w:tc>
      </w:tr>
      <w:tr>
        <w:trPr/>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2e7bb88dd6a40438a4c4d2d3f59bbb1_139">
              <w:r>
                <w:rPr>
                  <w:rStyle w:val="InternetLink"/>
                  <w:rFonts w:ascii="Times New Roman;serif" w:hAnsi="Times New Roman;serif"/>
                  <w:b w:val="false"/>
                  <w:strike w:val="false"/>
                  <w:dstrike w:val="false"/>
                  <w:color w:val="000000"/>
                  <w:sz w:val="20"/>
                  <w:u w:val="none"/>
                  <w:effect w:val="none"/>
                </w:rPr>
                <w:t>Item 1.</w:t>
              </w:r>
            </w:hyperlink>
          </w:p>
        </w:tc>
        <w:tc>
          <w:tcPr>
            <w:tcW w:w="87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e2e7bb88dd6a40438a4c4d2d3f59bbb1_139">
              <w:r>
                <w:rPr>
                  <w:rStyle w:val="InternetLink"/>
                  <w:rFonts w:ascii="Times New Roman;serif" w:hAnsi="Times New Roman;serif"/>
                  <w:b w:val="false"/>
                  <w:color w:val="0000FF"/>
                  <w:sz w:val="20"/>
                  <w:u w:val="single"/>
                </w:rPr>
                <w:t>Legal Proceedings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2e7bb88dd6a40438a4c4d2d3f59bbb1_139">
              <w:r>
                <w:rPr>
                  <w:rStyle w:val="InternetLink"/>
                  <w:rFonts w:ascii="Times New Roman;serif" w:hAnsi="Times New Roman;serif"/>
                  <w:b w:val="false"/>
                  <w:strike w:val="false"/>
                  <w:dstrike w:val="false"/>
                  <w:color w:val="3051F2"/>
                  <w:sz w:val="20"/>
                  <w:u w:val="none"/>
                  <w:effect w:val="none"/>
                </w:rPr>
                <w:t>47</w:t>
              </w:r>
            </w:hyperlink>
          </w:p>
        </w:tc>
      </w:tr>
      <w:tr>
        <w:trPr/>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2e7bb88dd6a40438a4c4d2d3f59bbb1_142">
              <w:r>
                <w:rPr>
                  <w:rStyle w:val="InternetLink"/>
                  <w:rFonts w:ascii="Times New Roman;serif" w:hAnsi="Times New Roman;serif"/>
                  <w:b w:val="false"/>
                  <w:strike w:val="false"/>
                  <w:dstrike w:val="false"/>
                  <w:color w:val="000000"/>
                  <w:sz w:val="20"/>
                  <w:u w:val="none"/>
                  <w:effect w:val="none"/>
                </w:rPr>
                <w:t>Item 1A.</w:t>
              </w:r>
            </w:hyperlink>
          </w:p>
        </w:tc>
        <w:tc>
          <w:tcPr>
            <w:tcW w:w="8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e2e7bb88dd6a40438a4c4d2d3f59bbb1_142">
              <w:r>
                <w:rPr>
                  <w:rStyle w:val="InternetLink"/>
                  <w:rFonts w:ascii="Times New Roman;serif" w:hAnsi="Times New Roman;serif"/>
                  <w:b w:val="false"/>
                  <w:color w:val="0000FF"/>
                  <w:sz w:val="20"/>
                  <w:u w:val="single"/>
                </w:rPr>
                <w:t>Risk Factors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2e7bb88dd6a40438a4c4d2d3f59bbb1_142">
              <w:r>
                <w:rPr>
                  <w:rStyle w:val="InternetLink"/>
                  <w:rFonts w:ascii="Times New Roman;serif" w:hAnsi="Times New Roman;serif"/>
                  <w:b w:val="false"/>
                  <w:strike w:val="false"/>
                  <w:dstrike w:val="false"/>
                  <w:color w:val="3051F2"/>
                  <w:sz w:val="20"/>
                  <w:u w:val="none"/>
                  <w:effect w:val="none"/>
                </w:rPr>
                <w:t>47</w:t>
              </w:r>
            </w:hyperlink>
          </w:p>
        </w:tc>
      </w:tr>
      <w:tr>
        <w:trPr/>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2e7bb88dd6a40438a4c4d2d3f59bbb1_145">
              <w:r>
                <w:rPr>
                  <w:rStyle w:val="InternetLink"/>
                  <w:rFonts w:ascii="Times New Roman;serif" w:hAnsi="Times New Roman;serif"/>
                  <w:b w:val="false"/>
                  <w:strike w:val="false"/>
                  <w:dstrike w:val="false"/>
                  <w:color w:val="000000"/>
                  <w:sz w:val="20"/>
                  <w:u w:val="none"/>
                  <w:effect w:val="none"/>
                </w:rPr>
                <w:t>Item 2.</w:t>
              </w:r>
            </w:hyperlink>
          </w:p>
        </w:tc>
        <w:tc>
          <w:tcPr>
            <w:tcW w:w="87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e2e7bb88dd6a40438a4c4d2d3f59bbb1_145">
              <w:r>
                <w:rPr>
                  <w:rStyle w:val="InternetLink"/>
                  <w:rFonts w:ascii="Times New Roman;serif" w:hAnsi="Times New Roman;serif"/>
                  <w:b w:val="false"/>
                  <w:color w:val="0000FF"/>
                  <w:sz w:val="20"/>
                  <w:u w:val="single"/>
                </w:rPr>
                <w:t>Unregistered Sales of Equity Securities and Use of Proceeds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2e7bb88dd6a40438a4c4d2d3f59bbb1_145">
              <w:r>
                <w:rPr>
                  <w:rStyle w:val="InternetLink"/>
                  <w:rFonts w:ascii="Times New Roman;serif" w:hAnsi="Times New Roman;serif"/>
                  <w:b w:val="false"/>
                  <w:strike w:val="false"/>
                  <w:dstrike w:val="false"/>
                  <w:color w:val="3051F2"/>
                  <w:sz w:val="20"/>
                  <w:u w:val="none"/>
                  <w:effect w:val="none"/>
                </w:rPr>
                <w:t>47</w:t>
              </w:r>
            </w:hyperlink>
          </w:p>
        </w:tc>
      </w:tr>
      <w:tr>
        <w:trPr/>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e2e7bb88dd6a40438a4c4d2d3f59bbb1_148">
              <w:r>
                <w:rPr>
                  <w:rStyle w:val="InternetLink"/>
                  <w:rFonts w:ascii="Times New Roman;serif" w:hAnsi="Times New Roman;serif"/>
                  <w:b w:val="false"/>
                  <w:color w:val="0000FF"/>
                  <w:sz w:val="20"/>
                  <w:u w:val="single"/>
                </w:rPr>
                <w:t>Defaults Upon Senior Securities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3051F2"/>
                <w:sz w:val="20"/>
              </w:rPr>
            </w:pPr>
            <w:r>
              <w:rPr>
                <w:rFonts w:ascii="Times New Roman;serif" w:hAnsi="Times New Roman;serif"/>
                <w:b w:val="false"/>
                <w:color w:val="3051F2"/>
                <w:sz w:val="20"/>
              </w:rPr>
              <w:t>52</w:t>
            </w:r>
          </w:p>
        </w:tc>
      </w:tr>
      <w:tr>
        <w:trPr/>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e2e7bb88dd6a40438a4c4d2d3f59bbb1_151">
              <w:r>
                <w:rPr>
                  <w:rStyle w:val="InternetLink"/>
                  <w:rFonts w:ascii="Times New Roman;serif" w:hAnsi="Times New Roman;serif"/>
                  <w:b w:val="false"/>
                  <w:color w:val="0000FF"/>
                  <w:sz w:val="20"/>
                  <w:u w:val="single"/>
                </w:rPr>
                <w:t>Mine Safety Disclosures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3051F2"/>
                <w:sz w:val="20"/>
              </w:rPr>
            </w:pPr>
            <w:r>
              <w:rPr>
                <w:rFonts w:ascii="Times New Roman;serif" w:hAnsi="Times New Roman;serif"/>
                <w:b w:val="false"/>
                <w:color w:val="3051F2"/>
                <w:sz w:val="20"/>
              </w:rPr>
              <w:t>52</w:t>
            </w:r>
          </w:p>
        </w:tc>
      </w:tr>
      <w:tr>
        <w:trPr/>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7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e2e7bb88dd6a40438a4c4d2d3f59bbb1_154">
              <w:r>
                <w:rPr>
                  <w:rStyle w:val="InternetLink"/>
                  <w:rFonts w:ascii="Times New Roman;serif" w:hAnsi="Times New Roman;serif"/>
                  <w:b w:val="false"/>
                  <w:color w:val="661DE8"/>
                  <w:sz w:val="20"/>
                  <w:u w:val="single"/>
                </w:rPr>
                <w:t>Other Information</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2e7bb88dd6a40438a4c4d2d3f59bbb1_154">
              <w:r>
                <w:rPr>
                  <w:rStyle w:val="InternetLink"/>
                  <w:rFonts w:ascii="Times New Roman;serif" w:hAnsi="Times New Roman;serif"/>
                  <w:b w:val="false"/>
                  <w:strike w:val="false"/>
                  <w:dstrike w:val="false"/>
                  <w:color w:val="3051F2"/>
                  <w:sz w:val="20"/>
                  <w:u w:val="none"/>
                  <w:effect w:val="none"/>
                </w:rPr>
                <w:t>47</w:t>
              </w:r>
            </w:hyperlink>
          </w:p>
        </w:tc>
      </w:tr>
      <w:tr>
        <w:trPr/>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2e7bb88dd6a40438a4c4d2d3f59bbb1_160">
              <w:r>
                <w:rPr>
                  <w:rStyle w:val="InternetLink"/>
                  <w:rFonts w:ascii="Times New Roman;serif" w:hAnsi="Times New Roman;serif"/>
                  <w:b w:val="false"/>
                  <w:strike w:val="false"/>
                  <w:dstrike w:val="false"/>
                  <w:color w:val="000000"/>
                  <w:sz w:val="20"/>
                  <w:u w:val="none"/>
                  <w:effect w:val="none"/>
                </w:rPr>
                <w:t>Item 6.</w:t>
              </w:r>
            </w:hyperlink>
          </w:p>
        </w:tc>
        <w:tc>
          <w:tcPr>
            <w:tcW w:w="87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e2e7bb88dd6a40438a4c4d2d3f59bbb1_160">
              <w:r>
                <w:rPr>
                  <w:rStyle w:val="InternetLink"/>
                  <w:rFonts w:ascii="Times New Roman;serif" w:hAnsi="Times New Roman;serif"/>
                  <w:b w:val="false"/>
                  <w:color w:val="0000FF"/>
                  <w:sz w:val="20"/>
                  <w:u w:val="single"/>
                </w:rPr>
                <w:t>Exhibits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2e7bb88dd6a40438a4c4d2d3f59bbb1_160">
              <w:r>
                <w:rPr>
                  <w:rStyle w:val="InternetLink"/>
                  <w:rFonts w:ascii="Times New Roman;serif" w:hAnsi="Times New Roman;serif"/>
                  <w:b w:val="false"/>
                  <w:strike w:val="false"/>
                  <w:dstrike w:val="false"/>
                  <w:color w:val="3051F2"/>
                  <w:sz w:val="20"/>
                  <w:u w:val="none"/>
                  <w:effect w:val="none"/>
                </w:rPr>
                <w:t>48</w:t>
              </w:r>
            </w:hyperlink>
          </w:p>
        </w:tc>
      </w:tr>
      <w:tr>
        <w:trPr/>
        <w:tc>
          <w:tcPr>
            <w:tcW w:w="9829"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2e7bb88dd6a40438a4c4d2d3f59bbb1_163">
              <w:r>
                <w:rPr>
                  <w:rStyle w:val="InternetLink"/>
                  <w:rFonts w:ascii="Times New Roman;serif" w:hAnsi="Times New Roman;serif"/>
                  <w:b w:val="false"/>
                  <w:color w:val="0000FF"/>
                  <w:sz w:val="20"/>
                  <w:u w:val="single"/>
                </w:rPr>
                <w:t>Signatures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2e7bb88dd6a40438a4c4d2d3f59bbb1_163">
              <w:r>
                <w:rPr>
                  <w:rStyle w:val="InternetLink"/>
                  <w:rFonts w:ascii="Times New Roman;serif" w:hAnsi="Times New Roman;serif"/>
                  <w:b w:val="false"/>
                  <w:strike w:val="false"/>
                  <w:dstrike w:val="false"/>
                  <w:color w:val="3051F2"/>
                  <w:sz w:val="20"/>
                  <w:u w:val="none"/>
                  <w:effect w:val="none"/>
                </w:rPr>
                <w:t>49</w:t>
              </w:r>
            </w:hyperlink>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corporation formed by ACM Research in the People’s Republic of Chin</w:t>
      </w:r>
      <w:r>
        <w:rPr>
          <w:rFonts w:ascii="Times New Roman;serif" w:hAnsi="Times New Roman;serif"/>
          <w:b w:val="false"/>
          <w:color w:val="000000"/>
          <w:sz w:val="20"/>
        </w:rPr>
        <w:t>a, or mainland Chi</w:t>
      </w:r>
      <w:r>
        <w:rPr>
          <w:rFonts w:ascii="Times New Roman;serif" w:hAnsi="Times New Roman;serif"/>
          <w:b w:val="false"/>
          <w:color w:val="000000"/>
          <w:sz w:val="20"/>
          <w:shd w:fill="FFFFFF" w:val="clear"/>
        </w:rPr>
        <w:t>na, in 2005.</w:t>
      </w:r>
      <w:r>
        <w:rPr>
          <w:color w:val="000000"/>
        </w:rPr>
        <w:t xml:space="preserve"> </w:t>
      </w:r>
      <w:r>
        <w:rPr>
          <w:rFonts w:ascii="Times New Roman;serif" w:hAnsi="Times New Roman;serif"/>
          <w:b w:val="false"/>
          <w:color w:val="000000"/>
          <w:sz w:val="20"/>
        </w:rPr>
        <w:t>The shares of ACM Shanghai currently trade under the symbol SSEC: 688082.SS on the Shanghai SciTech</w:t>
      </w:r>
      <w:r>
        <w:rPr>
          <w:color w:val="000000"/>
          <w:shd w:fill="FFFFFF" w:val="clear"/>
        </w:rPr>
        <w:t xml:space="preserve"> </w:t>
      </w:r>
      <w:r>
        <w:rPr>
          <w:rFonts w:ascii="Times New Roman;serif" w:hAnsi="Times New Roman;serif"/>
          <w:b w:val="false"/>
          <w:color w:val="000000"/>
          <w:sz w:val="20"/>
          <w:shd w:fill="FFFFFF" w:val="clear"/>
        </w:rPr>
        <w:t>innovAtion boaRd, known as the STAR Market</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Unless the context requires otherwise, references in this report to “our company,” “our,” “us,” “we” and similar terms refer to ACM Research, Inc. and its subsidiaries, including ACM Shanghai, collectively.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We conduct a substantial majority of our product development, manufacturing, support and services in mainland China through ACM Shanghai.</w:t>
      </w:r>
      <w:r>
        <w:rPr>
          <w:color w:val="000000"/>
        </w:rPr>
        <w:t xml:space="preserve"> </w:t>
      </w:r>
      <w:r>
        <w:rPr>
          <w:rFonts w:ascii="Times New Roman;serif" w:hAnsi="Times New Roman;serif"/>
          <w:b w:val="false"/>
          <w:color w:val="000000"/>
          <w:sz w:val="20"/>
          <w:shd w:fill="FFFFFF" w:val="clear"/>
        </w:rPr>
        <w:t>We are not a mainland China operating company, and we do not conduct our operations in mainland China through the use of a variable interest entity or any other structure designed for the purpose of avoiding mainland China legal restrictions on direct foreign investments in mainland China-based companies.</w:t>
      </w:r>
      <w:r>
        <w:rPr>
          <w:color w:val="000000"/>
        </w:rPr>
        <w:t xml:space="preserve"> </w:t>
      </w:r>
      <w:r>
        <w:rPr>
          <w:rFonts w:ascii="Times New Roman;serif" w:hAnsi="Times New Roman;serif"/>
          <w:b w:val="false"/>
          <w:color w:val="000000"/>
          <w:sz w:val="20"/>
          <w:shd w:fill="FFFFFF" w:val="clear"/>
        </w:rPr>
        <w:t>For a description of certain matters relating to our operations in mainland China, including our corporate structure, the movement of cash throughout our organization, certain audit and regulatory matters, and risks associated therewith, please see “Item 2—Management’s Discussion and Analysis of Financial Condition and Results of Operations” in this report, the disclosure at the forefront of our Annual Report on Form 10-K for the fiscal year end</w:t>
      </w:r>
      <w:r>
        <w:rPr>
          <w:rFonts w:ascii="Times New Roman;serif" w:hAnsi="Times New Roman;serif"/>
          <w:b w:val="false"/>
          <w:color w:val="000000"/>
          <w:sz w:val="20"/>
        </w:rPr>
        <w:t>ed December 31, 2025</w:t>
      </w:r>
      <w:r>
        <w:rPr>
          <w:rFonts w:ascii="Times New Roman;serif" w:hAnsi="Times New Roman;serif"/>
          <w:b w:val="false"/>
          <w:color w:val="000000"/>
          <w:sz w:val="20"/>
          <w:shd w:fill="FFFFFF" w:val="clear"/>
        </w:rPr>
        <w:t>, and the Risk Factors included t</w:t>
      </w:r>
      <w:r>
        <w:rPr>
          <w:rFonts w:ascii="Times New Roman;serif" w:hAnsi="Times New Roman;serif"/>
          <w:b w:val="false"/>
          <w:color w:val="000000"/>
          <w:sz w:val="20"/>
        </w:rPr>
        <w:t xml:space="preserve">herein, as referenced or updated by the disclosure included in “Part II. Item 1A—Risk Factors” in this report. </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SAPS, TEBO, ULTRA C, ULTRA Fn, Ultra ECP, Ultra ECP map, and Ultra ECP ap are trademarks of ACM Research. For convenience, these trademarks appear in this report without ™ symbols, but that practice does not mean that ACM Research will not assert, to the fullest extent under applicable law, ACM Research’s rights to the trademarks. This report also contains other companies’ trademarks, registered marks and trade names, which are the property of those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00" w:after="200"/>
        <w:jc w:val="both"/>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FORWARD-LOOKING STATEMENTS AND STATISTICAL DATA</w:t>
      </w:r>
    </w:p>
    <w:p>
      <w:pPr>
        <w:pStyle w:val="TextBody"/>
        <w:bidi w:val="0"/>
        <w:spacing w:lineRule="auto" w:line="288" w:before="240" w:after="283"/>
        <w:jc w:val="both"/>
        <w:rPr/>
      </w:pPr>
      <w:r>
        <w:rPr>
          <w:rFonts w:ascii="Times New Roman;serif" w:hAnsi="Times New Roman;serif"/>
          <w:b w:val="false"/>
          <w:color w:val="000000"/>
          <w:sz w:val="20"/>
          <w:shd w:fill="FFFFFF" w:val="clear"/>
        </w:rPr>
        <w:t>This report contains forward-looking statements within the meaning of the Private Securities Litigation Reform Act of 1995. All statements, other than statements of historical facts</w:t>
      </w:r>
      <w:r>
        <w:rPr>
          <w:rFonts w:ascii="Times New Roman;serif" w:hAnsi="Times New Roman;serif"/>
          <w:b w:val="false"/>
          <w:color w:val="000000"/>
          <w:sz w:val="20"/>
        </w:rPr>
        <w:t xml:space="preserve">,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w:t>
      </w:r>
      <w:r>
        <w:rPr>
          <w:rFonts w:ascii="Times New Roman;serif" w:hAnsi="Times New Roman;serif"/>
          <w:b w:val="false"/>
          <w:color w:val="000000"/>
          <w:sz w:val="20"/>
          <w:shd w:fill="FFFFFF" w:val="clear"/>
        </w:rPr>
        <w:t xml:space="preserve">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w:t>
      </w:r>
      <w:r>
        <w:rPr>
          <w:rFonts w:ascii="Times New Roman;serif" w:hAnsi="Times New Roman;serif"/>
          <w:b w:val="false"/>
          <w:color w:val="008080"/>
          <w:sz w:val="20"/>
        </w:rPr>
        <w:t>I</w:t>
      </w:r>
      <w:r>
        <w:rPr>
          <w:color w:val="000000"/>
          <w:shd w:fill="FFFFFF" w:val="clear"/>
        </w:rPr>
        <w:t xml:space="preserve"> </w:t>
      </w:r>
      <w:r>
        <w:rPr>
          <w:rFonts w:ascii="Times New Roman;serif" w:hAnsi="Times New Roman;serif"/>
          <w:b w:val="false"/>
          <w:color w:val="000000"/>
          <w:sz w:val="20"/>
          <w:shd w:fill="FFFFFF" w:val="clear"/>
        </w:rPr>
        <w:t>of this report, that may cause our actual results, performance or achievements to be materially different from any future results, performance or achievements expressed or implied by these forward-looking statements.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included under the heading “Item 2. Management's Discussion and Analysis of Financial Condition and Results of Operations” of Part I of this report contains statistical data and estimates, including forecasts, that are based on information provided by Frost &amp; Sullivan (as defined below) in "Global and China Semiconductor Equipment Market Research, June 2026."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Frost &amp; Sullivan is a trademark of Frost &amp; Sullivan, Inc. and its affiliates (“Frost &amp; Sullivan”).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Frost &amp; Sullivan content described herein (the "Frost &amp; Sullivan Content"), represents research opinions or viewpoints published, as part of a syndicated subscription service, by Frost &amp; Sullivan, and are not representations of fact. Frost &amp; Sullivan speaks as of its original publication date (not as of the date of this report) and the opinions expressed in the Frost &amp; Sullivan Content are subject to change without notice.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While we are not aware of any misstatements in the Frost &amp; Sullivan Content, estimates, and in particular forecasts, involve numerous assumptions and are subject to risks and uncertainties, as well as change based on various factors, that could cause results to differ materially from those expressed in the data presented below.</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00"/>
        <w:jc w:val="both"/>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Balance Sheets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per share data)</w:t>
      </w:r>
    </w:p>
    <w:p>
      <w:pPr>
        <w:pStyle w:val="TextBody"/>
        <w:bidi w:val="0"/>
        <w:spacing w:before="0" w:after="0"/>
        <w:jc w:val="center"/>
        <w:rPr/>
      </w:pPr>
      <w:r>
        <w:rPr/>
      </w:r>
    </w:p>
    <w:tbl>
      <w:tblPr>
        <w:tblW w:w="7193" w:type="dxa"/>
        <w:jc w:val="left"/>
        <w:tblInd w:w="0" w:type="dxa"/>
        <w:tblLayout w:type="fixed"/>
        <w:tblCellMar>
          <w:top w:w="28" w:type="dxa"/>
          <w:left w:w="28" w:type="dxa"/>
          <w:bottom w:w="28" w:type="dxa"/>
          <w:right w:w="28" w:type="dxa"/>
        </w:tblCellMar>
      </w:tblPr>
      <w:tblGrid>
        <w:gridCol w:w="1527"/>
        <w:gridCol w:w="1345"/>
        <w:gridCol w:w="1357"/>
        <w:gridCol w:w="211"/>
        <w:gridCol w:w="976"/>
        <w:gridCol w:w="109"/>
        <w:gridCol w:w="109"/>
        <w:gridCol w:w="109"/>
        <w:gridCol w:w="109"/>
        <w:gridCol w:w="211"/>
        <w:gridCol w:w="976"/>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242424"/>
                <w:sz w:val="20"/>
              </w:rPr>
            </w:pPr>
            <w:r>
              <w:rPr>
                <w:rFonts w:ascii="Times New Roman;serif" w:hAnsi="Times New Roman;serif"/>
                <w:b w:val="false"/>
                <w:color w:val="242424"/>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242424"/>
                <w:sz w:val="20"/>
              </w:rPr>
            </w:pPr>
            <w:r>
              <w:rPr>
                <w:rFonts w:ascii="Times New Roman;serif" w:hAnsi="Times New Roman;serif"/>
                <w:b w:val="false"/>
                <w:color w:val="242424"/>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Current assets: </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Cash and cash equivalents (note 2)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Restricted cash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Short-term time deposits (note 2)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Short-term investments (note 11)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Account receivables, net (note 4)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 receivables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Inventories, net (note 5)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Advances to related parties (note 12)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Prepaid expenses and other current assets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current assets </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2,436,680 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Property, plant and equipment, net (note 6) </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314,830 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Operating lease right-of-use assets,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Intangible assets, net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Deferred tax assets (note 15)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Long-term investments (note 10)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 long-term assets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3,399,238 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2,872,185 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Liabilities and Equity </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Current liabilities: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Short-term borrowings (note 7)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Current portion of long-term borrowings (note 9)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Related parties accounts payable (note 12)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Accounts payable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Advances from customers (note 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revenue (note 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Income taxes payable (note 15)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FIN-48 payable (note 15)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 payables and accrued expenses (note 8)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Current portion of operating lease liabilities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current liabilities </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786,264 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745,712 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Long-term borrowings (note 9) </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Long-term operating lease liabilities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 long-term liabilities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941,676 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Commitments and contingencies (note 16) </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Equity: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Stockholders’ equity: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Class A Common stock (note 13)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Class B Common stock (note 13)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Additional paid-in capital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Retained earnings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Statutory surplus reserve (note 18)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color w:val="000000"/>
                <w:sz w:val="20"/>
              </w:rPr>
              <w:t>Total ACM Research, Inc. stockholders’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1,860,154 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1,464,363 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Non-controlling interests </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466,146 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Total equity </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2,405,123 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1,930,509 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Total liabilities and equity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3,399,238 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2,872,185 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both"/>
        <w:rPr/>
      </w:pPr>
      <w:r>
        <w:rPr/>
      </w:r>
    </w:p>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00" w:after="200"/>
        <w:jc w:val="both"/>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Condensed Consolidated Statements of Comprehensive Income </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and per share data)</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0205" w:type="dxa"/>
        <w:jc w:val="center"/>
        <w:tblInd w:w="0" w:type="dxa"/>
        <w:tblLayout w:type="fixed"/>
        <w:tblCellMar>
          <w:top w:w="28" w:type="dxa"/>
          <w:left w:w="28" w:type="dxa"/>
          <w:bottom w:w="28" w:type="dxa"/>
          <w:right w:w="28" w:type="dxa"/>
        </w:tblCellMar>
      </w:tblPr>
      <w:tblGrid>
        <w:gridCol w:w="3064"/>
        <w:gridCol w:w="710"/>
        <w:gridCol w:w="644"/>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5"/>
      </w:tblGrid>
      <w:tr>
        <w:trPr/>
        <w:tc>
          <w:tcPr>
            <w:tcW w:w="306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(note 3)</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292,919 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524,182 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387,719 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 of revenue, including cost of revenue from related parties of $19,569</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$32,052 </w:t>
            </w:r>
            <w:r>
              <w:rPr>
                <w:rFonts w:ascii="Times New Roman;serif" w:hAnsi="Times New Roman;serif"/>
                <w:b w:val="false"/>
                <w:color w:val="000000"/>
                <w:sz w:val="20"/>
                <w:shd w:fill="FFFFFF" w:val="clear"/>
              </w:rPr>
              <w:t>for the three and six months ended June 30, 2026, respectively an</w:t>
            </w:r>
            <w:r>
              <w:rPr>
                <w:rFonts w:ascii="Times New Roman;serif" w:hAnsi="Times New Roman;serif"/>
                <w:b w:val="false"/>
                <w:color w:val="000000"/>
                <w:sz w:val="20"/>
              </w:rPr>
              <w:t>d $16,518 and $25,917 for the three and six months ended June 30, 2025 respectively.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200,708 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Gross profit</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241,856 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187,011 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61,320 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155,936 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129,540 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57,471 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7,352 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short-term investments (note 11)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short-term investments (note 11)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65,327 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(note 15)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(4,044)</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61,283 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attributable to ACM Research, Inc.</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50,140 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 of nil</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5,655 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Unrealized gain on available-for-sale investments,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66,938 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Comprehensive income attributable to ACM Research, Inc.</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149,454 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54,731 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ACM Research, Inc. per share of common stock (note 2):</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used in computing per share amounts (note 2):</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Basic</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67,890,917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63,968,763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66,853,350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63,620,235</w:t>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71,838,908 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67,464,856 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70,678,872 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67,138,338 </w:t>
            </w:r>
          </w:p>
        </w:tc>
        <w:tc>
          <w:tcPr>
            <w:tcW w:w="1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240" w:after="283"/>
        <w:jc w:val="center"/>
        <w:rPr/>
      </w:pPr>
      <w:r>
        <w:rPr>
          <w:rFonts w:ascii="Times New Roman;serif" w:hAnsi="Times New Roman;serif"/>
          <w:b w:val="false"/>
          <w:i/>
          <w:color w:val="000000"/>
          <w:sz w:val="20"/>
        </w:rPr>
        <w:t>The accompanying notes are an integral</w:t>
      </w:r>
      <w:r>
        <w:rPr>
          <w:color w:val="000000"/>
          <w:shd w:fill="FFFFFF" w:val="clear"/>
        </w:rPr>
        <w:t xml:space="preserve"> </w:t>
      </w:r>
      <w:r>
        <w:rPr>
          <w:rFonts w:ascii="Times New Roman;serif" w:hAnsi="Times New Roman;serif"/>
          <w:b w:val="false"/>
          <w:i/>
          <w:color w:val="000000"/>
          <w:sz w:val="20"/>
          <w:shd w:fill="FFFFFF" w:val="clear"/>
        </w:rPr>
        <w:t>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00" w:after="200"/>
        <w:jc w:val="both"/>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rPr/>
      </w:pPr>
      <w:r>
        <w:rPr/>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Changes in Equity</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Three Months Ended June 30, 2026 and 2025</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and per share data)</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4535" w:type="dxa"/>
        <w:jc w:val="center"/>
        <w:tblInd w:w="0" w:type="dxa"/>
        <w:tblLayout w:type="fixed"/>
        <w:tblCellMar>
          <w:top w:w="28" w:type="dxa"/>
          <w:left w:w="28" w:type="dxa"/>
          <w:bottom w:w="28" w:type="dxa"/>
          <w:right w:w="28" w:type="dxa"/>
        </w:tblCellMar>
      </w:tblPr>
      <w:tblGrid>
        <w:gridCol w:w="815"/>
        <w:gridCol w:w="271"/>
        <w:gridCol w:w="250"/>
        <w:gridCol w:w="435"/>
        <w:gridCol w:w="436"/>
        <w:gridCol w:w="308"/>
        <w:gridCol w:w="109"/>
        <w:gridCol w:w="109"/>
        <w:gridCol w:w="109"/>
        <w:gridCol w:w="262"/>
        <w:gridCol w:w="342"/>
        <w:gridCol w:w="147"/>
        <w:gridCol w:w="109"/>
        <w:gridCol w:w="109"/>
        <w:gridCol w:w="109"/>
        <w:gridCol w:w="274"/>
        <w:gridCol w:w="274"/>
        <w:gridCol w:w="278"/>
        <w:gridCol w:w="109"/>
        <w:gridCol w:w="109"/>
        <w:gridCol w:w="109"/>
        <w:gridCol w:w="262"/>
        <w:gridCol w:w="342"/>
        <w:gridCol w:w="147"/>
        <w:gridCol w:w="109"/>
        <w:gridCol w:w="109"/>
        <w:gridCol w:w="109"/>
        <w:gridCol w:w="196"/>
        <w:gridCol w:w="886"/>
        <w:gridCol w:w="109"/>
        <w:gridCol w:w="109"/>
        <w:gridCol w:w="109"/>
        <w:gridCol w:w="109"/>
        <w:gridCol w:w="196"/>
        <w:gridCol w:w="751"/>
        <w:gridCol w:w="109"/>
        <w:gridCol w:w="109"/>
        <w:gridCol w:w="109"/>
        <w:gridCol w:w="109"/>
        <w:gridCol w:w="196"/>
        <w:gridCol w:w="661"/>
        <w:gridCol w:w="109"/>
        <w:gridCol w:w="109"/>
        <w:gridCol w:w="109"/>
        <w:gridCol w:w="109"/>
        <w:gridCol w:w="264"/>
        <w:gridCol w:w="893"/>
        <w:gridCol w:w="149"/>
        <w:gridCol w:w="109"/>
        <w:gridCol w:w="109"/>
        <w:gridCol w:w="109"/>
        <w:gridCol w:w="245"/>
        <w:gridCol w:w="939"/>
        <w:gridCol w:w="137"/>
        <w:gridCol w:w="196"/>
        <w:gridCol w:w="886"/>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Statutory </w:t>
              <w:br/>
              <w:t>Surplus</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Interests</w:t>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 xml:space="preserve">Balance at March 31, 2026 </w:t>
            </w:r>
          </w:p>
        </w:tc>
        <w:tc>
          <w:tcPr>
            <w:tcW w:w="11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61,223,064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4,991,808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1,194,786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367,735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34,164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(15,182)</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501,962</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2,083,472</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Net income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33,266 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available-for-sale investments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ACM Research shares, net of issuance costs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2,884,615 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Foreign currency translation adjustment </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22,112 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Exercise of stock options </w:t>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12,053 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Stock-based compensation </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ACM Shanghai dividend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 xml:space="preserve">Balance at June 30, 2026 </w:t>
            </w:r>
          </w:p>
        </w:tc>
        <w:tc>
          <w:tcPr>
            <w:tcW w:w="117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64,651,365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4,991,808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1,361,841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456,719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34,164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7,423</w:t>
            </w:r>
            <w:r>
              <w:rPr>
                <w:color w:val="000000"/>
              </w:rPr>
              <w:t>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544,969</w:t>
            </w:r>
            <w:r>
              <w:rPr>
                <w:color w:val="000000"/>
              </w:rPr>
              <w:t>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2,405,123</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4660" w:type="dxa"/>
        <w:jc w:val="left"/>
        <w:tblInd w:w="0" w:type="dxa"/>
        <w:tblLayout w:type="fixed"/>
        <w:tblCellMar>
          <w:top w:w="28" w:type="dxa"/>
          <w:left w:w="28" w:type="dxa"/>
          <w:bottom w:w="28" w:type="dxa"/>
          <w:right w:w="28" w:type="dxa"/>
        </w:tblCellMar>
      </w:tblPr>
      <w:tblGrid>
        <w:gridCol w:w="756"/>
        <w:gridCol w:w="229"/>
        <w:gridCol w:w="231"/>
        <w:gridCol w:w="368"/>
        <w:gridCol w:w="368"/>
        <w:gridCol w:w="308"/>
        <w:gridCol w:w="109"/>
        <w:gridCol w:w="109"/>
        <w:gridCol w:w="109"/>
        <w:gridCol w:w="262"/>
        <w:gridCol w:w="342"/>
        <w:gridCol w:w="147"/>
        <w:gridCol w:w="109"/>
        <w:gridCol w:w="109"/>
        <w:gridCol w:w="109"/>
        <w:gridCol w:w="274"/>
        <w:gridCol w:w="274"/>
        <w:gridCol w:w="278"/>
        <w:gridCol w:w="109"/>
        <w:gridCol w:w="109"/>
        <w:gridCol w:w="109"/>
        <w:gridCol w:w="262"/>
        <w:gridCol w:w="342"/>
        <w:gridCol w:w="147"/>
        <w:gridCol w:w="109"/>
        <w:gridCol w:w="109"/>
        <w:gridCol w:w="109"/>
        <w:gridCol w:w="196"/>
        <w:gridCol w:w="751"/>
        <w:gridCol w:w="109"/>
        <w:gridCol w:w="109"/>
        <w:gridCol w:w="109"/>
        <w:gridCol w:w="109"/>
        <w:gridCol w:w="196"/>
        <w:gridCol w:w="751"/>
        <w:gridCol w:w="109"/>
        <w:gridCol w:w="203"/>
        <w:gridCol w:w="203"/>
        <w:gridCol w:w="109"/>
        <w:gridCol w:w="196"/>
        <w:gridCol w:w="661"/>
        <w:gridCol w:w="109"/>
        <w:gridCol w:w="109"/>
        <w:gridCol w:w="109"/>
        <w:gridCol w:w="109"/>
        <w:gridCol w:w="264"/>
        <w:gridCol w:w="893"/>
        <w:gridCol w:w="149"/>
        <w:gridCol w:w="109"/>
        <w:gridCol w:w="109"/>
        <w:gridCol w:w="109"/>
        <w:gridCol w:w="245"/>
        <w:gridCol w:w="939"/>
        <w:gridCol w:w="137"/>
        <w:gridCol w:w="196"/>
        <w:gridCol w:w="886"/>
        <w:gridCol w:w="109"/>
        <w:gridCol w:w="109"/>
        <w:gridCol w:w="109"/>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Retained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Earnings</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Statutory </w:t>
              <w:br/>
              <w:t>Surplus</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Non-controlling</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Interests</w:t>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1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58,832,925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700,191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280,380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30,514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(61,946)</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206,207</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1,155,353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Net income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Repurchase of shares held by ACM Shanghai </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Foreign currency translation adjustment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Exercise of stock options </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264,046 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Stock-based compensation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Capital contribution by non-controlling shareholder </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ACM Shanghai dividend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104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59,096,971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704,570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310,140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30,514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(58,781)</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205,239</w:t>
            </w:r>
            <w:r>
              <w:rPr>
                <w:color w:val="000000"/>
              </w:rPr>
              <w:t>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1,191,689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00" w:after="200"/>
        <w:jc w:val="both"/>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Changes in Equity</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Six Months Ended June 30, 2026 and 2025</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and per share data)</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2198" w:type="dxa"/>
        <w:jc w:val="center"/>
        <w:tblInd w:w="0" w:type="dxa"/>
        <w:tblLayout w:type="fixed"/>
        <w:tblCellMar>
          <w:top w:w="28" w:type="dxa"/>
          <w:left w:w="28" w:type="dxa"/>
          <w:bottom w:w="28" w:type="dxa"/>
          <w:right w:w="28" w:type="dxa"/>
        </w:tblCellMar>
      </w:tblPr>
      <w:tblGrid>
        <w:gridCol w:w="771"/>
        <w:gridCol w:w="282"/>
        <w:gridCol w:w="283"/>
        <w:gridCol w:w="488"/>
        <w:gridCol w:w="488"/>
        <w:gridCol w:w="211"/>
        <w:gridCol w:w="271"/>
        <w:gridCol w:w="354"/>
        <w:gridCol w:w="126"/>
        <w:gridCol w:w="443"/>
        <w:gridCol w:w="443"/>
        <w:gridCol w:w="211"/>
        <w:gridCol w:w="268"/>
        <w:gridCol w:w="350"/>
        <w:gridCol w:w="133"/>
        <w:gridCol w:w="196"/>
        <w:gridCol w:w="886"/>
        <w:gridCol w:w="109"/>
        <w:gridCol w:w="196"/>
        <w:gridCol w:w="751"/>
        <w:gridCol w:w="109"/>
        <w:gridCol w:w="196"/>
        <w:gridCol w:w="661"/>
        <w:gridCol w:w="109"/>
        <w:gridCol w:w="292"/>
        <w:gridCol w:w="851"/>
        <w:gridCol w:w="163"/>
        <w:gridCol w:w="245"/>
        <w:gridCol w:w="939"/>
        <w:gridCol w:w="137"/>
        <w:gridCol w:w="196"/>
        <w:gridCol w:w="88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A</w:t>
            </w:r>
          </w:p>
        </w:tc>
        <w:tc>
          <w:tcPr>
            <w:tcW w:w="18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B</w:t>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 Paid-</w:t>
              <w:br/>
              <w:t>in Capital</w:t>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Statutory </w:t>
              <w:br/>
              <w:t>Surplus</w:t>
              <w:br/>
              <w:t>Reserve</w:t>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 Income</w:t>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Interests</w:t>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Shares </w:t>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60,590,017</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5,021,811</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1,115,504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350,428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34,164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(35,740)</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466,146</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1,930,509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Net income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Unrealized gain on available-for-sale investments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ACM Research shares, net of issuance costs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2,884,615 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Foreign currency translation adjustment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Exercise of stock options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1,146,730 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12,053 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Stock-based compensation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Sale of ACM Shanghai shares, net of tax (note 1)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Conversion of Class B common stock to Class A common stock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ACM Shanghai dividend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118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64,651,365</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4,991,808</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1,361,841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456,719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34,164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7,423</w:t>
            </w:r>
            <w:r>
              <w:rPr>
                <w:color w:val="000000"/>
              </w:rPr>
              <w:t>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544,969</w:t>
            </w:r>
            <w:r>
              <w:rPr>
                <w:color w:val="000000"/>
              </w:rPr>
              <w:t>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2,405,123</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00" w:after="200"/>
        <w:jc w:val="both"/>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rPr/>
      </w:pPr>
      <w:r>
        <w:rPr/>
      </w:r>
    </w:p>
    <w:tbl>
      <w:tblPr>
        <w:tblW w:w="11943" w:type="dxa"/>
        <w:jc w:val="left"/>
        <w:tblInd w:w="0" w:type="dxa"/>
        <w:tblLayout w:type="fixed"/>
        <w:tblCellMar>
          <w:top w:w="28" w:type="dxa"/>
          <w:left w:w="28" w:type="dxa"/>
          <w:bottom w:w="28" w:type="dxa"/>
          <w:right w:w="28" w:type="dxa"/>
        </w:tblCellMar>
      </w:tblPr>
      <w:tblGrid>
        <w:gridCol w:w="651"/>
        <w:gridCol w:w="282"/>
        <w:gridCol w:w="283"/>
        <w:gridCol w:w="488"/>
        <w:gridCol w:w="488"/>
        <w:gridCol w:w="211"/>
        <w:gridCol w:w="271"/>
        <w:gridCol w:w="354"/>
        <w:gridCol w:w="126"/>
        <w:gridCol w:w="443"/>
        <w:gridCol w:w="443"/>
        <w:gridCol w:w="211"/>
        <w:gridCol w:w="268"/>
        <w:gridCol w:w="350"/>
        <w:gridCol w:w="133"/>
        <w:gridCol w:w="196"/>
        <w:gridCol w:w="751"/>
        <w:gridCol w:w="109"/>
        <w:gridCol w:w="196"/>
        <w:gridCol w:w="751"/>
        <w:gridCol w:w="109"/>
        <w:gridCol w:w="196"/>
        <w:gridCol w:w="661"/>
        <w:gridCol w:w="109"/>
        <w:gridCol w:w="264"/>
        <w:gridCol w:w="893"/>
        <w:gridCol w:w="149"/>
        <w:gridCol w:w="245"/>
        <w:gridCol w:w="939"/>
        <w:gridCol w:w="137"/>
        <w:gridCol w:w="196"/>
        <w:gridCol w:w="88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A</w:t>
            </w:r>
          </w:p>
        </w:tc>
        <w:tc>
          <w:tcPr>
            <w:tcW w:w="18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B</w:t>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 Paid-</w:t>
              <w:br/>
              <w:t>in Capital</w:t>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Retained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Earnings</w:t>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Statutory </w:t>
              <w:br/>
              <w:t>Surplus</w:t>
              <w:br/>
              <w:t>Reserve</w:t>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Non-controlling</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Interests</w:t>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 xml:space="preserve">Balance at December 31, 2024 </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57,938,885</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5,021,811</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677,476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260,000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30,514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(63,372)</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191,281</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1,095,906</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Net income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11,143 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Repurchase of shares held by ACM Shanghai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Foreign currency translation adjustment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Exercise of stock options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1,158,086 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Stock-based compensation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Capital contribution by non-controlling shareholder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ACM Shanghai dividend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 xml:space="preserve">Balance at June 30, 2025 </w:t>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59,096,971</w:t>
            </w:r>
            <w:r>
              <w:rPr>
                <w:color w:val="000000"/>
              </w:rPr>
              <w:t>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5,021,811</w:t>
            </w:r>
            <w:r>
              <w:rPr>
                <w:color w:val="000000"/>
              </w:rPr>
              <w:t>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704,570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310,140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30,514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(58,781)</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205,239</w:t>
            </w:r>
            <w:r>
              <w:rPr>
                <w:color w:val="000000"/>
              </w:rPr>
              <w:t>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1,191,689</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color w:val="000000"/>
        </w:rPr>
      </w:pPr>
      <w:r>
        <w:rPr>
          <w:color w:val="000000"/>
        </w:rPr>
        <w:t>    </w:t>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00" w:after="200"/>
        <w:jc w:val="both"/>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pPr>
      <w:r>
        <w:rPr>
          <w:rFonts w:ascii="Times New Roman;serif" w:hAnsi="Times New Roman;serif"/>
          <w:b/>
          <w:color w:val="000000"/>
          <w:sz w:val="20"/>
          <w:shd w:fill="FFFFFF" w:val="clear"/>
        </w:rPr>
        <w:t>Condensed Consolid</w:t>
      </w:r>
      <w:r>
        <w:rPr>
          <w:rFonts w:ascii="Times New Roman;serif" w:hAnsi="Times New Roman;serif"/>
          <w:b/>
          <w:color w:val="000000"/>
          <w:sz w:val="20"/>
        </w:rPr>
        <w:t>ated Statements of Cash Flow</w:t>
      </w:r>
      <w:r>
        <w:rPr>
          <w:rFonts w:ascii="Times New Roman;serif" w:hAnsi="Times New Roman;serif"/>
          <w:b/>
          <w:color w:val="000000"/>
          <w:sz w:val="20"/>
          <w:shd w:fill="FFFFFF" w:val="clear"/>
        </w:rPr>
        <w: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0205" w:type="dxa"/>
        <w:jc w:val="center"/>
        <w:tblInd w:w="0" w:type="dxa"/>
        <w:tblLayout w:type="fixed"/>
        <w:tblCellMar>
          <w:top w:w="28" w:type="dxa"/>
          <w:left w:w="28" w:type="dxa"/>
          <w:bottom w:w="28" w:type="dxa"/>
          <w:right w:w="28" w:type="dxa"/>
        </w:tblCellMar>
      </w:tblPr>
      <w:tblGrid>
        <w:gridCol w:w="2559"/>
        <w:gridCol w:w="2141"/>
        <w:gridCol w:w="2155"/>
        <w:gridCol w:w="211"/>
        <w:gridCol w:w="841"/>
        <w:gridCol w:w="109"/>
        <w:gridCol w:w="109"/>
        <w:gridCol w:w="109"/>
        <w:gridCol w:w="109"/>
        <w:gridCol w:w="211"/>
        <w:gridCol w:w="841"/>
        <w:gridCol w:w="109"/>
        <w:gridCol w:w="109"/>
        <w:gridCol w:w="109"/>
        <w:gridCol w:w="109"/>
        <w:gridCol w:w="109"/>
        <w:gridCol w:w="109"/>
        <w:gridCol w:w="156"/>
      </w:tblGrid>
      <w:tr>
        <w:trPr/>
        <w:tc>
          <w:tcPr>
            <w:tcW w:w="255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Cash flows from operating activities: </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Adjustments to reconcile net income to net cash used in operating activities: </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Non-cash operating lease cost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from equity method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Unrealized gain on short-term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Inventory provision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Provision for credit losses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Stock-based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Dividends from unconsolidated affiliates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Net changes in operating assets and 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Accounts receivable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receivables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Inventories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Advances to related parties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long-term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Related parties accounts payable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Accounts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Advances from customers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taxes payable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FIN-48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payables and accrued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long-term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Net cash used in operating activities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Cash flows from investing activities: </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Purchases of property and equipment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Purchase of intangible assets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Purchase of time deposits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Proceeds from redemption and maturity of time deposits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Proceeds from sale of short-term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Purchase of long-term investments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Net cash used in investing activities </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Cash flows from financing activities: </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Proceeds from short-term borrowings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Repayments of short-term borrowings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Proceeds from long-term borrowings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Repayments of long-term borrowings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Capital contribution by non-controlling shareholder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Proceeds from exercise of stock options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Gross proceeds from sales of ACM Shanghai shares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Repurchase of ACM Shanghai shares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Proceeds from issuance of ACM Research shares, net of issuance costs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Effect of exchange rate changes on cash, cash equivalents and restricted cash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Net increase in cash, cash equivalents and restricted cash </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990,587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452,886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Interest paid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Cash paid for income taxes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Reconciliation of cash, cash equivalents and restricted cash in consolidated statements of cash flows: </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Restricted cash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Cash, cash equivalents and restricted cash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990,587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452,886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Non-cash investing activities: </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Transfer of prepayment for property to property, plant, and equipment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Transfer from other non-current assets to long term investment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Transfer from inventories to property, plant and equipment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Purchases of property, plant and equipment through other payables and accrued expenses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Non-cash financing activities: </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Cashless exercise of stock options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offering costs included in prepaid expenses and 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TextBody"/>
        <w:bidi w:val="0"/>
        <w:spacing w:lineRule="auto" w:line="288" w:before="12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00" w:after="200"/>
        <w:jc w:val="both"/>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percentage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 DESCRIPTION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ACM Research, Inc. (“ACM” or “ACM Research”) and its subsidiaries (collectively with ACM, the “Company”) develop, manufacture and sell capital equipment to the global semiconductor industry.</w:t>
      </w:r>
    </w:p>
    <w:p>
      <w:pPr>
        <w:pStyle w:val="TextBody"/>
        <w:bidi w:val="0"/>
        <w:spacing w:lineRule="auto" w:line="288" w:before="240" w:after="283"/>
        <w:jc w:val="both"/>
        <w:rPr/>
      </w:pPr>
      <w:r>
        <w:rPr>
          <w:rFonts w:ascii="Times New Roman;serif" w:hAnsi="Times New Roman;serif"/>
          <w:b w:val="false"/>
          <w:color w:val="000000"/>
          <w:sz w:val="20"/>
        </w:rPr>
        <w:t>The Company has direct or i</w:t>
      </w:r>
      <w:r>
        <w:rPr>
          <w:rFonts w:ascii="Times New Roman;serif" w:hAnsi="Times New Roman;serif"/>
          <w:b w:val="false"/>
          <w:color w:val="000000"/>
          <w:sz w:val="20"/>
          <w:shd w:fill="FFFFFF" w:val="clear"/>
        </w:rPr>
        <w:t>ndirect interests in the follow</w:t>
      </w:r>
      <w:r>
        <w:rPr>
          <w:rFonts w:ascii="Times New Roman;serif" w:hAnsi="Times New Roman;serif"/>
          <w:b w:val="false"/>
          <w:color w:val="000000"/>
          <w:sz w:val="20"/>
        </w:rPr>
        <w:t>ing subsidiaries:</w:t>
      </w:r>
    </w:p>
    <w:tbl>
      <w:tblPr>
        <w:tblW w:w="10205" w:type="dxa"/>
        <w:jc w:val="left"/>
        <w:tblInd w:w="0" w:type="dxa"/>
        <w:tblLayout w:type="fixed"/>
        <w:tblCellMar>
          <w:top w:w="28" w:type="dxa"/>
          <w:left w:w="28" w:type="dxa"/>
          <w:bottom w:w="28" w:type="dxa"/>
          <w:right w:w="28" w:type="dxa"/>
        </w:tblCellMar>
      </w:tblPr>
      <w:tblGrid>
        <w:gridCol w:w="1148"/>
        <w:gridCol w:w="820"/>
        <w:gridCol w:w="822"/>
        <w:gridCol w:w="812"/>
        <w:gridCol w:w="812"/>
        <w:gridCol w:w="813"/>
        <w:gridCol w:w="1083"/>
        <w:gridCol w:w="823"/>
        <w:gridCol w:w="826"/>
        <w:gridCol w:w="309"/>
        <w:gridCol w:w="307"/>
        <w:gridCol w:w="411"/>
        <w:gridCol w:w="308"/>
        <w:gridCol w:w="308"/>
        <w:gridCol w:w="603"/>
      </w:tblGrid>
      <w:tr>
        <w:trPr/>
        <w:tc>
          <w:tcPr>
            <w:tcW w:w="114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Effective interest held as at</w:t>
            </w:r>
          </w:p>
        </w:tc>
      </w:tr>
      <w:tr>
        <w:trPr/>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Subsidiaries</w:t>
            </w:r>
          </w:p>
        </w:tc>
        <w:tc>
          <w:tcPr>
            <w:tcW w:w="24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Place and date of incorporation</w:t>
            </w:r>
          </w:p>
        </w:tc>
        <w:tc>
          <w:tcPr>
            <w:tcW w:w="273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Principal Activities </w:t>
            </w:r>
          </w:p>
        </w:tc>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7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(Shanghai), Inc. ("ACM Shanghai") </w:t>
            </w:r>
          </w:p>
        </w:tc>
        <w:tc>
          <w:tcPr>
            <w:tcW w:w="24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May 2005 </w:t>
            </w:r>
          </w:p>
        </w:tc>
        <w:tc>
          <w:tcPr>
            <w:tcW w:w="27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Principal operating subsidiary </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6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(Wuxi), Inc. ("ACM Wuxi") </w:t>
            </w:r>
          </w:p>
        </w:tc>
        <w:tc>
          <w:tcPr>
            <w:tcW w:w="2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July 2011 </w:t>
            </w:r>
          </w:p>
        </w:tc>
        <w:tc>
          <w:tcPr>
            <w:tcW w:w="2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and services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CleanChip Technologies Limited ("CleanChip") </w:t>
            </w:r>
          </w:p>
        </w:tc>
        <w:tc>
          <w:tcPr>
            <w:tcW w:w="2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Hong Kong, June 2017 </w:t>
            </w:r>
          </w:p>
        </w:tc>
        <w:tc>
          <w:tcPr>
            <w:tcW w:w="2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Trading partner between ACM Shanghai and its customers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6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Korea CO., LTD. ("ACM Korea") </w:t>
            </w:r>
          </w:p>
        </w:tc>
        <w:tc>
          <w:tcPr>
            <w:tcW w:w="2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Republic of Korea ("South Korea), December 2017 </w:t>
            </w:r>
          </w:p>
        </w:tc>
        <w:tc>
          <w:tcPr>
            <w:tcW w:w="2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marketing, R&amp;D, production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 Lingang), Inc. ("ACM Lingang") </w:t>
            </w:r>
          </w:p>
        </w:tc>
        <w:tc>
          <w:tcPr>
            <w:tcW w:w="2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March 2019 </w:t>
            </w:r>
          </w:p>
        </w:tc>
        <w:tc>
          <w:tcPr>
            <w:tcW w:w="2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Management of production activities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6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(CA), Inc. ("ACM California") </w:t>
            </w:r>
          </w:p>
        </w:tc>
        <w:tc>
          <w:tcPr>
            <w:tcW w:w="2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USA, April 2019 </w:t>
            </w:r>
          </w:p>
        </w:tc>
        <w:tc>
          <w:tcPr>
            <w:tcW w:w="2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Procurement for ACM Shanghai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(Cayman), Inc. </w:t>
            </w:r>
          </w:p>
        </w:tc>
        <w:tc>
          <w:tcPr>
            <w:tcW w:w="2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Cayman Islands, April 2019 </w:t>
            </w:r>
          </w:p>
        </w:tc>
        <w:tc>
          <w:tcPr>
            <w:tcW w:w="2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Administrative function (inactive)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(Singapore) PTE. Ltd. ("ACM Singapore") </w:t>
            </w:r>
          </w:p>
        </w:tc>
        <w:tc>
          <w:tcPr>
            <w:tcW w:w="2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Singapore, August 2021 </w:t>
            </w:r>
          </w:p>
        </w:tc>
        <w:tc>
          <w:tcPr>
            <w:tcW w:w="2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marketing, business development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(Beijing), Inc. ("ACM Beijing") </w:t>
            </w:r>
          </w:p>
        </w:tc>
        <w:tc>
          <w:tcPr>
            <w:tcW w:w="2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February 2022 </w:t>
            </w:r>
          </w:p>
        </w:tc>
        <w:tc>
          <w:tcPr>
            <w:tcW w:w="2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and services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6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Hanguk ACM CO., LTD </w:t>
            </w:r>
          </w:p>
        </w:tc>
        <w:tc>
          <w:tcPr>
            <w:tcW w:w="2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South Korea, March 2022 </w:t>
            </w:r>
          </w:p>
        </w:tc>
        <w:tc>
          <w:tcPr>
            <w:tcW w:w="2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services, business development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Yusheng Micro Semiconductor (Shanghai) Co., Ltd. </w:t>
            </w:r>
          </w:p>
        </w:tc>
        <w:tc>
          <w:tcPr>
            <w:tcW w:w="2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June 2023 </w:t>
            </w:r>
          </w:p>
        </w:tc>
        <w:tc>
          <w:tcPr>
            <w:tcW w:w="2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Component development and production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6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ACM-Wooil Microelectronics (Shanghai) Co., Ltd. </w:t>
            </w:r>
          </w:p>
        </w:tc>
        <w:tc>
          <w:tcPr>
            <w:tcW w:w="2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June 2023 </w:t>
            </w:r>
          </w:p>
        </w:tc>
        <w:tc>
          <w:tcPr>
            <w:tcW w:w="2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Component development and production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(Chengdu), Inc. ("ACM Chengdu") </w:t>
            </w:r>
          </w:p>
        </w:tc>
        <w:tc>
          <w:tcPr>
            <w:tcW w:w="2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December 2024 </w:t>
            </w:r>
          </w:p>
        </w:tc>
        <w:tc>
          <w:tcPr>
            <w:tcW w:w="2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and services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6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 Micro Semiconductor (Shanghai) Co., Ltd.</w:t>
            </w:r>
          </w:p>
        </w:tc>
        <w:tc>
          <w:tcPr>
            <w:tcW w:w="2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 December 2024</w:t>
            </w:r>
          </w:p>
        </w:tc>
        <w:tc>
          <w:tcPr>
            <w:tcW w:w="2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6, 2026, ACM completed the sale of approximately 4.8 million shares of ACM Shanghai at a price of RMB160.00 per share (approximately $23.05 per share based on the exchange rate in effect on the date of the sale), generating approximately $110.2 million in gross proceeds and approximately $86.0 million net of taxes. On May 12, 2026, ACM Shanghai's employees exercised 2,431,900 options for shares of ACM Shanghai. Following the transactions, ACM’s ownership percentage in ACM Shanghai decreased from 73.6% as of March 31, 2026 to 73.2% as of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2026. On May 15, 2026, ACM completed the sale of approximately 2.9 million of its shares to certain investors at a price of $52.00 per share, generating approximately $148.4 million of proceeds, net of issuance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Basis of Presentation and Principles of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include the accounts of ACM and its subsidiaries. ACM’s subsidiaries are those entities in which ACM, directly or indirectly, controls a majority of the voting power. All significant intercompany transactions and balances have been eliminated upon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of the Company have been prepared in accordance with U.S. generally accepted accounting principles (“GAAP”) for interim financial information and the rules and regulations of the Securities and Exchange Commission (the “SEC”) for reporting on Form 10-Q. Accordingly, they do not include all the information and footnotes required by GAAP for complete financial statements. The accompanying condensed consolidated financial statements should be read in conjunction with the historical consolidated financial statements of the Company for the year ended December 31, 2025 included in ACM’s 2025 Annual Report on Form 10-K.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unaudited. In the opinion of management, these unaudited condensed consolidated financial statements of the Company reflect all adjustments that are necessary for a fair presentation of the Company’s financial position and results of operations. Such adjustments are of a normal recurring nature, unless otherwise noted. The condensed consolidated balance sheet as of June 30, 2026 and the condensed consolidated results of operations for the three and six months ended June 30, 2026 are not necessarily indicative of the results to be expected for any future period.</w:t>
      </w:r>
    </w:p>
    <w:p>
      <w:pPr>
        <w:pStyle w:val="TextBody"/>
        <w:bidi w:val="0"/>
        <w:spacing w:lineRule="auto" w:line="288" w:before="24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Use of Estimates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condensed consolidated financial statements and accompanying notes. The Company’s significant accounting estimates and assumptions include, but are not limited to, those used for revenue recognition and deferred revenue, stock-based compensation arrangements, uncertain tax positions, warranty liabilities, allowance for credit losses, and inventory provision.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evaluates these estimates and assumptions on a regular basis. Actual results could differ from those estimates and assumptions.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and Cash Equivalents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cash and cash equivalents, according to jurisdiction as of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tbl>
      <w:tblPr>
        <w:tblW w:w="4427" w:type="dxa"/>
        <w:jc w:val="left"/>
        <w:tblInd w:w="0" w:type="dxa"/>
        <w:tblLayout w:type="fixed"/>
        <w:tblCellMar>
          <w:top w:w="28" w:type="dxa"/>
          <w:left w:w="28" w:type="dxa"/>
          <w:bottom w:w="28" w:type="dxa"/>
          <w:right w:w="28" w:type="dxa"/>
        </w:tblCellMar>
      </w:tblPr>
      <w:tblGrid>
        <w:gridCol w:w="599"/>
        <w:gridCol w:w="524"/>
        <w:gridCol w:w="527"/>
        <w:gridCol w:w="211"/>
        <w:gridCol w:w="826"/>
        <w:gridCol w:w="109"/>
        <w:gridCol w:w="109"/>
        <w:gridCol w:w="109"/>
        <w:gridCol w:w="109"/>
        <w:gridCol w:w="231"/>
        <w:gridCol w:w="905"/>
        <w:gridCol w:w="168"/>
      </w:tblGrid>
      <w:tr>
        <w:trPr/>
        <w:tc>
          <w:tcPr>
            <w:tcW w:w="59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107,184 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228,777 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China Hong Kong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421,104 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969,229 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757,373 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held in the U.S. exceeds the Federal Deposit Insurance Corporation insurance limits and is subject to risk of loss. No losses have been experienced to date.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amounts held in mainland China are subject to a series of risk control regulatory standards from mainland China bank regulatory authorities. ACM’s subsidiaries in mainland China are required to obtain approval from the State Administration of Foreign Exchange (“SAFE”) to transfer funds into or out of mainland China. SAFE requires a valid agreement to approve the transfers, which are processed through a bank. Other than these mainland China foreign exchange restrictions, ACM’s subsidiaries in mainland China are not subject to any restrictions and limitations on its ability to transfer funds to ACM or among our other subsidiaries. However, cash held in mainland China does exceed applicable insurance limits and is subject to risk of loss, although no such losses have been experienced to date.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ACM California periodically procures goods and services on behalf of ACM Shanghai. For these transactions, ACM Shanghai makes cash payments to ACM California in accordance with applicable transfer pricing arrangements. For the three months ended June 30, 2026 and 2025, cash payments from ACM Shanghai to ACM California for the procurement of goods and services was $191 and $3,509, respectively. For the six months ended June 30, 2026 and 2025, cash payments from ACM Shanghai to ACM California for the procurement of goods and services was $3,449 and $6,183, respectively. ACM California periodically borrows funds for working capital advances from its direct parent, CleanChip. ACM California repays or renews these intercompany loans in accordance with their terms.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sales through CleanChip and ACM Research, a certain amount of sales or advance payments from customer proceeds is repatriated back to ACM Shanghai in accordance with applicable transfer pricing arrangements in the ordinary course of business. ACM Research provides support for tools under warranty to certain customers located in the U.S., Europe and other regions outside of mainland China on behalf of ACM Shanghai. For these transactions, ACM Shanghai makes cash payments to ACM Research in accordance with applicable transfer pricing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held in Hong Kong exceeds the Hong Kong Deposit Insurance Corporation insurance limits and is subject to risk of loss. No losses have been experienced to date. There are no additional restrictions for the transfer of cash from bank accounts in the U.S., South Korea, Singapore and Hong Kong.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For the six months ended June 30, 2026 and 2025, with the exception of sales and services-related transfer-pricing payments in the ordinary course of business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no transfers, or distributions have been made between ACM Research and its subsidiaries, including ACM Shanghai, or to holders of ACM Research Class A common stock.</w:t>
      </w:r>
    </w:p>
    <w:p>
      <w:pPr>
        <w:pStyle w:val="TextBody"/>
        <w:bidi w:val="0"/>
        <w:spacing w:lineRule="auto" w:line="288" w:before="240" w:after="283"/>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Time Deposits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Time deposits are denominated in Chinese Renminbi (“RMB”) and U.S. dollars and deposited with banks in mainland China with fixed terms and interest rates and cannot be withdrawn before maturity. These deposits are presented as short-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term deposits in the condensed consolidated financial statements based on their expected time of collection. They are also subject to the risk control regulatory standards described above upon maturity.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Time deposits held as of June 30, 2026 had interest rates of 1.2% to 3.91% and mature</w:t>
      </w:r>
      <w:r>
        <w:rPr>
          <w:color w:val="000000"/>
        </w:rPr>
        <w:t xml:space="preserve"> </w:t>
      </w:r>
      <w:r>
        <w:rPr>
          <w:rFonts w:ascii="Times New Roman;serif" w:hAnsi="Times New Roman;serif"/>
          <w:b w:val="false"/>
          <w:color w:val="000000"/>
          <w:sz w:val="20"/>
        </w:rPr>
        <w:t>between November 2026 and June 2027.</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Restricted Cash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of the Company's restricted cash was held by financial institutions located in Mainland China, Hong Kong and South Korea, and mainly represents cash secured to guarantee delivery of tools.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Financial Instruments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periodically invests in equity and debt securities, and maintains an investment portfolio of various holdings, types, and maturities. For equity investments that do not have a readily determinable fair value, the Company classifies them as long-term investments, and records them using either: 1) the measurement alternative which measures the equity investments at cost minus impairment, if any, plus or minus changes resulting from qualifying observable price changes; or 2) the equity method whereby the Company recognizes its proportional share of the income or loss from the equity method investment. For equity investments that have a readily determinable fair value, the Company classifies them as short-term investments, and records them at fair market value on a recurring basis based upon quoted market prices. Realized and unrealized gains resulting from application of the measurement alternative, the impact of the application of the equity method to the Company’s equity investments, and recognition of changes in fair market value, as applicable, are recorded in non-operating income or loss in the condensed consolidated statements of comprehensive income.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investments in debt securities have been classified as available-for-sale securities. The Company classifies its debt securities as either short-term or long-term based on each instrument’s underlying contractual maturity date. Unrealized gains on debt securities classified as available-for-sale are recognized in accumulated other comprehensive income in the condensed consolidated balance sheets.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Fair Value Measurement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fair value measurements and hierarchy are consistent with those disclosed in the Company’s Annual Report on Form 10</w:t>
        <w:noBreakHyphen/>
        <w:t>K for the year ended December 31, 2025.</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br/>
        <w:t xml:space="preserve">The Company’s financial instruments primarily include its cash, cash equivalents, restricted cash, short-term and long-term deposits, short-term and long-term investments, other receivables, accounts receivable, accounts payable, and short-term and long-term borrowings. The estimated fair value of cash and cash equivalents, restricted cash, short-term time deposits, accounts receivable, other receivables, accounts payable, and short-term borrowings approximate their respective carrying value due to the short period of time to their maturities.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tbl>
      <w:tblPr>
        <w:tblW w:w="10205" w:type="dxa"/>
        <w:jc w:val="left"/>
        <w:tblInd w:w="0" w:type="dxa"/>
        <w:tblLayout w:type="fixed"/>
        <w:tblCellMar>
          <w:top w:w="28" w:type="dxa"/>
          <w:left w:w="28" w:type="dxa"/>
          <w:bottom w:w="28" w:type="dxa"/>
          <w:right w:w="28" w:type="dxa"/>
        </w:tblCellMar>
      </w:tblPr>
      <w:tblGrid>
        <w:gridCol w:w="928"/>
        <w:gridCol w:w="815"/>
        <w:gridCol w:w="550"/>
        <w:gridCol w:w="473"/>
        <w:gridCol w:w="1854"/>
        <w:gridCol w:w="244"/>
        <w:gridCol w:w="601"/>
        <w:gridCol w:w="1156"/>
        <w:gridCol w:w="312"/>
        <w:gridCol w:w="420"/>
        <w:gridCol w:w="1437"/>
        <w:gridCol w:w="219"/>
        <w:gridCol w:w="211"/>
        <w:gridCol w:w="826"/>
        <w:gridCol w:w="159"/>
      </w:tblGrid>
      <w:tr>
        <w:trPr/>
        <w:tc>
          <w:tcPr>
            <w:tcW w:w="9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 (Level 1)</w:t>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2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2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2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equivalents</w:t>
            </w:r>
          </w:p>
        </w:tc>
        <w:tc>
          <w:tcPr>
            <w:tcW w:w="4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285,303 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285,303 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Short-term investments</w:t>
            </w:r>
          </w:p>
        </w:tc>
        <w:tc>
          <w:tcPr>
            <w:tcW w:w="2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105,091 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Available-for-sale debt securities</w:t>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390,394 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401,078 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2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2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equivalents</w:t>
            </w:r>
          </w:p>
        </w:tc>
        <w:tc>
          <w:tcPr>
            <w:tcW w:w="4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84,627 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Short-term investments</w:t>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Available-for-sale debt securities</w:t>
            </w:r>
          </w:p>
        </w:tc>
        <w:tc>
          <w:tcPr>
            <w:tcW w:w="2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120,151 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129,854 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Refer to </w:t>
      </w:r>
      <w:r>
        <w:rPr>
          <w:rFonts w:ascii="Times New Roman;serif" w:hAnsi="Times New Roman;serif"/>
          <w:b w:val="false"/>
          <w:color w:val="000000"/>
          <w:sz w:val="20"/>
        </w:rPr>
        <w:t xml:space="preserve">note 9 for fair </w:t>
      </w:r>
      <w:r>
        <w:rPr>
          <w:rFonts w:ascii="Times New Roman;serif" w:hAnsi="Times New Roman;serif"/>
          <w:b w:val="false"/>
          <w:color w:val="000000"/>
          <w:sz w:val="20"/>
          <w:shd w:fill="FFFFFF" w:val="clear"/>
        </w:rPr>
        <w:t xml:space="preserve">value information related to the Company’s outstanding long-term borrowings as of </w:t>
      </w:r>
      <w:r>
        <w:rPr>
          <w:rFonts w:ascii="Times New Roman;serif" w:hAnsi="Times New Roman;serif"/>
          <w:b w:val="false"/>
          <w:color w:val="000000"/>
          <w:sz w:val="20"/>
        </w:rPr>
        <w:t>June 30, 2026 and December 31, 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 xml:space="preserve">The Company did not have any assets and liabilities measured at fair value on a non-recurring basis as of </w:t>
      </w:r>
      <w:r>
        <w:rPr>
          <w:rFonts w:ascii="Times New Roman;serif" w:hAnsi="Times New Roman;serif"/>
          <w:b w:val="false"/>
          <w:color w:val="000000"/>
          <w:sz w:val="20"/>
        </w:rPr>
        <w:t>June 30, 2026 and December 31, 2025</w:t>
      </w:r>
      <w:r>
        <w:rPr>
          <w:rFonts w:ascii="Times New Roman;serif" w:hAnsi="Times New Roman;serif"/>
          <w:b w:val="false"/>
          <w:color w:val="000000"/>
          <w:sz w:val="20"/>
          <w:shd w:fill="FFFFFF" w:val="clear"/>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14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Basic and Diluted Net Income per Share of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Basic and diluted net income per share of common stock are calculated as follows:</w:t>
      </w:r>
    </w:p>
    <w:tbl>
      <w:tblPr>
        <w:tblW w:w="10250" w:type="dxa"/>
        <w:jc w:val="left"/>
        <w:tblInd w:w="0" w:type="dxa"/>
        <w:tblLayout w:type="fixed"/>
        <w:tblCellMar>
          <w:top w:w="28" w:type="dxa"/>
          <w:left w:w="28" w:type="dxa"/>
          <w:bottom w:w="28" w:type="dxa"/>
          <w:right w:w="28" w:type="dxa"/>
        </w:tblCellMar>
      </w:tblPr>
      <w:tblGrid>
        <w:gridCol w:w="2300"/>
        <w:gridCol w:w="1475"/>
        <w:gridCol w:w="471"/>
        <w:gridCol w:w="220"/>
        <w:gridCol w:w="861"/>
        <w:gridCol w:w="109"/>
        <w:gridCol w:w="109"/>
        <w:gridCol w:w="109"/>
        <w:gridCol w:w="109"/>
        <w:gridCol w:w="244"/>
        <w:gridCol w:w="837"/>
        <w:gridCol w:w="109"/>
        <w:gridCol w:w="219"/>
        <w:gridCol w:w="862"/>
        <w:gridCol w:w="109"/>
        <w:gridCol w:w="109"/>
        <w:gridCol w:w="109"/>
        <w:gridCol w:w="109"/>
        <w:gridCol w:w="244"/>
        <w:gridCol w:w="837"/>
        <w:gridCol w:w="109"/>
        <w:gridCol w:w="109"/>
        <w:gridCol w:w="109"/>
        <w:gridCol w:w="109"/>
        <w:gridCol w:w="109"/>
        <w:gridCol w:w="154"/>
      </w:tblGrid>
      <w:tr>
        <w:trPr/>
        <w:tc>
          <w:tcPr>
            <w:tcW w:w="230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7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Net income</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Less: Net income attributable to non-controlling interests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stockholders, basic</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Less: Dilutive effect arising from stock-based awards by ACM Shanghai</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stockholders, diluted</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67,890,917 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63,968,763 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66,853,350 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63,620,235 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Effect of dilutive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3,947,991 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3,496,093 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3,825,522 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3,518,103 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Weighted average shares outstanding, diluted</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71,838,908 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67,464,856 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70,678,872 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67,138,338 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of common stock:</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ACM Research is authorized to issue Class A and Class B common stock. The two classes of common stock are substantially identical in all material respects, except for voting rights. The net income per share of common stock attributable to each class is the same under the “two-class” method. As such, the two classes of common stock have been presented on a combined basis in the condensed consolidated statements of comprehensive income and in the above computation of net income per share of common stock. ACM did not have any participating securities outstanding during the three and six months ended June 30, 2026 and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Diluted net income per share of common stock reflects the potential dilution from securities, such as stock options that could share in ACM Research’s earnings. Certain potentially dilutive securities were excluded from the net income per share calculation because the impact would be anti-dilutive. The number of potentially dilutive shares that were not included in the calculation of diluted net income per share in the periods presented where their inclusion would be anti-dilutive were stock options exercisable into shares of the Company’s common stock of 35,086 and 58,456 for the three and six months ended June 30, 2026, respectively and 1,338,186 and 1,321,311 for the three and six months ended June 30,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Concentration of Credit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credit risk consist principally of cash and cash equivalents, restricted cash, time deposits, and accounts receivable. The Company deposits and invests its cash with financial institutions that management believes are creditworthy.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potentially subject to concentrations of credit risks in its revenue and accounts receivable.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pPr>
      <w:r>
        <w:rPr>
          <w:color w:val="000000"/>
        </w:rPr>
        <w:t>•</w:t>
      </w:r>
      <w:r>
        <w:rPr>
          <w:rFonts w:ascii="Times New Roman;serif" w:hAnsi="Times New Roman;serif"/>
          <w:b w:val="false"/>
          <w:color w:val="000000"/>
          <w:sz w:val="20"/>
          <w:u w:val="single"/>
        </w:rPr>
        <w:t>Revenue concentration.</w:t>
      </w:r>
      <w:r>
        <w:rPr>
          <w:color w:val="000000"/>
        </w:rPr>
        <w:t xml:space="preserve"> </w:t>
      </w:r>
      <w:r>
        <w:rPr>
          <w:rFonts w:ascii="Times New Roman;serif" w:hAnsi="Times New Roman;serif"/>
          <w:b w:val="false"/>
          <w:color w:val="000000"/>
          <w:sz w:val="20"/>
        </w:rPr>
        <w:t xml:space="preserve">For the three months ended June 30, 2026 and 2025, three customers accounted for 43.5% and four customers accounted for 66.5% of revenue, respectively. For the six months ended June 30, 2026 and 2025, one customer accounted for 12.7% and three customers accounted for 49.9% of revenue, respectively. </w:t>
      </w:r>
    </w:p>
    <w:p>
      <w:pPr>
        <w:pStyle w:val="TextBody"/>
        <w:bidi w:val="0"/>
        <w:spacing w:lineRule="auto" w:line="288" w:before="240" w:after="283"/>
        <w:jc w:val="both"/>
        <w:rPr/>
      </w:pPr>
      <w:r>
        <w:rPr>
          <w:color w:val="000000"/>
        </w:rPr>
        <w:t>•</w:t>
      </w:r>
      <w:r>
        <w:rPr>
          <w:rFonts w:ascii="Times New Roman;serif" w:hAnsi="Times New Roman;serif"/>
          <w:b w:val="false"/>
          <w:color w:val="000000"/>
          <w:sz w:val="20"/>
          <w:u w:val="single"/>
        </w:rPr>
        <w:t>Accounts receivable concentration.</w:t>
      </w:r>
      <w:r>
        <w:rPr>
          <w:color w:val="000000"/>
        </w:rPr>
        <w:t xml:space="preserve"> </w:t>
      </w:r>
      <w:r>
        <w:rPr>
          <w:rFonts w:ascii="Times New Roman;serif" w:hAnsi="Times New Roman;serif"/>
          <w:b w:val="false"/>
          <w:color w:val="000000"/>
          <w:sz w:val="20"/>
        </w:rPr>
        <w:t>As of June 30, 2026 and December 31, 2025, four customers accounted for 52.4% and four customers accounted for 62.2%, respectively, of the Company’s accounts receivables. The Company believes that the</w:t>
      </w:r>
      <w:r>
        <w:rPr>
          <w:color w:val="000000"/>
          <w:shd w:fill="FFFFFF" w:val="clear"/>
        </w:rPr>
        <w:t xml:space="preserve"> </w:t>
      </w:r>
      <w:r>
        <w:rPr>
          <w:rFonts w:ascii="Times New Roman;serif" w:hAnsi="Times New Roman;serif"/>
          <w:b w:val="false"/>
          <w:color w:val="000000"/>
          <w:sz w:val="20"/>
          <w:shd w:fill="FFFFFF" w:val="clear"/>
        </w:rPr>
        <w:t>receivable balances from these</w:t>
      </w:r>
      <w:r>
        <w:rPr>
          <w:color w:val="000000"/>
        </w:rPr>
        <w:t xml:space="preserve"> </w:t>
      </w:r>
      <w:r>
        <w:rPr>
          <w:rFonts w:ascii="Times New Roman;serif" w:hAnsi="Times New Roman;serif"/>
          <w:b w:val="false"/>
          <w:color w:val="000000"/>
          <w:sz w:val="20"/>
        </w:rPr>
        <w:t>largest customers do not represent a significant credit risk based on past collection experience.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Recently issued accounting pronouncements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December 2024, the FASB issued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xml:space="preserve">, which requires additional disclosures about specific types of expenses included in the expense captions presented on the face of the income statement as well as disclosures about selling expenses. In January 2025, the FASB issued ASU 2025-01, which clarifies the effective date of ASU 2024-03. ASU 2024-03 is effective for fiscal years beginning after December 15, 2026, and interim periods within fiscal years beginning after December 15, 2027. This ASU should be applied prospectively with the option to apply the standard retrospectively. The Company is currently evaluating the provisions of this ASU.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December 2025, the FASB issued ASU 2025-10 </w:t>
      </w:r>
      <w:r>
        <w:rPr>
          <w:color w:val="000000"/>
        </w:rPr>
        <w:t xml:space="preserve">– </w:t>
      </w:r>
      <w:r>
        <w:rPr>
          <w:rFonts w:ascii="Times New Roman;serif" w:hAnsi="Times New Roman;serif"/>
          <w:b w:val="false"/>
          <w:i/>
          <w:color w:val="000000"/>
          <w:sz w:val="20"/>
        </w:rPr>
        <w:t>Government Grants</w:t>
      </w:r>
      <w:r>
        <w:rPr>
          <w:color w:val="000000"/>
        </w:rPr>
        <w:t xml:space="preserve"> </w:t>
      </w:r>
      <w:r>
        <w:rPr>
          <w:rFonts w:ascii="Times New Roman;serif" w:hAnsi="Times New Roman;serif"/>
          <w:b w:val="false"/>
          <w:color w:val="000000"/>
          <w:sz w:val="20"/>
        </w:rPr>
        <w:t xml:space="preserve">which establishes guidance on the recognition, measurement, and presentation of government grants received by business entities. The new guidance leverages the principles in the accounting framework for government assistance in International Accounting Standard 20 </w:t>
      </w:r>
      <w:r>
        <w:rPr>
          <w:color w:val="000000"/>
        </w:rPr>
        <w:t xml:space="preserve">– </w:t>
      </w:r>
      <w:r>
        <w:rPr>
          <w:rFonts w:ascii="Times New Roman;serif" w:hAnsi="Times New Roman;serif"/>
          <w:b w:val="false"/>
          <w:i/>
          <w:color w:val="000000"/>
          <w:sz w:val="20"/>
        </w:rPr>
        <w:t>Accounting for Government Grants and Disclosure of Government Assistance.</w:t>
      </w:r>
      <w:r>
        <w:rPr>
          <w:color w:val="000000"/>
        </w:rPr>
        <w:t xml:space="preserve"> </w:t>
      </w:r>
      <w:r>
        <w:rPr>
          <w:rFonts w:ascii="Times New Roman;serif" w:hAnsi="Times New Roman;serif"/>
          <w:b w:val="false"/>
          <w:color w:val="000000"/>
          <w:sz w:val="20"/>
        </w:rPr>
        <w:t>This ASU is effective for interim reporting periods within annual reporting periods beginning after December 15, 2028 and interim reporting periods within those annual periods. This ASU may be applied prospectively or retrospectively to any or all periods presented and early adoption of this ASU is permitted. The Company is currently evaluating the provisions of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 REVENUE FROM CONTRACTS WITH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assesses revenues based upon the nature or type of goods or services it provides and the geographic location of the customer facility. The following table presents disaggregated revenue information:</w:t>
      </w:r>
    </w:p>
    <w:tbl>
      <w:tblPr>
        <w:tblW w:w="10205" w:type="dxa"/>
        <w:jc w:val="left"/>
        <w:tblInd w:w="0" w:type="dxa"/>
        <w:tblLayout w:type="fixed"/>
        <w:tblCellMar>
          <w:top w:w="28" w:type="dxa"/>
          <w:left w:w="28" w:type="dxa"/>
          <w:bottom w:w="28" w:type="dxa"/>
          <w:right w:w="28" w:type="dxa"/>
        </w:tblCellMar>
      </w:tblPr>
      <w:tblGrid>
        <w:gridCol w:w="1531"/>
        <w:gridCol w:w="1336"/>
        <w:gridCol w:w="1342"/>
        <w:gridCol w:w="230"/>
        <w:gridCol w:w="904"/>
        <w:gridCol w:w="118"/>
        <w:gridCol w:w="230"/>
        <w:gridCol w:w="904"/>
        <w:gridCol w:w="118"/>
        <w:gridCol w:w="216"/>
        <w:gridCol w:w="847"/>
        <w:gridCol w:w="111"/>
        <w:gridCol w:w="216"/>
        <w:gridCol w:w="847"/>
        <w:gridCol w:w="111"/>
        <w:gridCol w:w="109"/>
        <w:gridCol w:w="109"/>
        <w:gridCol w:w="109"/>
        <w:gridCol w:w="109"/>
        <w:gridCol w:w="109"/>
        <w:gridCol w:w="109"/>
        <w:gridCol w:w="109"/>
        <w:gridCol w:w="109"/>
        <w:gridCol w:w="109"/>
        <w:gridCol w:w="163"/>
      </w:tblGrid>
      <w:tr>
        <w:trPr/>
        <w:tc>
          <w:tcPr>
            <w:tcW w:w="15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3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Single Wafer Cleaning, Tahoe and Semi-Critical Cleaning Equipment</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132,978 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154,961 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255,460 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284,530 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ECP (front-end and packaging), Furnace and Other Technologies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Packaging (excluding ECP), Services &amp; Spares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by product category</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292,919 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215,372 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524,182 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387,719 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 periods ended June 30, 2026 and 2025, substantially all revenue was derived from customers in mainland China, and therefore no geographical segment information is presented.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Below are the contract liabilities balances as of:</w:t>
      </w:r>
    </w:p>
    <w:tbl>
      <w:tblPr>
        <w:tblW w:w="4967" w:type="dxa"/>
        <w:jc w:val="center"/>
        <w:tblInd w:w="0" w:type="dxa"/>
        <w:tblLayout w:type="fixed"/>
        <w:tblCellMar>
          <w:top w:w="28" w:type="dxa"/>
          <w:left w:w="28" w:type="dxa"/>
          <w:bottom w:w="28" w:type="dxa"/>
          <w:right w:w="28" w:type="dxa"/>
        </w:tblCellMar>
      </w:tblPr>
      <w:tblGrid>
        <w:gridCol w:w="793"/>
        <w:gridCol w:w="696"/>
        <w:gridCol w:w="701"/>
        <w:gridCol w:w="211"/>
        <w:gridCol w:w="826"/>
        <w:gridCol w:w="109"/>
        <w:gridCol w:w="109"/>
        <w:gridCol w:w="109"/>
        <w:gridCol w:w="109"/>
        <w:gridCol w:w="231"/>
        <w:gridCol w:w="905"/>
        <w:gridCol w:w="168"/>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from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187,809 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205,197 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Below are revenues recognized from amounts included in contract liabilities at the beginning of the period:</w:t>
      </w:r>
    </w:p>
    <w:tbl>
      <w:tblPr>
        <w:tblW w:w="10205" w:type="dxa"/>
        <w:jc w:val="left"/>
        <w:tblInd w:w="0" w:type="dxa"/>
        <w:tblLayout w:type="fixed"/>
        <w:tblCellMar>
          <w:top w:w="28" w:type="dxa"/>
          <w:left w:w="28" w:type="dxa"/>
          <w:bottom w:w="28" w:type="dxa"/>
          <w:right w:w="28" w:type="dxa"/>
        </w:tblCellMar>
      </w:tblPr>
      <w:tblGrid>
        <w:gridCol w:w="1952"/>
        <w:gridCol w:w="1715"/>
        <w:gridCol w:w="1720"/>
        <w:gridCol w:w="245"/>
        <w:gridCol w:w="838"/>
        <w:gridCol w:w="126"/>
        <w:gridCol w:w="245"/>
        <w:gridCol w:w="838"/>
        <w:gridCol w:w="126"/>
        <w:gridCol w:w="216"/>
        <w:gridCol w:w="846"/>
        <w:gridCol w:w="111"/>
        <w:gridCol w:w="216"/>
        <w:gridCol w:w="846"/>
        <w:gridCol w:w="165"/>
      </w:tblGrid>
      <w:tr>
        <w:trPr/>
        <w:tc>
          <w:tcPr>
            <w:tcW w:w="195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40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from amounts included in contract liabilities at the beginning of the periods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55,672 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58,122 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141,750 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120,241 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4 – ACCOUNTS RECEIVABLE, NET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At June 30, 2026 and December 31, 2025, accounts receivable consisted of</w:t>
      </w:r>
      <w:r>
        <w:rPr>
          <w:color w:val="000000"/>
        </w:rPr>
        <w:t xml:space="preserve"> </w:t>
      </w:r>
      <w:r>
        <w:rPr>
          <w:rFonts w:ascii="Times New Roman;serif" w:hAnsi="Times New Roman;serif"/>
          <w:b w:val="false"/>
          <w:color w:val="000000"/>
          <w:sz w:val="20"/>
        </w:rPr>
        <w:t>the following:</w:t>
      </w:r>
    </w:p>
    <w:tbl>
      <w:tblPr>
        <w:tblW w:w="5537" w:type="dxa"/>
        <w:jc w:val="left"/>
        <w:tblInd w:w="0" w:type="dxa"/>
        <w:tblLayout w:type="fixed"/>
        <w:tblCellMar>
          <w:top w:w="28" w:type="dxa"/>
          <w:left w:w="28" w:type="dxa"/>
          <w:bottom w:w="28" w:type="dxa"/>
          <w:right w:w="28" w:type="dxa"/>
        </w:tblCellMar>
      </w:tblPr>
      <w:tblGrid>
        <w:gridCol w:w="1000"/>
        <w:gridCol w:w="879"/>
        <w:gridCol w:w="881"/>
        <w:gridCol w:w="211"/>
        <w:gridCol w:w="826"/>
        <w:gridCol w:w="109"/>
        <w:gridCol w:w="109"/>
        <w:gridCol w:w="109"/>
        <w:gridCol w:w="109"/>
        <w:gridCol w:w="231"/>
        <w:gridCol w:w="905"/>
        <w:gridCol w:w="168"/>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574,944 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537,095 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(32,845)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538,389 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504,250 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 assesses collectability by reviewing accounts receivable on a general basis where similar characteristics exist</w:t>
      </w:r>
      <w:r>
        <w:rPr>
          <w:rFonts w:ascii="Times New Roman;serif" w:hAnsi="Times New Roman;serif"/>
          <w:b w:val="false"/>
          <w:color w:val="008080"/>
          <w:sz w:val="24"/>
        </w:rPr>
        <w:t>.</w:t>
      </w:r>
      <w:r>
        <w:rPr>
          <w:color w:val="000000"/>
        </w:rPr>
        <w:t xml:space="preserve"> </w:t>
      </w:r>
      <w:r>
        <w:rPr>
          <w:rFonts w:ascii="Times New Roman;serif" w:hAnsi="Times New Roman;serif"/>
          <w:b w:val="false"/>
          <w:color w:val="000000"/>
          <w:sz w:val="20"/>
        </w:rPr>
        <w:t xml:space="preserve">In determining the amount of the allowance for credit losses, the Company considers historical collectability based on past due status, the age of the accounts receivable balances, credit quality of the Company’s customers based on ongoing credit evaluations, and other factors that may affect the Company’s ability to collect from customers. </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movement of the allowance for credit losses for the six months ended June 30, 2026 and 2025 was as follows:</w:t>
      </w:r>
    </w:p>
    <w:tbl>
      <w:tblPr>
        <w:tblW w:w="6879" w:type="dxa"/>
        <w:jc w:val="left"/>
        <w:tblInd w:w="0" w:type="dxa"/>
        <w:tblLayout w:type="fixed"/>
        <w:tblCellMar>
          <w:top w:w="28" w:type="dxa"/>
          <w:left w:w="28" w:type="dxa"/>
          <w:bottom w:w="28" w:type="dxa"/>
          <w:right w:w="28" w:type="dxa"/>
        </w:tblCellMar>
      </w:tblPr>
      <w:tblGrid>
        <w:gridCol w:w="1549"/>
        <w:gridCol w:w="1359"/>
        <w:gridCol w:w="1367"/>
        <w:gridCol w:w="211"/>
        <w:gridCol w:w="796"/>
        <w:gridCol w:w="109"/>
        <w:gridCol w:w="109"/>
        <w:gridCol w:w="109"/>
        <w:gridCol w:w="109"/>
        <w:gridCol w:w="211"/>
        <w:gridCol w:w="796"/>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at beginning of the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at the end of the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(36,555)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(19,782)</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color w:val="000000"/>
        </w:rPr>
      </w:pPr>
      <w:r>
        <w:rPr>
          <w:color w:val="000000"/>
        </w:rPr>
        <w:t>    </w:t>
      </w:r>
    </w:p>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5 – INVENTORIES,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June 30, 2026, and December 31, 2025, inventories consisted of the following:</w:t>
      </w:r>
    </w:p>
    <w:tbl>
      <w:tblPr>
        <w:tblW w:w="4636" w:type="dxa"/>
        <w:jc w:val="left"/>
        <w:tblInd w:w="0" w:type="dxa"/>
        <w:tblLayout w:type="fixed"/>
        <w:tblCellMar>
          <w:top w:w="28" w:type="dxa"/>
          <w:left w:w="28" w:type="dxa"/>
          <w:bottom w:w="28" w:type="dxa"/>
          <w:right w:w="28" w:type="dxa"/>
        </w:tblCellMar>
      </w:tblPr>
      <w:tblGrid>
        <w:gridCol w:w="673"/>
        <w:gridCol w:w="591"/>
        <w:gridCol w:w="595"/>
        <w:gridCol w:w="211"/>
        <w:gridCol w:w="826"/>
        <w:gridCol w:w="109"/>
        <w:gridCol w:w="109"/>
        <w:gridCol w:w="109"/>
        <w:gridCol w:w="109"/>
        <w:gridCol w:w="231"/>
        <w:gridCol w:w="905"/>
        <w:gridCol w:w="168"/>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349,663 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291,553 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783,119 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702,631 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the value of finished goods inventory at customers' physical locations for which customers were contractually obligated to take ownership upon acceptance totaled $105,812 and $145,506,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the provisions for inventory recognized in cost of revenues were $6,907 and $1,102, respectively. During the six months ended June 30, 2026 and 2025, the provisions for inventory recognized in cost of revenues were $12,019 and $5,625,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 PROPERTY, PLANT AND EQUIPMENT, NET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June 30, 2026 and December 31, 2025, property, plant and equipment consisted of the following:</w:t>
      </w:r>
    </w:p>
    <w:tbl>
      <w:tblPr>
        <w:tblW w:w="6183" w:type="dxa"/>
        <w:jc w:val="left"/>
        <w:tblInd w:w="0" w:type="dxa"/>
        <w:tblLayout w:type="fixed"/>
        <w:tblCellMar>
          <w:top w:w="28" w:type="dxa"/>
          <w:left w:w="28" w:type="dxa"/>
          <w:bottom w:w="28" w:type="dxa"/>
          <w:right w:w="28" w:type="dxa"/>
        </w:tblCellMar>
      </w:tblPr>
      <w:tblGrid>
        <w:gridCol w:w="1230"/>
        <w:gridCol w:w="1081"/>
        <w:gridCol w:w="1095"/>
        <w:gridCol w:w="211"/>
        <w:gridCol w:w="826"/>
        <w:gridCol w:w="109"/>
        <w:gridCol w:w="109"/>
        <w:gridCol w:w="109"/>
        <w:gridCol w:w="109"/>
        <w:gridCol w:w="231"/>
        <w:gridCol w:w="905"/>
        <w:gridCol w:w="168"/>
      </w:tblGrid>
      <w:tr>
        <w:trPr/>
        <w:tc>
          <w:tcPr>
            <w:tcW w:w="123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plants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279,947 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229,731 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434,737 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353,594 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(38,764)</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384,593 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314,830 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for the three months ended June 30, 2026 and 2025 was $6,219 and $3,517, respectively. Depreciation expense for the six months ended June 30, 2026 and 2025 was $11,380 and $5,904,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5, 2026, the Company purchased a facility consisting of 3,196 square meters of general-purpose office space located in Shanghai Pudong New Area for RMB 312,699 ($45,904). To partially finance the purchase, the Company entered into a loan agreement with the Bank of China for RMB 231,518 ($33,987) at a 2.65% interest rate, with a repayment term of 120 months. The facility was subsequently pledged as security for a loan from the Bank of China in July 2026 (note 9).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building and plants included $36,663 for the Lingang housing property, which are pledged as a security for loans from the China Merchants Bank (note 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7 – SHORT-TERM BORROWINGS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Short-term borrowings as of </w:t>
      </w:r>
      <w:r>
        <w:rPr>
          <w:rFonts w:ascii="Times New Roman;serif" w:hAnsi="Times New Roman;serif"/>
          <w:b w:val="false"/>
          <w:color w:val="000000"/>
          <w:sz w:val="20"/>
          <w:shd w:fill="FFFFFF" w:val="clear"/>
        </w:rPr>
        <w:t>June 30, 2026 and December 31, 2025</w:t>
      </w:r>
      <w:r>
        <w:rPr>
          <w:color w:val="000000"/>
        </w:rPr>
        <w:t xml:space="preserve"> </w:t>
      </w:r>
      <w:r>
        <w:rPr>
          <w:rFonts w:ascii="Times New Roman;serif" w:hAnsi="Times New Roman;serif"/>
          <w:b w:val="false"/>
          <w:color w:val="000000"/>
          <w:sz w:val="20"/>
        </w:rPr>
        <w:t xml:space="preserve">amounted to $107,218 and $74,041, respectively, which consisted of RMB denominated borrowings made by the Company’s subsidiaries from financial institutions in mainland China and were repayable within one year.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 and December 31, 2025</w:t>
      </w:r>
      <w:r>
        <w:rPr>
          <w:rFonts w:ascii="Times New Roman;serif" w:hAnsi="Times New Roman;serif"/>
          <w:b w:val="false"/>
          <w:color w:val="000000"/>
          <w:sz w:val="20"/>
        </w:rPr>
        <w:t>, the weighted average interest rates for the outstanding borrowings were 2.1% and 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8 – OTHER PAYABLES AND ACCRUED EXPENSES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June 30, 2026 and December 31, 2025, other payables and accrued expenses consisted of the following:</w:t>
      </w:r>
    </w:p>
    <w:tbl>
      <w:tblPr>
        <w:tblW w:w="5509" w:type="dxa"/>
        <w:jc w:val="left"/>
        <w:tblInd w:w="0" w:type="dxa"/>
        <w:tblLayout w:type="fixed"/>
        <w:tblCellMar>
          <w:top w:w="28" w:type="dxa"/>
          <w:left w:w="28" w:type="dxa"/>
          <w:bottom w:w="28" w:type="dxa"/>
          <w:right w:w="28" w:type="dxa"/>
        </w:tblCellMar>
      </w:tblPr>
      <w:tblGrid>
        <w:gridCol w:w="1108"/>
        <w:gridCol w:w="974"/>
        <w:gridCol w:w="977"/>
        <w:gridCol w:w="211"/>
        <w:gridCol w:w="826"/>
        <w:gridCol w:w="109"/>
        <w:gridCol w:w="231"/>
        <w:gridCol w:w="905"/>
        <w:gridCol w:w="168"/>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commissions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26,931 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warranty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payroll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machine sales fees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Lingang construction fees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Payable for investments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Shanghai dividend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150,396 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Warranties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standard warranties on its products. The liability amount is based on actual historical warranty spending activity by type of product, customer, and geographic region, modified for any known differences such as the impact of product reliability improvements.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Changes in the Company’s accrued warranty were as follows:</w:t>
      </w:r>
    </w:p>
    <w:tbl>
      <w:tblPr>
        <w:tblW w:w="7689" w:type="dxa"/>
        <w:jc w:val="left"/>
        <w:tblInd w:w="0" w:type="dxa"/>
        <w:tblLayout w:type="fixed"/>
        <w:tblCellMar>
          <w:top w:w="28" w:type="dxa"/>
          <w:left w:w="28" w:type="dxa"/>
          <w:bottom w:w="28" w:type="dxa"/>
          <w:right w:w="28" w:type="dxa"/>
        </w:tblCellMar>
      </w:tblPr>
      <w:tblGrid>
        <w:gridCol w:w="956"/>
        <w:gridCol w:w="840"/>
        <w:gridCol w:w="843"/>
        <w:gridCol w:w="230"/>
        <w:gridCol w:w="785"/>
        <w:gridCol w:w="118"/>
        <w:gridCol w:w="118"/>
        <w:gridCol w:w="118"/>
        <w:gridCol w:w="118"/>
        <w:gridCol w:w="230"/>
        <w:gridCol w:w="785"/>
        <w:gridCol w:w="118"/>
        <w:gridCol w:w="241"/>
        <w:gridCol w:w="824"/>
        <w:gridCol w:w="124"/>
        <w:gridCol w:w="241"/>
        <w:gridCol w:w="824"/>
        <w:gridCol w:w="176"/>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43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12,710 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Utilized</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22,938 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13,544 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22,938 </w:t>
            </w:r>
          </w:p>
        </w:tc>
        <w:tc>
          <w:tcPr>
            <w:tcW w:w="1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13,544 </w:t>
            </w:r>
          </w:p>
        </w:tc>
        <w:tc>
          <w:tcPr>
            <w:tcW w:w="1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 LONG-TERM BORROWINGS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At June 30, 2026 and December 31, 2025, long-term borrowings consisted </w:t>
      </w:r>
      <w:r>
        <w:rPr>
          <w:rFonts w:ascii="Times New Roman;serif" w:hAnsi="Times New Roman;serif"/>
          <w:b w:val="false"/>
          <w:color w:val="000000"/>
          <w:sz w:val="20"/>
        </w:rPr>
        <w:t>of loan facilities from the following financial institutions:</w:t>
      </w:r>
    </w:p>
    <w:tbl>
      <w:tblPr>
        <w:tblW w:w="6964" w:type="dxa"/>
        <w:jc w:val="left"/>
        <w:tblInd w:w="0" w:type="dxa"/>
        <w:tblLayout w:type="fixed"/>
        <w:tblCellMar>
          <w:top w:w="28" w:type="dxa"/>
          <w:left w:w="28" w:type="dxa"/>
          <w:bottom w:w="28" w:type="dxa"/>
          <w:right w:w="28" w:type="dxa"/>
        </w:tblCellMar>
      </w:tblPr>
      <w:tblGrid>
        <w:gridCol w:w="1627"/>
        <w:gridCol w:w="1434"/>
        <w:gridCol w:w="1438"/>
        <w:gridCol w:w="211"/>
        <w:gridCol w:w="841"/>
        <w:gridCol w:w="109"/>
        <w:gridCol w:w="228"/>
        <w:gridCol w:w="910"/>
        <w:gridCol w:w="166"/>
      </w:tblGrid>
      <w:tr>
        <w:trPr/>
        <w:tc>
          <w:tcPr>
            <w:tcW w:w="16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Merchants Bank</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Agricultural Bank of China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China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CITIC Bank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Everbright Bank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Commercial Bank of China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233,691 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214,012 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(40,787)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(35,082)</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Total long-term borrowings, net of current portion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192,904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178,930</w:t>
            </w: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China Merchants Bank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2026, ACM Shanghai entered into a long-term loan facility, of $17,616 from China Merchants Bank. Principal repayments shall be made in six installments beginning July 2026, with final maturity in January 2029. The loan bears interest at an annual rate of 2.38%.</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Bank of China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ACM Shanghai entered into a long-term loan facility of $33,987 from Bank of China for the purchase of new office located in Shanghai’s Pudong New Area (note 6). The loan will be paid in 120 monthly installments. The loan bears interest at an annual rate of 2.65%.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2025, ACM Shanghai secured a long-term loan with the Bank of China for ACM Shanghai’s project expenditures. The facility requires ACM Shanghai’s year-end outstanding interest-bearing debt not to exceed five times of its annual EBITDA, and to comply with other non-financial covenants, or Bank of China has the right to suspend the facility, or request ACM Shanghai to accelerate repayment or provide credit enhancement.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Industrial and Commercial Bank of China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ACM Shanghai entered into a long-term loan facility of $24,583. Principal repayments shall be made in six installments beginning September 2026, with final maturity in March 2029. The loan bears interest at an annual rate of 2.29%.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Additional long-term borrowings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As of June 30, 2026 and December 31, 2025, the total carrying amount of long-term loans</w:t>
      </w:r>
      <w:r>
        <w:rPr>
          <w:color w:val="000000"/>
        </w:rPr>
        <w:t xml:space="preserve"> </w:t>
      </w:r>
      <w:r>
        <w:rPr>
          <w:rFonts w:ascii="Times New Roman;serif" w:hAnsi="Times New Roman;serif"/>
          <w:b w:val="false"/>
          <w:color w:val="000000"/>
          <w:sz w:val="20"/>
        </w:rPr>
        <w:t xml:space="preserve">was $233,691 and $214,012, compared with an estimated fair value of $212,688 and $202,706, respectively. The fair value of the long-term loans is estimated by discounting cash flows using interest rates </w:t>
      </w:r>
      <w:r>
        <w:rPr>
          <w:rFonts w:ascii="Times New Roman;serif" w:hAnsi="Times New Roman;serif"/>
          <w:b w:val="false"/>
          <w:color w:val="000000"/>
          <w:sz w:val="20"/>
          <w:shd w:fill="FFFFFF" w:val="clear"/>
        </w:rPr>
        <w:t>currently available for debts with similar terms and maturities (Level 2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Scheduled principal payments for the outstanding long-term loans, including the current portion, as of June 30, 2026 are as follows:</w:t>
      </w:r>
    </w:p>
    <w:tbl>
      <w:tblPr>
        <w:tblW w:w="3561" w:type="dxa"/>
        <w:jc w:val="left"/>
        <w:tblInd w:w="0" w:type="dxa"/>
        <w:tblLayout w:type="fixed"/>
        <w:tblCellMar>
          <w:top w:w="28" w:type="dxa"/>
          <w:left w:w="28" w:type="dxa"/>
          <w:bottom w:w="28" w:type="dxa"/>
          <w:right w:w="28" w:type="dxa"/>
        </w:tblCellMar>
      </w:tblPr>
      <w:tblGrid>
        <w:gridCol w:w="852"/>
        <w:gridCol w:w="750"/>
        <w:gridCol w:w="753"/>
        <w:gridCol w:w="211"/>
        <w:gridCol w:w="841"/>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494949"/>
                <w:sz w:val="20"/>
              </w:rPr>
            </w:pPr>
            <w:r>
              <w:rPr>
                <w:rFonts w:ascii="Times New Roman;serif" w:hAnsi="Times New Roman;serif"/>
                <w:b/>
                <w:color w:val="494949"/>
                <w:sz w:val="20"/>
              </w:rPr>
              <w:t>Year ending December 31,</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2030 and thereafter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58,325 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233,691</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10 – LONG-TERM INVESTMENTS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long-term investment balance primarily consisted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45"/>
        <w:gridCol w:w="2491"/>
        <w:gridCol w:w="2509"/>
        <w:gridCol w:w="211"/>
        <w:gridCol w:w="736"/>
        <w:gridCol w:w="109"/>
        <w:gridCol w:w="249"/>
        <w:gridCol w:w="870"/>
        <w:gridCol w:w="185"/>
      </w:tblGrid>
      <w:tr>
        <w:trPr/>
        <w:tc>
          <w:tcPr>
            <w:tcW w:w="2845"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Equity investee:</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31,310 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Wooil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Hefei Shixi</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A</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Subtotal</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67,398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46,218</w:t>
            </w:r>
            <w:r>
              <w:rPr>
                <w:color w:val="000000"/>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i/>
                <w:color w:val="000000"/>
                <w:sz w:val="20"/>
              </w:rPr>
              <w:t xml:space="preserve">Equity investments without readily determinable fair value using the measurement alternative </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11,167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10,114</w:t>
            </w: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Available for sale debt securities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10,684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9,703</w:t>
            </w:r>
            <w:r>
              <w:rPr>
                <w:color w:val="000000"/>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long-term investments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89,249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66,035</w:t>
            </w:r>
            <w:r>
              <w:rPr>
                <w:color w:val="000000"/>
              </w:rPr>
              <w:t>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Available-for-sale debt investments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available-for-sale debt investments are investments in preferred shares that are redeemable at the Company’s option with no contractual maturity date, which are measured at fair value.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amortized cost and estimated fair value of the Company’s available-for-sale debt investments at June 30, 2026 and December 31, 2025:</w:t>
      </w:r>
    </w:p>
    <w:p>
      <w:pPr>
        <w:pStyle w:val="TextBody"/>
        <w:bidi w:val="0"/>
        <w:spacing w:before="0" w:after="0"/>
        <w:jc w:val="left"/>
        <w:rPr/>
      </w:pPr>
      <w:r>
        <w:rPr/>
      </w:r>
    </w:p>
    <w:tbl>
      <w:tblPr>
        <w:tblW w:w="4888" w:type="dxa"/>
        <w:jc w:val="center"/>
        <w:tblInd w:w="0" w:type="dxa"/>
        <w:tblLayout w:type="fixed"/>
        <w:tblCellMar>
          <w:top w:w="28" w:type="dxa"/>
          <w:left w:w="28" w:type="dxa"/>
          <w:bottom w:w="28" w:type="dxa"/>
          <w:right w:w="28" w:type="dxa"/>
        </w:tblCellMar>
      </w:tblPr>
      <w:tblGrid>
        <w:gridCol w:w="668"/>
        <w:gridCol w:w="588"/>
        <w:gridCol w:w="589"/>
        <w:gridCol w:w="287"/>
        <w:gridCol w:w="839"/>
        <w:gridCol w:w="148"/>
        <w:gridCol w:w="380"/>
        <w:gridCol w:w="1110"/>
        <w:gridCol w:w="279"/>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Amortized Cost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7,499 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Estimated fair value </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11 – SHORT-TERM INVESTMENTS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June 30, 2026 and December 31, 2025, the components of short-term investments were as follows:</w:t>
      </w:r>
    </w:p>
    <w:tbl>
      <w:tblPr>
        <w:tblW w:w="7221" w:type="dxa"/>
        <w:jc w:val="left"/>
        <w:tblInd w:w="0" w:type="dxa"/>
        <w:tblLayout w:type="fixed"/>
        <w:tblCellMar>
          <w:top w:w="28" w:type="dxa"/>
          <w:left w:w="28" w:type="dxa"/>
          <w:bottom w:w="28" w:type="dxa"/>
          <w:right w:w="28" w:type="dxa"/>
        </w:tblCellMar>
      </w:tblPr>
      <w:tblGrid>
        <w:gridCol w:w="1766"/>
        <w:gridCol w:w="1552"/>
        <w:gridCol w:w="1557"/>
        <w:gridCol w:w="211"/>
        <w:gridCol w:w="721"/>
        <w:gridCol w:w="109"/>
        <w:gridCol w:w="253"/>
        <w:gridCol w:w="867"/>
        <w:gridCol w:w="185"/>
      </w:tblGrid>
      <w:tr>
        <w:trPr/>
        <w:tc>
          <w:tcPr>
            <w:tcW w:w="176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listed in Shanghai Stock Exchange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Market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net gains recognized on equity securities were as follows:</w:t>
      </w:r>
    </w:p>
    <w:tbl>
      <w:tblPr>
        <w:tblW w:w="10205" w:type="dxa"/>
        <w:jc w:val="center"/>
        <w:tblInd w:w="0" w:type="dxa"/>
        <w:tblLayout w:type="fixed"/>
        <w:tblCellMar>
          <w:top w:w="28" w:type="dxa"/>
          <w:left w:w="28" w:type="dxa"/>
          <w:bottom w:w="28" w:type="dxa"/>
          <w:right w:w="28" w:type="dxa"/>
        </w:tblCellMar>
      </w:tblPr>
      <w:tblGrid>
        <w:gridCol w:w="1908"/>
        <w:gridCol w:w="1677"/>
        <w:gridCol w:w="1682"/>
        <w:gridCol w:w="272"/>
        <w:gridCol w:w="931"/>
        <w:gridCol w:w="140"/>
        <w:gridCol w:w="272"/>
        <w:gridCol w:w="796"/>
        <w:gridCol w:w="140"/>
        <w:gridCol w:w="248"/>
        <w:gridCol w:w="850"/>
        <w:gridCol w:w="128"/>
        <w:gridCol w:w="248"/>
        <w:gridCol w:w="726"/>
        <w:gridCol w:w="187"/>
      </w:tblGrid>
      <w:tr>
        <w:trPr/>
        <w:tc>
          <w:tcPr>
            <w:tcW w:w="1908"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38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recognized on short-term investments held at June 30</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69,592 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68,186 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Realized gain on short-term investments </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 recognized on short-term investments</w:t>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69,592 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68,186 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12 – RELATED PARTY BALANCES AND TRANSACTIONS</w:t>
      </w:r>
    </w:p>
    <w:tbl>
      <w:tblPr>
        <w:tblW w:w="4529" w:type="dxa"/>
        <w:jc w:val="left"/>
        <w:tblInd w:w="0" w:type="dxa"/>
        <w:tblLayout w:type="fixed"/>
        <w:tblCellMar>
          <w:top w:w="28" w:type="dxa"/>
          <w:left w:w="28" w:type="dxa"/>
          <w:bottom w:w="28" w:type="dxa"/>
          <w:right w:w="28" w:type="dxa"/>
        </w:tblCellMar>
      </w:tblPr>
      <w:tblGrid>
        <w:gridCol w:w="874"/>
        <w:gridCol w:w="768"/>
        <w:gridCol w:w="773"/>
        <w:gridCol w:w="217"/>
        <w:gridCol w:w="480"/>
        <w:gridCol w:w="112"/>
        <w:gridCol w:w="280"/>
        <w:gridCol w:w="819"/>
        <w:gridCol w:w="206"/>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Advances to related parties</w:t>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4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21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1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0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1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0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50" w:type="dxa"/>
        <w:jc w:val="left"/>
        <w:tblInd w:w="0" w:type="dxa"/>
        <w:tblLayout w:type="fixed"/>
        <w:tblCellMar>
          <w:top w:w="28" w:type="dxa"/>
          <w:left w:w="28" w:type="dxa"/>
          <w:bottom w:w="28" w:type="dxa"/>
          <w:right w:w="28" w:type="dxa"/>
        </w:tblCellMar>
      </w:tblPr>
      <w:tblGrid>
        <w:gridCol w:w="581"/>
        <w:gridCol w:w="511"/>
        <w:gridCol w:w="512"/>
        <w:gridCol w:w="211"/>
        <w:gridCol w:w="721"/>
        <w:gridCol w:w="109"/>
        <w:gridCol w:w="253"/>
        <w:gridCol w:w="867"/>
        <w:gridCol w:w="185"/>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Accounts payable</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6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20,353 </w:t>
            </w:r>
          </w:p>
        </w:tc>
        <w:tc>
          <w:tcPr>
            <w:tcW w:w="18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29,799 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8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7309" w:type="dxa"/>
        <w:jc w:val="left"/>
        <w:tblInd w:w="0" w:type="dxa"/>
        <w:tblLayout w:type="fixed"/>
        <w:tblCellMar>
          <w:top w:w="28" w:type="dxa"/>
          <w:left w:w="28" w:type="dxa"/>
          <w:bottom w:w="28" w:type="dxa"/>
          <w:right w:w="28" w:type="dxa"/>
        </w:tblCellMar>
      </w:tblPr>
      <w:tblGrid>
        <w:gridCol w:w="738"/>
        <w:gridCol w:w="650"/>
        <w:gridCol w:w="652"/>
        <w:gridCol w:w="266"/>
        <w:gridCol w:w="909"/>
        <w:gridCol w:w="137"/>
        <w:gridCol w:w="266"/>
        <w:gridCol w:w="909"/>
        <w:gridCol w:w="137"/>
        <w:gridCol w:w="241"/>
        <w:gridCol w:w="826"/>
        <w:gridCol w:w="124"/>
        <w:gridCol w:w="241"/>
        <w:gridCol w:w="826"/>
        <w:gridCol w:w="124"/>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382"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Purchases of materials</w:t>
            </w:r>
          </w:p>
        </w:tc>
        <w:tc>
          <w:tcPr>
            <w:tcW w:w="13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21,071 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18,201 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37,772 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24,968 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22,283 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45,111 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32,999 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tbl>
      <w:tblPr>
        <w:tblW w:w="7397" w:type="dxa"/>
        <w:jc w:val="left"/>
        <w:tblInd w:w="0" w:type="dxa"/>
        <w:tblLayout w:type="fixed"/>
        <w:tblCellMar>
          <w:top w:w="28" w:type="dxa"/>
          <w:left w:w="28" w:type="dxa"/>
          <w:bottom w:w="28" w:type="dxa"/>
          <w:right w:w="28" w:type="dxa"/>
        </w:tblCellMar>
      </w:tblPr>
      <w:tblGrid>
        <w:gridCol w:w="734"/>
        <w:gridCol w:w="644"/>
        <w:gridCol w:w="647"/>
        <w:gridCol w:w="270"/>
        <w:gridCol w:w="597"/>
        <w:gridCol w:w="139"/>
        <w:gridCol w:w="139"/>
        <w:gridCol w:w="139"/>
        <w:gridCol w:w="139"/>
        <w:gridCol w:w="270"/>
        <w:gridCol w:w="789"/>
        <w:gridCol w:w="139"/>
        <w:gridCol w:w="245"/>
        <w:gridCol w:w="542"/>
        <w:gridCol w:w="126"/>
        <w:gridCol w:w="126"/>
        <w:gridCol w:w="126"/>
        <w:gridCol w:w="126"/>
        <w:gridCol w:w="245"/>
        <w:gridCol w:w="717"/>
        <w:gridCol w:w="126"/>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1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Service fee charged by</w:t>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27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Rental fee charged to </w:t>
            </w:r>
          </w:p>
        </w:tc>
        <w:tc>
          <w:tcPr>
            <w:tcW w:w="10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2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13 – COMMON STOCK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ACM is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of ACM unless such Board of Directors declares different dividends to the Class A common stock and Class B common stock, which is subject to approval from a majority of common stockholders.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June 30, 2026 and December 31, 2025, the number of shares of Class A common stock issued and outstanding was 64,651,365 and 60,590,017, respectively.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June 30, 2026 and December 31, 2025, the number of shares of Class B common stock issued and outstanding was 4,991,808 and 5,021,811,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14 – 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issued option grants for 57,800 shares and restricted stock unit ("RSU") grants of 6,208 shares to employees under its 2016 Omnibus Incentive Plan. The share-based awards are accounted for as equity awards, are subject only to service vesting conditions, and vest over a period of 4 years for employees. The Company did not grant any non-employee stock options during the three and six months ended June 30, 2026 under the 2016 Omnibus Incentive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options granted to employees is estimated on the grant date using the Black-Scholes valuation with following assumptions:</w:t>
      </w:r>
    </w:p>
    <w:tbl>
      <w:tblPr>
        <w:tblW w:w="9059" w:type="dxa"/>
        <w:jc w:val="left"/>
        <w:tblInd w:w="0" w:type="dxa"/>
        <w:tblLayout w:type="fixed"/>
        <w:tblCellMar>
          <w:top w:w="28" w:type="dxa"/>
          <w:left w:w="28" w:type="dxa"/>
          <w:bottom w:w="28" w:type="dxa"/>
          <w:right w:w="28" w:type="dxa"/>
        </w:tblCellMar>
      </w:tblPr>
      <w:tblGrid>
        <w:gridCol w:w="1200"/>
        <w:gridCol w:w="1055"/>
        <w:gridCol w:w="1059"/>
        <w:gridCol w:w="949"/>
        <w:gridCol w:w="949"/>
        <w:gridCol w:w="952"/>
        <w:gridCol w:w="845"/>
        <w:gridCol w:w="845"/>
        <w:gridCol w:w="1205"/>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share of common stock (1)</w:t>
            </w:r>
          </w:p>
        </w:tc>
        <w:tc>
          <w:tcPr>
            <w:tcW w:w="28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$48.31-$64.75</w:t>
            </w:r>
          </w:p>
        </w:tc>
        <w:tc>
          <w:tcPr>
            <w:tcW w:w="28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$24.33-$29.18</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term in years (2)</w:t>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6.25</w:t>
            </w:r>
          </w:p>
        </w:tc>
        <w:tc>
          <w:tcPr>
            <w:tcW w:w="28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5.50-6.25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Volatility (3)</w:t>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84.24%-84.46%</w:t>
            </w:r>
          </w:p>
        </w:tc>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83.14%-83.28%</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Risk-free interest rate (4)</w:t>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3.92%-4.28%</w:t>
            </w:r>
          </w:p>
        </w:tc>
        <w:tc>
          <w:tcPr>
            <w:tcW w:w="28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4.18%-4.25%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dividend (5)</w:t>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(1)Fair value of Class A common stock value was closing market price of the Class A common stock on the grant date.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(2)Expected term of share options is based on the average of the vesting period and the contractual term for each grant.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(3)Volatility is calculated based on the historical volatility of ACM in the period equal to the expected term of each grant.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(4)Risk-free interest rate is based on the yields of U.S. Treasury securities with maturities similar to the expected term of the share options in effect at the time of grant.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Expected dividend is assumed to be nil as ACM has no history or expectation of paying a dividend on its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options were granted under ACM Shanghai 2023 Option Plan during the three and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Total Stock-Based Compensation Expense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components of stock-based compensation expense included in the condensed consolidated statements of comprehensive income:</w:t>
      </w:r>
    </w:p>
    <w:tbl>
      <w:tblPr>
        <w:tblW w:w="8576" w:type="dxa"/>
        <w:jc w:val="left"/>
        <w:tblInd w:w="0" w:type="dxa"/>
        <w:tblLayout w:type="fixed"/>
        <w:tblCellMar>
          <w:top w:w="28" w:type="dxa"/>
          <w:left w:w="28" w:type="dxa"/>
          <w:bottom w:w="28" w:type="dxa"/>
          <w:right w:w="28" w:type="dxa"/>
        </w:tblCellMar>
      </w:tblPr>
      <w:tblGrid>
        <w:gridCol w:w="1277"/>
        <w:gridCol w:w="1122"/>
        <w:gridCol w:w="1125"/>
        <w:gridCol w:w="295"/>
        <w:gridCol w:w="864"/>
        <w:gridCol w:w="152"/>
        <w:gridCol w:w="295"/>
        <w:gridCol w:w="864"/>
        <w:gridCol w:w="152"/>
        <w:gridCol w:w="241"/>
        <w:gridCol w:w="824"/>
        <w:gridCol w:w="124"/>
        <w:gridCol w:w="241"/>
        <w:gridCol w:w="824"/>
        <w:gridCol w:w="176"/>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430"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Stock-based compensation expense:</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29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4,253 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w:t>
            </w:r>
          </w:p>
        </w:tc>
        <w:tc>
          <w:tcPr>
            <w:tcW w:w="115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5,355 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stock-based compensation expense</w:t>
            </w:r>
          </w:p>
        </w:tc>
        <w:tc>
          <w:tcPr>
            <w:tcW w:w="29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6,583 </w:t>
            </w:r>
          </w:p>
        </w:tc>
        <w:tc>
          <w:tcPr>
            <w:tcW w:w="15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9,770 </w:t>
            </w:r>
          </w:p>
        </w:tc>
        <w:tc>
          <w:tcPr>
            <w:tcW w:w="15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12,204 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19,587 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15 – INCOME TAXES </w:t>
      </w:r>
    </w:p>
    <w:p>
      <w:pPr>
        <w:pStyle w:val="TextBody"/>
        <w:bidi w:val="0"/>
        <w:spacing w:before="0" w:after="0"/>
        <w:jc w:val="left"/>
        <w:rPr/>
      </w:pPr>
      <w:r>
        <w:rPr/>
      </w:r>
    </w:p>
    <w:tbl>
      <w:tblPr>
        <w:tblW w:w="7313" w:type="dxa"/>
        <w:jc w:val="left"/>
        <w:tblInd w:w="0" w:type="dxa"/>
        <w:tblLayout w:type="fixed"/>
        <w:tblCellMar>
          <w:top w:w="28" w:type="dxa"/>
          <w:left w:w="28" w:type="dxa"/>
          <w:bottom w:w="28" w:type="dxa"/>
          <w:right w:w="28" w:type="dxa"/>
        </w:tblCellMar>
      </w:tblPr>
      <w:tblGrid>
        <w:gridCol w:w="821"/>
        <w:gridCol w:w="719"/>
        <w:gridCol w:w="725"/>
        <w:gridCol w:w="225"/>
        <w:gridCol w:w="851"/>
        <w:gridCol w:w="116"/>
        <w:gridCol w:w="225"/>
        <w:gridCol w:w="739"/>
        <w:gridCol w:w="116"/>
        <w:gridCol w:w="116"/>
        <w:gridCol w:w="116"/>
        <w:gridCol w:w="116"/>
        <w:gridCol w:w="236"/>
        <w:gridCol w:w="890"/>
        <w:gridCol w:w="121"/>
        <w:gridCol w:w="236"/>
        <w:gridCol w:w="773"/>
        <w:gridCol w:w="172"/>
      </w:tblGrid>
      <w:tr>
        <w:trPr/>
        <w:tc>
          <w:tcPr>
            <w:tcW w:w="82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42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income tax expense</w:t>
            </w:r>
          </w:p>
        </w:tc>
        <w:tc>
          <w:tcPr>
            <w:tcW w:w="22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(13,472)</w:t>
            </w:r>
          </w:p>
        </w:tc>
        <w:tc>
          <w:tcPr>
            <w:tcW w:w="1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w:t>
            </w:r>
          </w:p>
        </w:tc>
        <w:tc>
          <w:tcPr>
            <w:tcW w:w="1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(17,243)</w:t>
            </w:r>
          </w:p>
        </w:tc>
        <w:tc>
          <w:tcPr>
            <w:tcW w:w="1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(4,044)</w:t>
            </w:r>
          </w:p>
        </w:tc>
        <w:tc>
          <w:tcPr>
            <w:tcW w:w="17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 differs from the statutory rates of 21% for U.S. federal income tax purposes and 25% for Chinese income tax purposes primarily due to the effects of the valuation allowance and certain permanent book-tax differences, including stock-based compensation, Subpart F income, net CFC tested income (NCTI) inclusions, and the R&amp;D super deduction. As a result, the Company recorded income tax expense of $17,243 and $4,044 for the six months ended June 30, 2026 and 2025, respectively. The increase in the Company's effective tax rate for the six months ended June 30, 2026 compared with the corresponding period in 2025 was primarily attributable to a higher estimated annual effective tax rate resulting from changes in the mix of earnings by jurisdiction and the relative impact of valuation allowances and permanent tax adjustments, partially offset by favorable discrete tax items recognized during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changes to Section 174 enacted by the Tax Cuts and Jobs Act of 2017, which became effective on January 1, 2022, the Company is required to capitalize, and subsequently amortize R&amp;D expenses over fifteen years for research activities conducted outside of the U.S. The capitalization of foreign R&amp;D expenses results in an increase in the Company’s global intangible low-taxed income (“GILTI”) inclusion. The enactment of the One Big Beautiful Bill Act (“OBBBA”), signed into law in July 2025, repealed the mandatory capitalization requirement for domestic R&amp;D expenses for tax years beginning after December 31, 2025. However, the capitalization requirement for research activities conducted outside of the U.S remains unchanged.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 had total unrecognized tax benefits of $20,905 as of June 30, 2026 and December 31, 2025. If recognized, the net impact on the Company’s effective tax rate would be approximately $20,770. The Company does not expect any significant changes in its unrecognized tax benefits within the next 12 months. The Company recognizes interest and penalties related to uncertain tax provisions as a component of income tax expense. For the six months ended June 30, 2026</w:t>
      </w:r>
      <w:r>
        <w:rPr>
          <w:color w:val="000000"/>
        </w:rPr>
        <w:t xml:space="preserve"> </w:t>
      </w:r>
      <w:r>
        <w:rPr>
          <w:rFonts w:ascii="Times New Roman;serif" w:hAnsi="Times New Roman;serif"/>
          <w:b w:val="false"/>
          <w:color w:val="000000"/>
          <w:sz w:val="20"/>
        </w:rPr>
        <w:t>and 2025, the Company recognized $905 and $807, respectively, of interest and penalties.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Corporate Income Tax Law of mainland China, all of the Company’s mainland China subsidiaries are generally subject to mainland China Corporate Income Taxes at a statutory rate of 25%, except for ACM Shanghai and ACM Lingang, which qualify for preferential tax treatments. According to Guoshuihan 2009 No. 203, an entity certified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“advanced and new technology enterprise” is entitled to a preferential income tax rate of 15%. ACM Shanghai has been certified as an “advanced and new technology enterprise” in 2012 and subsequently renewed its certification in 2016, 2018, 2021, and 2024. The current certification remains effective through December 31, 2026. ACM Lingang is eligible for preferential tax incentives that provide for an exemption from income tax during its first two profitable years following the utilization of net operating loss carryforwards, followed by a reduced tax rate equal to 50% of the statutory tax rate for the subsequent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16 – COMMITMENTS AND CONTINGENCIES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$780 of open capital commitments to construction contracts.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Covenants in ACM Lingang’s Grant Contract for State-owned Construction Land Use Right in Shanghai City (Category of R&amp;D Headquarters and Industrial Projects), as amended, with the China (Shanghai) Pilot Free Trade Zone Lingang Special Area Administration require, among other things, that ACM Lingang pay liquidated damages in the event that, by December 12, 2029, the Company does not (i) generate a minimum specified amount of annual sales of products manufactured on the granted land or (ii) pay to mainland China at least 80% of RMB157.60 million ($22.8 million) in annual total taxes (including value-added taxes, corporate income tax, personal income taxes, urban maintenance and construction taxes, education surcharges, stamp taxes, and vehicle and shipping taxes) as a result of operations in connection with the granted land.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Legal Matters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subject to contingencies, including legal proceedings, investigations, and environmental claims arising out of the normal course of business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un-estimable damages.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has evaluated all proceedings and claims that existed as of June 30, 2026. In the opinion of management, no additional provision for liability nor disclosure was required as of June 30, 2026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no material outstanding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shd w:fill="FFFFFF" w:val="clear"/>
        </w:rPr>
        <w:t>NOTE 17 – SEGME</w:t>
      </w:r>
      <w:r>
        <w:rPr>
          <w:rFonts w:ascii="Times New Roman;serif" w:hAnsi="Times New Roman;serif"/>
          <w:b/>
          <w:color w:val="000000"/>
          <w:sz w:val="20"/>
        </w:rPr>
        <w:t>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identifies operating segments according to how the business activities are managed and evaluated. The Company’s chief operating decision maker (“CODM”) has been identified as ACM’s Chief Executive Officer. The Company's operating segments include ACM Research and ACM Shanghai. As the Company is engaged in the development, manufacture and sale of capital equipment to global semiconductor manufacturers, and each of the operating segments share similar economic and other qualitative characteristics, the results of the Company’s operating segments are aggregated into one reportable segment.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CODM assesses financial performance for the Company and decides how to allocate resources based on consolidated revenue, gross margin and income from operations. The CODM considers forecasts and actual results on a regular basis when assessing the operating results and making resource decisions.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expenses within income from operations, as well as within net income, include consolidated cost of revenue, sales and marketing, research and development, and general and administrative, and which are each separately presented on the Company’s condensed consolidated statements of comprehensive income. Other segment items within net income include interest income, interest expense, income from equity method investments and other expense, net, which are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2e7bb88dd6a40438a4c4d2d3f59bbb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separately presented on the Company’s condensed consolidated statements of comprehensive income. The measure of segment assets is reported on the Company’s condensed consolidated balance sheets as total assets.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by geographic location is determined by the location of customers’ facilities to which products were shipped. Long-lived assets consist primarily of property, plant and equipment, and right-of-use assets are attributed to the geographic location in which they are located.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Long-lived assets by geographic region were as follows:</w:t>
      </w:r>
    </w:p>
    <w:tbl>
      <w:tblPr>
        <w:tblW w:w="5239" w:type="dxa"/>
        <w:jc w:val="left"/>
        <w:tblInd w:w="0" w:type="dxa"/>
        <w:tblLayout w:type="fixed"/>
        <w:tblCellMar>
          <w:top w:w="28" w:type="dxa"/>
          <w:left w:w="28" w:type="dxa"/>
          <w:bottom w:w="28" w:type="dxa"/>
          <w:right w:w="28" w:type="dxa"/>
        </w:tblCellMar>
      </w:tblPr>
      <w:tblGrid>
        <w:gridCol w:w="1004"/>
        <w:gridCol w:w="884"/>
        <w:gridCol w:w="886"/>
        <w:gridCol w:w="211"/>
        <w:gridCol w:w="841"/>
        <w:gridCol w:w="109"/>
        <w:gridCol w:w="228"/>
        <w:gridCol w:w="910"/>
        <w:gridCol w:w="166"/>
      </w:tblGrid>
      <w:tr>
        <w:trPr/>
        <w:tc>
          <w:tcPr>
            <w:tcW w:w="100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 by geography:</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Mainland China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321,748 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South Korea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United States</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9,465 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409,307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340,081</w:t>
            </w: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18 – STATUTORY SURPLUS RESERVE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accordance with mainland China’s Foreign Enterprise Law, ACM Shanghai, ACM Lingang, and ACM Wuxi are required to make appropriation to reserve funds, comprising the statutory surplus reserve and discretionary surplus reserve, based on after-tax net income in accordance with generally accepted accounting principles of mainland China (“mainland China GAAP”).</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Appropriations to the statutory surplus reserve are required to be at least 10% of the after-tax net income determined in accordance with mainland China GAAP until the reserve is equal to 50% of the entities’ registered capital. The amount is calculated annually at the end of each calendar year. The balances of statutory reserve funds was $34,164 as of both June 30, 2026 and December 31, 2025, and is presented as statutory surplus reserve on the Company’s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 xml:space="preserve">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2025, or our </w:t>
      </w:r>
      <w:r>
        <w:rPr>
          <w:rFonts w:ascii="Times New Roman;serif" w:hAnsi="Times New Roman;serif"/>
          <w:b w:val="false"/>
          <w:i/>
          <w:color w:val="000000"/>
          <w:sz w:val="20"/>
        </w:rPr>
        <w:t xml:space="preserve">2025 </w:t>
      </w:r>
      <w:r>
        <w:rPr>
          <w:rFonts w:ascii="Times New Roman;serif" w:hAnsi="Times New Roman;serif"/>
          <w:b w:val="false"/>
          <w:i/>
          <w:color w:val="000000"/>
          <w:sz w:val="20"/>
          <w:shd w:fill="FFFFFF" w:val="clear"/>
        </w:rPr>
        <w:t>Annual Report. The following discussion contains forward</w:t>
        <w:noBreakHyphen/>
        <w:t>looking statements that reflect our plans, estimates, and beliefs. Our actual results could differ materially from those discussed in the forward</w:t>
        <w:noBreakHyphen/>
        <w:t>looking statements. Factors that could cause or contribute to these differences include those discussed in Part I, Item 1A. “Risk Factors” in our</w:t>
      </w:r>
      <w:r>
        <w:rPr>
          <w:color w:val="000000"/>
        </w:rPr>
        <w:t xml:space="preserve"> </w:t>
      </w:r>
      <w:r>
        <w:rPr>
          <w:rFonts w:ascii="Times New Roman;serif" w:hAnsi="Times New Roman;serif"/>
          <w:b w:val="false"/>
          <w:i/>
          <w:color w:val="000000"/>
          <w:sz w:val="20"/>
        </w:rPr>
        <w:t>2025</w:t>
      </w:r>
      <w:r>
        <w:rPr>
          <w:color w:val="000000"/>
          <w:shd w:fill="FFFFFF" w:val="clear"/>
        </w:rPr>
        <w:t xml:space="preserve"> </w:t>
      </w:r>
      <w:r>
        <w:rPr>
          <w:rFonts w:ascii="Times New Roman;serif" w:hAnsi="Times New Roman;serif"/>
          <w:b w:val="false"/>
          <w:i/>
          <w:color w:val="000000"/>
          <w:sz w:val="20"/>
          <w:shd w:fill="FFFFFF" w:val="clear"/>
        </w:rPr>
        <w:t>Annual Report, as well as those discussed below and elsewhere in this report, particularly in the section titled “Item 1A – Risk Factors” in Part II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corporation formed by ACM Research in the People’s Republic of China, or mainland China, in 2005. Unless the context requires otherwise, references in this report to “our company,” “our,” “us,” “we” and similar terms refer to ACM Research, Inc. and its subsidiaries, including ACM Shanghai, collectively.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principal corporate office is located in Fremont, California. We conduct a substantial majority of our product development, manufacturing, support and services in mainland China through ACM Shanghai. We perform, through a subsidiary of ACM Shanghai, additional product development and subsystem production in Korea, and we conduct, through ACM Research, sales and marketing activities focused on sales of ACM Shanghai products in North America, Europe and certain regions in Asia outside mainland China.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ACM Research is not a mainland China operating company, and we do not conduct our operations in mainland China through the use of a variable interest entity, or VIE, or any other structure designed for the purpose of avoiding mainland China legal restrictions on direct foreign investments in mainland China-based companies. ACM Research has a direct ownership interest in ACM Shanghai as the result of its holding 73.2% of the outstanding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the Cyberspace Administration of China, or any other mainland China central government authority in order to continue to list shares of Class A common stock of ACM Research on the Nasdaq Global Select Market. This determination was based on the facts aforementioned and mainland China Company Law, mainland China Securities Law, cybersecurity regulations and other relevant laws, regulations and regulatory requirements in mainland China currently in effect. However, if this determination proves to be incorrect, then it could have a material adverse effect on ACM Research. See “Item IA. Risk Factors—Risks Related to International Aspects of Our Business—If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 in our 2025 Annual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in the ordinary course of business, ACM Shanghai is required to obtain certain operating permits and licenses necessary for it to operate in mainland China, including business licenses, certifications relating to quality management standards, import and export-related qualifications from customs, as well as environmental and construction permits, licenses and approvals relating to construction projects. We believe ACM Shanghai has all such required permits and licenses. However, from time to time mainland China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mainland China regulatory authorities, and it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6, 2026, ACM completed the sale of approximately 4.8 million shares of ACM Shanghai at a price of RMB160.00 per share (approximately $23.05 per share based on the exchange rate in effect on the date of the sale), generating approximately $110.2 million in gross proceeds and approximately $86 million net of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12, 2026, ACM Shanghai's employees exercised 2,431,900 options for shares of ACM Shanghai stock. Following this transactions, ACM’s ownership percentage in ACM Shanghai decreased from 73.6% as of March 31, 2025 to 73.2% as of June 30,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chart depicts our corporate organization as of June 30, 2026:</w:t>
      </w:r>
    </w:p>
    <w:p>
      <w:pPr>
        <w:pStyle w:val="TextBody"/>
        <w:bidi w:val="0"/>
        <w:spacing w:before="0" w:after="0"/>
        <w:jc w:val="both"/>
        <w:rPr/>
      </w:pPr>
      <w:r>
        <w:rPr/>
        <w:drawing>
          <wp:inline distT="0" distB="0" distL="0" distR="0">
            <wp:extent cx="6286500" cy="2343150"/>
            <wp:effectExtent l="0" t="0" r="0" b="0"/>
            <wp:docPr id="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 descr=""/>
                    <pic:cNvPicPr>
                      <a:picLocks noChangeAspect="1" noChangeArrowheads="1"/>
                    </pic:cNvPicPr>
                  </pic:nvPicPr>
                  <pic:blipFill>
                    <a:blip r:embed="rId3"/>
                    <a:stretch>
                      <a:fillRect/>
                    </a:stretch>
                  </pic:blipFill>
                  <pic:spPr bwMode="auto">
                    <a:xfrm>
                      <a:off x="0" y="0"/>
                      <a:ext cx="6286500" cy="2343150"/>
                    </a:xfrm>
                    <a:prstGeom prst="rect">
                      <a:avLst/>
                    </a:prstGeom>
                  </pic:spPr>
                </pic:pic>
              </a:graphicData>
            </a:graphic>
          </wp:inline>
        </w:drawing>
      </w:r>
      <w:bookmarkStart w:id="1" w:name="i-2"/>
      <w:bookmarkEnd w:id="1"/>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 detailed description of how cash is transferred through our organization is set forth under “Note 2 – Summary of Significant Accounting Policies – Cash and Cash Equivalents” to </w:t>
      </w:r>
      <w:r>
        <w:rPr>
          <w:rFonts w:ascii="Times New Roman;serif" w:hAnsi="Times New Roman;serif"/>
          <w:b w:val="false"/>
          <w:color w:val="000000"/>
          <w:sz w:val="20"/>
        </w:rPr>
        <w:t>the Condensed Consolidated Financial Statements of</w:t>
      </w:r>
      <w:r>
        <w:rPr>
          <w:color w:val="000000"/>
          <w:shd w:fill="FFFFFF" w:val="clear"/>
        </w:rPr>
        <w:t xml:space="preserve"> </w:t>
      </w:r>
      <w:r>
        <w:rPr>
          <w:rFonts w:ascii="Times New Roman;serif" w:hAnsi="Times New Roman;serif"/>
          <w:b w:val="false"/>
          <w:color w:val="000000"/>
          <w:sz w:val="20"/>
          <w:shd w:fill="FFFFFF" w:val="clear"/>
        </w:rPr>
        <w:t>this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 Holding Foreign Companies Accountable Act, or the HFCA Act, requires that the Public Company Accounting Oversight Board, or the PCAOB, determine whether it is unable to inspect or investigate completely registered public accounting firms located in a non-U.S. jurisdiction because of a position taken by one or more authorities in any non-U.S. jurisdiction. Under current regulations, if ACM Research were to be included on the SEC's "Conclusive list of issuers identified under the HFCA Act"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 See “Item 1A. Risk Factors—Risks Related to International Aspects of Our Business—We could be adversely affected if we are unable to comply with legislation and regulations regarding improved access to audit and other information and audit inspections of accounting firms, including registered public accounting firms, such as our prior and current audit firms, operating in mainland China” in our 2025 Annual Report for more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on December 2, 2024, the U.S. Department of Commerce’s Bureau of Industry and Security (“BIS”) promulgated a final rule naming a number of companies to the BIS Entity List (the "BIS Entity List"). Among the 140 companies added to the BIS Entity List were two subsidiaries of ACM Research, ACM Shanghai, located in the People’s Republic of China, and ACM Korea, a direct subsidiary of ACM Shanghai, which is located in the Republic of Korea, and other related entities. In general terms, the new BIS Entity List designations prohibit any party worldwide from furnishing hardware, software, or technologies that are subject to U.S. export controls jurisdiction, directly or indirectly to ACM Shanghai or ACM Korea without obtaining authorization. See “Item 1A. Risk Factors—Regulatory Risks—Our operations in mainland China and Korea, including the import of components, technology, and activities of U.S. personnel therein, may be further impacted by the addition of ACM Shanghai, ACM Korea and related entities to the BIS Entity List” in our 2025 Annual Report for more information.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15, 2024, the U.S. Department of the Treasury published a final rule implementing a framework for the regulation of outbound foreign investment from the United States. The new program, known as the Outbound Investment Security Program (“OISP”) was codified in the United States Code of Federal Regulations at 31 C.F.R. Part 850, effective as of January 2, 2025. The OISP was amended by the Comprehensive Outbound Investment National Security Act (“COINS Act”) which was signed into law on December 18, 2025, although the provisions of the COINS Act will not come into effect until the Department of the Treasury issues implementing regulations, which by law must occur by March 2027. The OISP marks a shift in U.S. economic policy, as historically the United States government declined to restrict outbound investment from the United States for national security reasons. Going forward, the investment activities of multinational companies, including ACM Research are subject to both CFIUS and OISP requirements, which together will limit cross-border investment opportunities, especially as they relate to China. The OISP regulations in effect today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 interpreted to restrict certain types of private investment in ACM Research in the United States, although these measures do not impact investment in ACM Research’s publicly traded securities. The COINS Act reverses the possible application of the OISP to certain U.S. companies, including ACM Research, and therefore it appears ACM Research will not be subject to the OISP’s private investment restrictions once the provisions of the COINS Act enter into force in 2026 or 2027. See “Item 1A. Risk Factors—Regulatory Risks—The U.S. Government has implemented an outbound investment review mechanism, which may prevent us from taking advantage of investment opportunities hat could otherwise be advantageous to our stockholders” in our 2025 Annual Report for more information.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matters discussed above, we are also subject to a number of legal and operational risks associated with our corporate structure, including, as the result of a substantial portion of our operations being conducted in mainland China. Consequences of any of those risks could result in a material adverse change in our operations or cause the value of ACM Research Class A common stock to significantly decline in value or become worthless. Please carefully read the information included in “Item 1A. Risk Factors” in our 2025 Annual Report, in particular, the risk factors addressing the following issues:</w:t>
      </w:r>
    </w:p>
    <w:p>
      <w:pPr>
        <w:pStyle w:val="TextBody"/>
        <w:bidi w:val="0"/>
        <w:spacing w:before="0" w:after="0"/>
        <w:jc w:val="left"/>
        <w:rPr/>
      </w:pPr>
      <w:r>
        <w:rPr/>
      </w:r>
    </w:p>
    <w:p>
      <w:pPr>
        <w:pStyle w:val="TextBody"/>
        <w:bidi w:val="0"/>
        <w:spacing w:lineRule="auto" w:line="288" w:before="0" w:after="0"/>
        <w:ind w:left="0" w:right="0" w:hanging="270"/>
        <w:jc w:val="both"/>
        <w:rPr>
          <w:color w:val="000000"/>
        </w:rPr>
      </w:pPr>
      <w:r>
        <w:rPr>
          <w:color w:val="000000"/>
        </w:rPr>
        <w:t xml:space="preserve">• </w:t>
      </w:r>
      <w:r>
        <w:rPr>
          <w:rFonts w:ascii="Times New Roman;serif" w:hAnsi="Times New Roman;serif"/>
          <w:b w:val="false"/>
          <w:color w:val="000000"/>
          <w:sz w:val="20"/>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such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Mainland China central government authorities may intervene in, or influence, ACM Shanghai’s mainland China-based operations at any time, and those authorities’ rules and regulations in mainland China can change quickly with little or no advance notice.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mainland China central government may determine to exert additional control over offerings conducted overseas or foreign investment in mainland China-based issuers, which could result in a material change in operations of ACM Shanghai and cause significant declines in the value of ACM Research Class A common stock, or make them worthless.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Recent statements and regulatory actions by mainland China central government authorities with respect to the use of VIEs and to data security and anti-monopoly concerns have not affected our ability to conduct our business operations in China. For further information, see “Item 1A. Risk Factors —Risks Related to International Aspects of Our Business”</w:t>
      </w:r>
      <w:r>
        <w:rPr>
          <w:color w:val="000000"/>
        </w:rPr>
        <w:t xml:space="preserve"> </w:t>
      </w:r>
      <w:r>
        <w:rPr>
          <w:rFonts w:ascii="Times New Roman;serif" w:hAnsi="Times New Roman;serif"/>
          <w:b w:val="false"/>
          <w:color w:val="000000"/>
          <w:sz w:val="20"/>
        </w:rPr>
        <w:t>of our 2025 Annual Report for more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Since 2009 we have</w:t>
      </w:r>
      <w:r>
        <w:rPr>
          <w:color w:val="000000"/>
        </w:rPr>
        <w:t xml:space="preserve"> </w:t>
      </w:r>
      <w:r>
        <w:rPr>
          <w:rFonts w:ascii="Times New Roman;serif" w:hAnsi="Times New Roman;serif"/>
          <w:b w:val="false"/>
          <w:color w:val="000000"/>
          <w:sz w:val="20"/>
        </w:rPr>
        <w:t>delivered more than 1,590 tools to our customers, more than 1,430 of which were repeat orders or acceptances upon contractual performance obligations that have been met and thereby generated revenue to us. The balance of the delivered tools is subject to the customer's acceptance of the tool upon the tool's satisfaction of applicable contractual requirements or subject to the customer's subsequent discretionary commitment to purchase the tool. To date, substantially all of our sales of equipment for semiconductor-manufacturing have been to customers located in Asia, and we anticipate that a substantial majority of our revenue from these products will continue to come from customers located in this region for the foreseeable future. We have begun to add to our efforts to further address customers in North Americ</w:t>
      </w:r>
      <w:r>
        <w:rPr>
          <w:rFonts w:ascii="Times New Roman;serif" w:hAnsi="Times New Roman;serif"/>
          <w:b w:val="false"/>
          <w:color w:val="000000"/>
          <w:sz w:val="20"/>
          <w:shd w:fill="FFFFFF" w:val="clear"/>
        </w:rPr>
        <w:t>a, Western Europe and Southeast Asia, by expanding our direct sales teams and increasing our global marketing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estimate, based on third-party reports, customer feedback and other information, that our current product portfolio addresses approximately $22 billion of the 2025 global wafer fab equipment, or WFE, market. By product line, we estimate an approximately $7.4 billion market opportunity is addressed by our wafer cleaning equipment, $6.2 billion by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Plasma-Enhanced Chemical Vapor Deposition, or PECVD, equipment, $3.5 billion by our Track equipment, $1.7 billion by our furnace equipment, $1.8 billion by our electro-chemical plating, or ECP, equipment, and $1.5 billion by our stress-free polishing, advanced packaging, wafer processing, and other processing equipment.</w:t>
      </w:r>
    </w:p>
    <w:p>
      <w:pPr>
        <w:pStyle w:val="TextBody"/>
        <w:bidi w:val="0"/>
        <w:spacing w:lineRule="auto" w:line="288" w:before="0" w:after="0"/>
        <w:jc w:val="both"/>
        <w:rPr/>
      </w:pPr>
      <w:r>
        <w:rPr>
          <w:rFonts w:ascii="Times New Roman;serif" w:hAnsi="Times New Roman;serif"/>
          <w:b w:val="false"/>
          <w:color w:val="000000"/>
          <w:sz w:val="20"/>
        </w:rPr>
        <w:t>Frost &amp; Sullivan estimates the total worldwide semiconductor equipment market grew by 16.3% from $122.2 billion in 2024 to $142.1 billion in 2025, and is expected to increase by 7.3% to $152.5 billion in 2026. Frost &amp; Sullivan estimates the China semiconductor equipment market increased by 11.8%, from $46.8 billion in 2024 to $52.3 billion in 2025, and is expected to increase by 10.1% to $57.6 billion in 2026</w:t>
      </w:r>
      <w:r>
        <w:rPr>
          <w:rFonts w:ascii="Times New Roman;serif" w:hAnsi="Times New Roman;serif"/>
          <w:b w:val="false"/>
          <w:color w:val="000000"/>
          <w:sz w:val="13"/>
        </w:rPr>
        <w:t>1</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ACM Registered Direct Offering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12, 2026, we entered into a Securities Purchase Agreement (the “Securities Purchase Agreement”) with certain U.S. institutional investors named therein managed by Tekne Capital Management, LLC (the “Investors”). Pursuant to the Securities Purchase Agreement, we agreed to issue and sell to the Investors in a registered direct offering (the “Direct Offering”) an aggregate of 2,884,615 shares (the “Direct Offering Shares”) of our Class A common stock at an offering price of $52.00 per Direct Offering Share pursuant to an effective shelf registration statement on Form S-3 (File No. 333-278041) and a related prospectus supplement filed with the SEC on May 12, 2026. The transaction closed on May 15, 2026 and generated proceeds of approximately $148.4 million, net of issuance costs.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ACM Shanghai Proposed IPO listing on The Stock Exchange of Hong Kong Limited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May 26, 2026, ACM Shanghai issued an announcement (the “Announcement”) to the SSE regarding the Resolutions of the Fifth Meeting of the Third Board of Directors. At the meeting, the board of directors of ACM Shanghai approved, among other matters, the proposal on the offering of H shares and listing on the Main Board of The Stock Exchange of Hong Kong Limited (the “H Share Listing”) and, on an item-by-item basis, the proposal on the plan for the H Share Listing. These proposals have been approved by ACM Shanghai’s board of directors and remain subject to approval by its shareholders. Pursuant to the approved plan, ACM Shanghai proposes to issue H shares representing no more than 7% of its total issued share capital upon completion of the proposed offering (prior to the exercise of any over-allotment option), and may grant the overall coordinators an over-allotment option to purchase up to 15% of the number of H shares initially offered. The H shares to be issued will be ordinary shares of H share class, with a par value of RMB 1.00 per share, to be listed and traded on the Main Board of The Stock Exchange of Hong Kong Limited. Net proceeds from the proposed H Share Listing, after deduction of offering expenses, are intended to be used for purposes including, but not limited to, further product development and enhancement of independent research and development capabilities, improvement of global market expansion and service capabilities, replenishment of general working capital and repayment of bank loans. The proposed H Share Listing remains subject to market conditions and the obtaining of necessary filings, approvals and/or other regulatory clearances, including those from the China Securities Regulatory Commission, The Stock Exchange of Hong Kong Limited and the Securities and Futures Commission of Hong Kong.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ACM Shanghai Facility Purchase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5, 2026, we purchased a facility consisting of 3,196-square-meters of general-purpose office space located in Shanghai’s Pudong New Area for RMB 312.7 million ($45.9 million). To partially finance the purchase, we entered into a loan agreement with the Bank of China in the loan amount of RMB 231.5 million ($34.0 million) at a 2.65% interest rate, with a repayment term of 120 months. The facility was subsequently pledged as security for loan from the Bank of China in July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Mainland China Government Research and Development Funding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Since 2008, ACM Shanghai has received various government grants for the development and commercialization of certain technologies, and the development of the R&amp;D and production center in the Lingang Special Area of Shanghai.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The information contains statistical data and estimates, including forecasts, that are based on information provided by Frost &amp; Sullivan, "Global and China Semiconductor Equipment Market Research, June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governmental grants contain certain operating conditions, and we are required to complete a government due diligence process once the project is complete. The grants therefore are recorded as long-term liabilities upon receipt, although we are not required to return any funds received by ACM Shanghai.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Grant amounts are recognized in our condensed consolidated statements of comprehensive income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Government subsidies relating to current expenses are recorded as reductions of those expenses in the periods in which the current expenses are recorded. Such subsidies included in our condensed consolidated statements of comprehensive income were both $0.5 million, in each of the three months ended June 30, 2026 and 2025, respectively, and $1.1 million and $0.8 million in the six months ended June 30, 2026 and 2025, respectively.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Government subsidies related to depreciable assets are credited to income over the useful lives of the related assets for which the grant was received. Government subsidies related to VAT reduction are credited to income in the period received. Such subsidies included in our condensed consolidated statements of comprehensive income were $1.2 million and $0.4 million, in the three months ended June 30, 2026 and 2025, respectively, and $1.4 million and $0.7 million in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Accounting Pronouncements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 discussion of recent accounting pronouncements is included in our </w:t>
      </w:r>
      <w:r>
        <w:rPr>
          <w:rFonts w:ascii="Times New Roman;serif" w:hAnsi="Times New Roman;serif"/>
          <w:b w:val="false"/>
          <w:color w:val="000000"/>
          <w:sz w:val="20"/>
        </w:rPr>
        <w:t xml:space="preserve">2025 Annual </w:t>
      </w:r>
      <w:r>
        <w:rPr>
          <w:rFonts w:ascii="Times New Roman;serif" w:hAnsi="Times New Roman;serif"/>
          <w:b w:val="false"/>
          <w:color w:val="000000"/>
          <w:sz w:val="20"/>
          <w:shd w:fill="FFFFFF" w:val="clear"/>
        </w:rPr>
        <w:t xml:space="preserve">Report and is updated in </w:t>
      </w:r>
      <w:r>
        <w:rPr>
          <w:rFonts w:ascii="Times New Roman;serif" w:hAnsi="Times New Roman;serif"/>
          <w:b w:val="false"/>
          <w:color w:val="000000"/>
          <w:sz w:val="20"/>
        </w:rPr>
        <w:t>Note</w:t>
      </w:r>
      <w:r>
        <w:rPr>
          <w:color w:val="000000"/>
          <w:shd w:fill="FFFFFF" w:val="clear"/>
        </w:rPr>
        <w:t xml:space="preserve"> </w:t>
      </w:r>
      <w:r>
        <w:rPr>
          <w:rFonts w:ascii="Times New Roman;serif" w:hAnsi="Times New Roman;serif"/>
          <w:b w:val="false"/>
          <w:color w:val="000000"/>
          <w:sz w:val="20"/>
          <w:shd w:fill="FFFFFF" w:val="clear"/>
        </w:rPr>
        <w:t>2 to the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Income Attributable to Non-Controlling Interests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non-controlling interests is attributable to the minority holders of shares of ACM Shanghai stock. As a result, we reflect the portion of our net income allocable to the minority holders of ACM Shanghai shares as net income attributable to non-controlling interests. As of June 30, 2026, ACM Research held 73.2% of ACM Shanghai’s outstanding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preparing our condensed consolidated financial statements in conformity with GAAP, we make assumptions, judgments and estimates in applying our accounting policies that can have a significant impact on our revenue, operating income and net income, as well as on the value of certain assets and liabilities on our condensed consolidated balance sheets. We base our assumptions, judgments and estimates on historical experience and various other factors that we believe to be reasonable under the circumstances. At least quarterly, we evaluate our assumptions, judgments and estimates and make changes as deemed necessary. Actual results could differ materially from these estimates under different assumptions or conditions.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the assumptions, judgments and estimates involved in the accounting for the following accounting policies have the greatest potential impact on our condensed consolidated financial statements, and we therefore consider these to be our critical accounting estimates. For information on our significant accounting policies, see Note 2 in the notes to condensed consolidated financial statements in Part I, Item 1 of this report and in the Notes to Condensed Consolidated Financial Statements in Part II, Item 8 of our 2025 Annual Report, describe the significant accounting policies and methods used in the preparation of the Company’s condensed consolidated financial statements. There have been no material changes to the Company’s critical accounting estimates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Results of Operations</w:t>
      </w:r>
    </w:p>
    <w:p>
      <w:pPr>
        <w:pStyle w:val="TextBody"/>
        <w:bidi w:val="0"/>
        <w:spacing w:lineRule="auto" w:line="288" w:before="240" w:after="283"/>
        <w:jc w:val="both"/>
        <w:rPr/>
      </w:pPr>
      <w:r>
        <w:rPr>
          <w:rFonts w:ascii="Times New Roman;serif" w:hAnsi="Times New Roman;serif"/>
          <w:b w:val="false"/>
          <w:color w:val="000000"/>
          <w:sz w:val="20"/>
          <w:shd w:fill="FFFFFF" w:val="clear"/>
        </w:rPr>
        <w:t>The following table sets forth our results of operations for the periods presented,</w:t>
      </w:r>
      <w:r>
        <w:rPr>
          <w:color w:val="000000"/>
        </w:rPr>
        <w:t xml:space="preserve"> </w:t>
      </w:r>
      <w:r>
        <w:rPr>
          <w:rFonts w:ascii="Times New Roman;serif" w:hAnsi="Times New Roman;serif"/>
          <w:b w:val="false"/>
          <w:color w:val="000000"/>
          <w:sz w:val="20"/>
        </w:rPr>
        <w:t>as percentages of revenue:</w:t>
      </w:r>
    </w:p>
    <w:tbl>
      <w:tblPr>
        <w:tblW w:w="10205" w:type="dxa"/>
        <w:jc w:val="left"/>
        <w:tblInd w:w="0" w:type="dxa"/>
        <w:tblLayout w:type="fixed"/>
        <w:tblCellMar>
          <w:top w:w="28" w:type="dxa"/>
          <w:left w:w="28" w:type="dxa"/>
          <w:bottom w:w="28" w:type="dxa"/>
          <w:right w:w="28" w:type="dxa"/>
        </w:tblCellMar>
      </w:tblPr>
      <w:tblGrid>
        <w:gridCol w:w="1563"/>
        <w:gridCol w:w="1377"/>
        <w:gridCol w:w="1407"/>
        <w:gridCol w:w="352"/>
        <w:gridCol w:w="264"/>
        <w:gridCol w:w="489"/>
        <w:gridCol w:w="196"/>
        <w:gridCol w:w="196"/>
        <w:gridCol w:w="196"/>
        <w:gridCol w:w="352"/>
        <w:gridCol w:w="264"/>
        <w:gridCol w:w="489"/>
        <w:gridCol w:w="109"/>
        <w:gridCol w:w="109"/>
        <w:gridCol w:w="109"/>
        <w:gridCol w:w="352"/>
        <w:gridCol w:w="264"/>
        <w:gridCol w:w="443"/>
        <w:gridCol w:w="178"/>
        <w:gridCol w:w="178"/>
        <w:gridCol w:w="178"/>
        <w:gridCol w:w="352"/>
        <w:gridCol w:w="264"/>
        <w:gridCol w:w="524"/>
      </w:tblGrid>
      <w:tr>
        <w:trPr/>
        <w:tc>
          <w:tcPr>
            <w:tcW w:w="156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4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Gross margin</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Sales and marketing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Research and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operating expenses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4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4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4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from operations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short-term investments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before income taxes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4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4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4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Net income</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4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4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4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attributable to ACM Research, Inc.</w:t>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4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4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5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Three Months Ended June 30, 2026 and 2025</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Revenue</w:t>
      </w:r>
    </w:p>
    <w:tbl>
      <w:tblPr>
        <w:tblW w:w="10205" w:type="dxa"/>
        <w:jc w:val="left"/>
        <w:tblInd w:w="0" w:type="dxa"/>
        <w:tblLayout w:type="fixed"/>
        <w:tblCellMar>
          <w:top w:w="28" w:type="dxa"/>
          <w:left w:w="28" w:type="dxa"/>
          <w:bottom w:w="28" w:type="dxa"/>
          <w:right w:w="28" w:type="dxa"/>
        </w:tblCellMar>
      </w:tblPr>
      <w:tblGrid>
        <w:gridCol w:w="1521"/>
        <w:gridCol w:w="1323"/>
        <w:gridCol w:w="1330"/>
        <w:gridCol w:w="211"/>
        <w:gridCol w:w="841"/>
        <w:gridCol w:w="109"/>
        <w:gridCol w:w="109"/>
        <w:gridCol w:w="109"/>
        <w:gridCol w:w="109"/>
        <w:gridCol w:w="211"/>
        <w:gridCol w:w="841"/>
        <w:gridCol w:w="109"/>
        <w:gridCol w:w="109"/>
        <w:gridCol w:w="109"/>
        <w:gridCol w:w="109"/>
        <w:gridCol w:w="308"/>
        <w:gridCol w:w="308"/>
        <w:gridCol w:w="652"/>
        <w:gridCol w:w="109"/>
        <w:gridCol w:w="109"/>
        <w:gridCol w:w="109"/>
        <w:gridCol w:w="268"/>
        <w:gridCol w:w="994"/>
        <w:gridCol w:w="198"/>
      </w:tblGrid>
      <w:tr>
        <w:trPr/>
        <w:tc>
          <w:tcPr>
            <w:tcW w:w="152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1"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Single wafer cleaning, Tahoe and semi-critical cleaning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(21,983)</w:t>
            </w:r>
          </w:p>
        </w:tc>
        <w:tc>
          <w:tcPr>
            <w:tcW w:w="1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ECP (front-end and packaging), furnace and other technologies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80,530 </w:t>
            </w:r>
          </w:p>
        </w:tc>
        <w:tc>
          <w:tcPr>
            <w:tcW w:w="19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packaging (excluding ECP), services &amp; spares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19,000 </w:t>
            </w:r>
          </w:p>
        </w:tc>
        <w:tc>
          <w:tcPr>
            <w:tcW w:w="1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 by Product Category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292,919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215,372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36.0</w:t>
            </w:r>
            <w:r>
              <w:rPr>
                <w:color w:val="000000"/>
              </w:rPr>
              <w:t> </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77,547</w:t>
            </w:r>
            <w:r>
              <w:rPr>
                <w:color w:val="000000"/>
              </w:rPr>
              <w:t> </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revenue for three months ended June 30, 2026 as compared to the same period in 2025 reflects higher sales of ECP (front-end and packaging), furnace and other technologies, and Advanced packaging (excluding ECP), services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spares, partially offset by lower sales of single wafer cleaning, Tahoe and semi-critical cleaning equipment. We attribute the increase to a longer-term commitment by our mainland China-based customers to increase production capacity to achieve a greater share of the global semiconductor market together with the market share changes and product cycles.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 and Gross Margin</w:t>
      </w:r>
    </w:p>
    <w:tbl>
      <w:tblPr>
        <w:tblW w:w="7797" w:type="dxa"/>
        <w:jc w:val="left"/>
        <w:tblInd w:w="0" w:type="dxa"/>
        <w:tblLayout w:type="fixed"/>
        <w:tblCellMar>
          <w:top w:w="28" w:type="dxa"/>
          <w:left w:w="28" w:type="dxa"/>
          <w:bottom w:w="28" w:type="dxa"/>
          <w:right w:w="28" w:type="dxa"/>
        </w:tblCellMar>
      </w:tblPr>
      <w:tblGrid>
        <w:gridCol w:w="506"/>
        <w:gridCol w:w="444"/>
        <w:gridCol w:w="446"/>
        <w:gridCol w:w="211"/>
        <w:gridCol w:w="826"/>
        <w:gridCol w:w="271"/>
        <w:gridCol w:w="109"/>
        <w:gridCol w:w="109"/>
        <w:gridCol w:w="109"/>
        <w:gridCol w:w="211"/>
        <w:gridCol w:w="826"/>
        <w:gridCol w:w="271"/>
        <w:gridCol w:w="109"/>
        <w:gridCol w:w="109"/>
        <w:gridCol w:w="109"/>
        <w:gridCol w:w="263"/>
        <w:gridCol w:w="263"/>
        <w:gridCol w:w="659"/>
        <w:gridCol w:w="109"/>
        <w:gridCol w:w="109"/>
        <w:gridCol w:w="109"/>
        <w:gridCol w:w="314"/>
        <w:gridCol w:w="1076"/>
        <w:gridCol w:w="229"/>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158,301 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110,911 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47,390 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30,157 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bps</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Cost of revenue and gross profit increased due to the increased sales volume together with a decrease in gross margin. The decrease in gross margin versus the prior-year period was primarily due to revenue mix between product categories</w:t>
      </w:r>
      <w:r>
        <w:rPr>
          <w:rFonts w:ascii="Times New Roman;serif" w:hAnsi="Times New Roman;serif"/>
          <w:b w:val="false"/>
          <w:color w:val="000000"/>
          <w:sz w:val="20"/>
          <w:shd w:fill="FFFFFF" w:val="clear"/>
        </w:rPr>
        <w:t>. Gross margin may vary from period to period, primarily related to the level of utilization and the timing and mix of revenue. We expect gross margin to be between 42.0% and 48.0% for the foreseeable future.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bl>
      <w:tblPr>
        <w:tblW w:w="9094" w:type="dxa"/>
        <w:jc w:val="left"/>
        <w:tblInd w:w="0" w:type="dxa"/>
        <w:tblLayout w:type="fixed"/>
        <w:tblCellMar>
          <w:top w:w="28" w:type="dxa"/>
          <w:left w:w="28" w:type="dxa"/>
          <w:bottom w:w="28" w:type="dxa"/>
          <w:right w:w="28" w:type="dxa"/>
        </w:tblCellMar>
      </w:tblPr>
      <w:tblGrid>
        <w:gridCol w:w="1093"/>
        <w:gridCol w:w="960"/>
        <w:gridCol w:w="963"/>
        <w:gridCol w:w="230"/>
        <w:gridCol w:w="785"/>
        <w:gridCol w:w="118"/>
        <w:gridCol w:w="118"/>
        <w:gridCol w:w="118"/>
        <w:gridCol w:w="118"/>
        <w:gridCol w:w="230"/>
        <w:gridCol w:w="785"/>
        <w:gridCol w:w="118"/>
        <w:gridCol w:w="109"/>
        <w:gridCol w:w="109"/>
        <w:gridCol w:w="109"/>
        <w:gridCol w:w="263"/>
        <w:gridCol w:w="263"/>
        <w:gridCol w:w="659"/>
        <w:gridCol w:w="109"/>
        <w:gridCol w:w="109"/>
        <w:gridCol w:w="109"/>
        <w:gridCol w:w="314"/>
        <w:gridCol w:w="1076"/>
        <w:gridCol w:w="229"/>
      </w:tblGrid>
      <w:tr>
        <w:trPr/>
        <w:tc>
          <w:tcPr>
            <w:tcW w:w="10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w:t>
            </w:r>
          </w:p>
        </w:tc>
        <w:tc>
          <w:tcPr>
            <w:tcW w:w="23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23,778 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22,102 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18,843 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16,848 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84,875 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72,767 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6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12,108 </w:t>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Sales and marketing expense</w:t>
      </w:r>
      <w:r>
        <w:rPr>
          <w:color w:val="000000"/>
          <w:shd w:fill="FFFFFF" w:val="clear"/>
        </w:rPr>
        <w:t xml:space="preserve"> </w:t>
      </w:r>
      <w:r>
        <w:rPr>
          <w:rFonts w:ascii="Times New Roman;serif" w:hAnsi="Times New Roman;serif"/>
          <w:b w:val="false"/>
          <w:color w:val="000000"/>
          <w:sz w:val="20"/>
          <w:shd w:fill="FFFFFF" w:val="clear"/>
        </w:rPr>
        <w:t xml:space="preserve">increased </w:t>
      </w:r>
      <w:r>
        <w:rPr>
          <w:rFonts w:ascii="Times New Roman;serif" w:hAnsi="Times New Roman;serif"/>
          <w:b w:val="false"/>
          <w:color w:val="000000"/>
          <w:sz w:val="20"/>
        </w:rPr>
        <w:t xml:space="preserve">due to a $1.5 million increase in commissions, professional services, and other expenses, and a $1.0 million increase in personnel costs, offset by a $0.8 million decrease in stock-based compensation. </w:t>
      </w:r>
      <w:r>
        <w:rPr>
          <w:rFonts w:ascii="Times New Roman;serif" w:hAnsi="Times New Roman;serif"/>
          <w:b w:val="false"/>
          <w:color w:val="000000"/>
          <w:sz w:val="20"/>
          <w:shd w:fill="FFFFFF" w:val="clear"/>
        </w:rPr>
        <w:t xml:space="preserve">We expect that, for the foreseeable future, sales and marketing </w:t>
      </w:r>
      <w:r>
        <w:rPr>
          <w:rFonts w:ascii="Times New Roman;serif" w:hAnsi="Times New Roman;serif"/>
          <w:b w:val="false"/>
          <w:color w:val="000000"/>
          <w:sz w:val="20"/>
        </w:rPr>
        <w:t>expense</w:t>
      </w:r>
      <w:r>
        <w:rPr>
          <w:color w:val="000000"/>
          <w:shd w:fill="FFFFFF" w:val="clear"/>
        </w:rPr>
        <w:t xml:space="preserve"> </w:t>
      </w:r>
      <w:r>
        <w:rPr>
          <w:rFonts w:ascii="Times New Roman;serif" w:hAnsi="Times New Roman;serif"/>
          <w:b w:val="false"/>
          <w:color w:val="000000"/>
          <w:sz w:val="20"/>
          <w:shd w:fill="FFFFFF" w:val="clear"/>
        </w:rPr>
        <w:t xml:space="preserve">will increase in </w:t>
      </w:r>
      <w:r>
        <w:rPr>
          <w:rFonts w:ascii="Times New Roman;serif" w:hAnsi="Times New Roman;serif"/>
          <w:b w:val="false"/>
          <w:color w:val="000000"/>
          <w:sz w:val="20"/>
        </w:rPr>
        <w:t xml:space="preserve">absolute </w:t>
      </w:r>
      <w:r>
        <w:rPr>
          <w:rFonts w:ascii="Times New Roman;serif" w:hAnsi="Times New Roman;serif"/>
          <w:b w:val="false"/>
          <w:color w:val="000000"/>
          <w:sz w:val="20"/>
          <w:shd w:fill="FFFFFF" w:val="clear"/>
        </w:rPr>
        <w:t xml:space="preserve">dollars, as we </w:t>
      </w:r>
      <w:r>
        <w:rPr>
          <w:rFonts w:ascii="Times New Roman;serif" w:hAnsi="Times New Roman;serif"/>
          <w:b w:val="false"/>
          <w:color w:val="000000"/>
          <w:sz w:val="20"/>
        </w:rPr>
        <w:t>continue to invest in sales and marketing by hiring</w:t>
      </w:r>
      <w:r>
        <w:rPr>
          <w:color w:val="000000"/>
          <w:shd w:fill="FFFFFF" w:val="clear"/>
        </w:rPr>
        <w:t xml:space="preserve"> </w:t>
      </w:r>
      <w:r>
        <w:rPr>
          <w:rFonts w:ascii="Times New Roman;serif" w:hAnsi="Times New Roman;serif"/>
          <w:b w:val="false"/>
          <w:color w:val="000000"/>
          <w:sz w:val="20"/>
          <w:shd w:fill="FFFFFF" w:val="clear"/>
        </w:rPr>
        <w:t xml:space="preserve">additional </w:t>
      </w:r>
      <w:r>
        <w:rPr>
          <w:rFonts w:ascii="Times New Roman;serif" w:hAnsi="Times New Roman;serif"/>
          <w:b w:val="false"/>
          <w:color w:val="000000"/>
          <w:sz w:val="20"/>
        </w:rPr>
        <w:t xml:space="preserve">employees and expanding marketing programs in existing or new markets. We must invest in sales and marketing processes to develop and maintain close relationships with customers. We are making dollar-based investments to support the growth of </w:t>
      </w:r>
      <w:r>
        <w:rPr>
          <w:rFonts w:ascii="Times New Roman;serif" w:hAnsi="Times New Roman;serif"/>
          <w:b w:val="false"/>
          <w:color w:val="000000"/>
          <w:sz w:val="20"/>
          <w:shd w:fill="FFFFFF" w:val="clear"/>
        </w:rPr>
        <w:t xml:space="preserve">our customer base in </w:t>
      </w:r>
      <w:r>
        <w:rPr>
          <w:rFonts w:ascii="Times New Roman;serif" w:hAnsi="Times New Roman;serif"/>
          <w:b w:val="false"/>
          <w:color w:val="000000"/>
          <w:sz w:val="20"/>
        </w:rPr>
        <w:t>the United States and global markets</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Res</w:t>
      </w:r>
      <w:r>
        <w:rPr>
          <w:rFonts w:ascii="Times New Roman;serif" w:hAnsi="Times New Roman;serif"/>
          <w:b w:val="false"/>
          <w:i/>
          <w:color w:val="000000"/>
          <w:sz w:val="20"/>
        </w:rPr>
        <w:t>earch and development expense</w:t>
      </w:r>
      <w:r>
        <w:rPr>
          <w:color w:val="000000"/>
        </w:rPr>
        <w:t xml:space="preserve"> </w:t>
      </w:r>
      <w:r>
        <w:rPr>
          <w:rFonts w:ascii="Times New Roman;serif" w:hAnsi="Times New Roman;serif"/>
          <w:b w:val="false"/>
          <w:color w:val="000000"/>
          <w:sz w:val="20"/>
        </w:rPr>
        <w:t>increased due to an increase of $4.7 million in personnel, and travel and entertainment costs, a net increase of $2.7 million in depreciation, outside services and other research and development costs, an increase of $2.1 million in costs of components for tools built for product development purposes, and partially offset by a $1.0 million decrease in stock-based compensation. We expect that, for the foreseeable future, research and development expense will increase in absolute dollars as we continue to invest in research and development to advance our technologies. We intend to continue to invest in research and development to support and enhance our cleaning, plating, advanced packaging, furnace, track, PECVD and future product offerings to build and maintain our technology leadership position.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 xml:space="preserve">General and administrative expense </w:t>
      </w:r>
      <w:r>
        <w:rPr>
          <w:rFonts w:ascii="Times New Roman;serif" w:hAnsi="Times New Roman;serif"/>
          <w:b w:val="false"/>
          <w:color w:val="000000"/>
          <w:sz w:val="20"/>
          <w:shd w:fill="FFFFFF" w:val="clear"/>
        </w:rPr>
        <w:t xml:space="preserve">increased primarily reflecting a $3.3 million net increase in personnel costs, professional services costs, and other costs related to general and administrative expenses, partially offset by a $1.2 million decrease in stock-based compensation. We expect that, for the foreseeable future, general and administrative expense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increase in absolute dollars, as we continue to invest in general and administrative by hiring additional employees and expanding in existing or new markets.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income, Interest expense, and Other expense, net</w:t>
      </w:r>
    </w:p>
    <w:tbl>
      <w:tblPr>
        <w:tblW w:w="7790" w:type="dxa"/>
        <w:jc w:val="left"/>
        <w:tblInd w:w="0" w:type="dxa"/>
        <w:tblLayout w:type="fixed"/>
        <w:tblCellMar>
          <w:top w:w="28" w:type="dxa"/>
          <w:left w:w="28" w:type="dxa"/>
          <w:bottom w:w="28" w:type="dxa"/>
          <w:right w:w="28" w:type="dxa"/>
        </w:tblCellMar>
      </w:tblPr>
      <w:tblGrid>
        <w:gridCol w:w="587"/>
        <w:gridCol w:w="514"/>
        <w:gridCol w:w="519"/>
        <w:gridCol w:w="251"/>
        <w:gridCol w:w="735"/>
        <w:gridCol w:w="130"/>
        <w:gridCol w:w="130"/>
        <w:gridCol w:w="130"/>
        <w:gridCol w:w="130"/>
        <w:gridCol w:w="251"/>
        <w:gridCol w:w="735"/>
        <w:gridCol w:w="130"/>
        <w:gridCol w:w="109"/>
        <w:gridCol w:w="109"/>
        <w:gridCol w:w="109"/>
        <w:gridCol w:w="317"/>
        <w:gridCol w:w="299"/>
        <w:gridCol w:w="659"/>
        <w:gridCol w:w="109"/>
        <w:gridCol w:w="109"/>
        <w:gridCol w:w="109"/>
        <w:gridCol w:w="348"/>
        <w:gridCol w:w="1017"/>
        <w:gridCol w:w="254"/>
      </w:tblGrid>
      <w:tr>
        <w:trPr/>
        <w:tc>
          <w:tcPr>
            <w:tcW w:w="5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16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5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7,142 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4,013 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(9,793)</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(9,447)</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Other </w:t>
      </w:r>
      <w:r>
        <w:rPr>
          <w:rFonts w:ascii="Times New Roman;serif" w:hAnsi="Times New Roman;serif"/>
          <w:b w:val="false"/>
          <w:color w:val="000000"/>
          <w:sz w:val="20"/>
          <w:shd w:fill="FFFFFF" w:val="clear"/>
        </w:rPr>
        <w:t>expense, net primarily refle</w:t>
      </w:r>
      <w:r>
        <w:rPr>
          <w:rFonts w:ascii="Times New Roman;serif" w:hAnsi="Times New Roman;serif"/>
          <w:b w:val="false"/>
          <w:color w:val="000000"/>
          <w:sz w:val="20"/>
        </w:rPr>
        <w:t>cts (a) the impact of exchange rates between the RMB and U.S. dollar on our working capital which resulted in a loss of $10.9 million for the three months ended June 30, 2026, and a loss of $0.9 million in the three months ended June 30, 2025, and (b) government subsidies, as described under “—Mainland China Government Research and Development Funding” above, and other f</w:t>
      </w:r>
      <w:r>
        <w:rPr>
          <w:rFonts w:ascii="Times New Roman;serif" w:hAnsi="Times New Roman;serif"/>
          <w:b w:val="false"/>
          <w:color w:val="000000"/>
          <w:sz w:val="20"/>
          <w:shd w:fill="FFFFFF" w:val="clear"/>
        </w:rPr>
        <w:t>actors.</w:t>
      </w:r>
      <w:r>
        <w:rPr>
          <w:color w:val="000000"/>
        </w:rPr>
        <w:t xml:space="preserve"> </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Realized and unrealized gain on short-term investments, and income from equity method investments</w:t>
      </w:r>
    </w:p>
    <w:tbl>
      <w:tblPr>
        <w:tblW w:w="10205" w:type="dxa"/>
        <w:jc w:val="left"/>
        <w:tblInd w:w="0" w:type="dxa"/>
        <w:tblLayout w:type="fixed"/>
        <w:tblCellMar>
          <w:top w:w="28" w:type="dxa"/>
          <w:left w:w="28" w:type="dxa"/>
          <w:bottom w:w="28" w:type="dxa"/>
          <w:right w:w="28" w:type="dxa"/>
        </w:tblCellMar>
      </w:tblPr>
      <w:tblGrid>
        <w:gridCol w:w="1069"/>
        <w:gridCol w:w="940"/>
        <w:gridCol w:w="943"/>
        <w:gridCol w:w="318"/>
        <w:gridCol w:w="564"/>
        <w:gridCol w:w="151"/>
        <w:gridCol w:w="151"/>
        <w:gridCol w:w="151"/>
        <w:gridCol w:w="151"/>
        <w:gridCol w:w="303"/>
        <w:gridCol w:w="501"/>
        <w:gridCol w:w="151"/>
        <w:gridCol w:w="109"/>
        <w:gridCol w:w="109"/>
        <w:gridCol w:w="109"/>
        <w:gridCol w:w="383"/>
        <w:gridCol w:w="383"/>
        <w:gridCol w:w="633"/>
        <w:gridCol w:w="109"/>
        <w:gridCol w:w="109"/>
        <w:gridCol w:w="109"/>
        <w:gridCol w:w="425"/>
        <w:gridCol w:w="754"/>
        <w:gridCol w:w="221"/>
        <w:gridCol w:w="109"/>
        <w:gridCol w:w="109"/>
        <w:gridCol w:w="109"/>
        <w:gridCol w:w="109"/>
        <w:gridCol w:w="109"/>
        <w:gridCol w:w="109"/>
        <w:gridCol w:w="109"/>
        <w:gridCol w:w="109"/>
        <w:gridCol w:w="109"/>
        <w:gridCol w:w="109"/>
        <w:gridCol w:w="109"/>
        <w:gridCol w:w="160"/>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Realized gain on short term investments</w:t>
            </w:r>
          </w:p>
        </w:tc>
        <w:tc>
          <w:tcPr>
            <w:tcW w:w="3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3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short term investments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2,449.2 </w:t>
            </w:r>
          </w:p>
        </w:tc>
        <w:tc>
          <w:tcPr>
            <w:tcW w:w="6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66,862 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8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21,097 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1,089.9 </w:t>
            </w:r>
          </w:p>
        </w:tc>
        <w:tc>
          <w:tcPr>
            <w:tcW w:w="6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19,324 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increase in the unrealized gain from short term investments for the three months ended June 30, 2026 is mainly due to a significant increase during the period in the market price of certain of our holdings of publicly traded stocks which are listed on the Shanghai Stock Exchange. The increase in the </w:t>
      </w:r>
      <w:r>
        <w:rPr>
          <w:rFonts w:ascii="Times New Roman;serif" w:hAnsi="Times New Roman;serif"/>
          <w:b w:val="false"/>
          <w:color w:val="000000"/>
          <w:sz w:val="20"/>
          <w:shd w:fill="FFFFFF" w:val="clear"/>
        </w:rPr>
        <w:t xml:space="preserve">income from equity investments </w:t>
      </w:r>
      <w:r>
        <w:rPr>
          <w:rFonts w:ascii="Times New Roman;serif" w:hAnsi="Times New Roman;serif"/>
          <w:b w:val="false"/>
          <w:color w:val="000000"/>
          <w:sz w:val="20"/>
        </w:rPr>
        <w:t xml:space="preserve">for the three months ended June 30, 2026 </w:t>
      </w:r>
      <w:r>
        <w:rPr>
          <w:rFonts w:ascii="Times New Roman;serif" w:hAnsi="Times New Roman;serif"/>
          <w:b w:val="false"/>
          <w:color w:val="000000"/>
          <w:sz w:val="20"/>
          <w:shd w:fill="FFFFFF" w:val="clear"/>
        </w:rPr>
        <w:t>is mainly derived from gain on disposal of available-for-sale securities held by our equity method investee</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Income Tax Expense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presents components of income tax expense for the indicated periods:</w:t>
      </w:r>
    </w:p>
    <w:tbl>
      <w:tblPr>
        <w:tblW w:w="4392" w:type="dxa"/>
        <w:jc w:val="left"/>
        <w:tblInd w:w="0" w:type="dxa"/>
        <w:tblLayout w:type="fixed"/>
        <w:tblCellMar>
          <w:top w:w="28" w:type="dxa"/>
          <w:left w:w="28" w:type="dxa"/>
          <w:bottom w:w="28" w:type="dxa"/>
          <w:right w:w="28" w:type="dxa"/>
        </w:tblCellMar>
      </w:tblPr>
      <w:tblGrid>
        <w:gridCol w:w="625"/>
        <w:gridCol w:w="550"/>
        <w:gridCol w:w="551"/>
        <w:gridCol w:w="225"/>
        <w:gridCol w:w="850"/>
        <w:gridCol w:w="116"/>
        <w:gridCol w:w="116"/>
        <w:gridCol w:w="116"/>
        <w:gridCol w:w="116"/>
        <w:gridCol w:w="225"/>
        <w:gridCol w:w="738"/>
        <w:gridCol w:w="164"/>
      </w:tblGrid>
      <w:tr>
        <w:trP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tax expense for the three months ended June 30, 2026 primarily resulted from tax effect of an increase in operating profit for the period.</w:t>
      </w:r>
    </w:p>
    <w:tbl>
      <w:tblPr>
        <w:tblW w:w="10205" w:type="dxa"/>
        <w:jc w:val="left"/>
        <w:tblInd w:w="0" w:type="dxa"/>
        <w:tblLayout w:type="fixed"/>
        <w:tblCellMar>
          <w:top w:w="28" w:type="dxa"/>
          <w:left w:w="28" w:type="dxa"/>
          <w:bottom w:w="28" w:type="dxa"/>
          <w:right w:w="28" w:type="dxa"/>
        </w:tblCellMar>
      </w:tblPr>
      <w:tblGrid>
        <w:gridCol w:w="1485"/>
        <w:gridCol w:w="1305"/>
        <w:gridCol w:w="1310"/>
        <w:gridCol w:w="237"/>
        <w:gridCol w:w="813"/>
        <w:gridCol w:w="122"/>
        <w:gridCol w:w="122"/>
        <w:gridCol w:w="122"/>
        <w:gridCol w:w="122"/>
        <w:gridCol w:w="237"/>
        <w:gridCol w:w="695"/>
        <w:gridCol w:w="122"/>
        <w:gridCol w:w="109"/>
        <w:gridCol w:w="109"/>
        <w:gridCol w:w="109"/>
        <w:gridCol w:w="308"/>
        <w:gridCol w:w="308"/>
        <w:gridCol w:w="651"/>
        <w:gridCol w:w="109"/>
        <w:gridCol w:w="109"/>
        <w:gridCol w:w="109"/>
        <w:gridCol w:w="306"/>
        <w:gridCol w:w="1051"/>
        <w:gridCol w:w="235"/>
      </w:tblGrid>
      <w:tr>
        <w:trPr/>
        <w:tc>
          <w:tcPr>
            <w:tcW w:w="148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4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4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41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23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33,266 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6,510 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411.0 </w:t>
            </w:r>
          </w:p>
        </w:tc>
        <w:tc>
          <w:tcPr>
            <w:tcW w:w="65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26,756 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ACM Research owns 73.2% of ACM Shanghai’s (note 1) outstanding shares, which is reflected in our condensed consolidated financial statements. We reflect the portion of net income allocable to the minority holders of ACM Shanghai shares as net income attributable to non-controlling interests. The significant increase was due to the overall increase in net income.</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Foreign currency translation adjustment</w:t>
      </w:r>
    </w:p>
    <w:tbl>
      <w:tblPr>
        <w:tblW w:w="9530" w:type="dxa"/>
        <w:jc w:val="left"/>
        <w:tblInd w:w="0" w:type="dxa"/>
        <w:tblLayout w:type="fixed"/>
        <w:tblCellMar>
          <w:top w:w="28" w:type="dxa"/>
          <w:left w:w="28" w:type="dxa"/>
          <w:bottom w:w="28" w:type="dxa"/>
          <w:right w:w="28" w:type="dxa"/>
        </w:tblCellMar>
      </w:tblPr>
      <w:tblGrid>
        <w:gridCol w:w="1217"/>
        <w:gridCol w:w="1069"/>
        <w:gridCol w:w="1073"/>
        <w:gridCol w:w="240"/>
        <w:gridCol w:w="821"/>
        <w:gridCol w:w="124"/>
        <w:gridCol w:w="124"/>
        <w:gridCol w:w="124"/>
        <w:gridCol w:w="124"/>
        <w:gridCol w:w="240"/>
        <w:gridCol w:w="702"/>
        <w:gridCol w:w="124"/>
        <w:gridCol w:w="109"/>
        <w:gridCol w:w="109"/>
        <w:gridCol w:w="109"/>
        <w:gridCol w:w="308"/>
        <w:gridCol w:w="308"/>
        <w:gridCol w:w="659"/>
        <w:gridCol w:w="109"/>
        <w:gridCol w:w="109"/>
        <w:gridCol w:w="109"/>
        <w:gridCol w:w="314"/>
        <w:gridCol w:w="1076"/>
        <w:gridCol w:w="229"/>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33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24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30,141 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671.9 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26,236 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recorded a gain of</w:t>
      </w:r>
      <w:r>
        <w:rPr>
          <w:color w:val="000000"/>
          <w:shd w:fill="FFFFFF" w:val="clear"/>
        </w:rPr>
        <w:t xml:space="preserve"> </w:t>
      </w:r>
      <w:r>
        <w:rPr>
          <w:rFonts w:ascii="Times New Roman;serif" w:hAnsi="Times New Roman;serif"/>
          <w:b w:val="false"/>
          <w:color w:val="000000"/>
          <w:sz w:val="20"/>
          <w:shd w:fill="FFFFFF" w:val="clear"/>
        </w:rPr>
        <w:t xml:space="preserve">foreign currency translation adjustment primarily </w:t>
      </w:r>
      <w:r>
        <w:rPr>
          <w:rFonts w:ascii="Times New Roman;serif" w:hAnsi="Times New Roman;serif"/>
          <w:b w:val="false"/>
          <w:color w:val="000000"/>
          <w:sz w:val="20"/>
        </w:rPr>
        <w:t>due to</w:t>
      </w:r>
      <w:r>
        <w:rPr>
          <w:color w:val="000000"/>
          <w:shd w:fill="FFFFFF" w:val="clear"/>
        </w:rPr>
        <w:t xml:space="preserve">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strengthening</w:t>
      </w:r>
      <w:r>
        <w:rPr>
          <w:color w:val="000000"/>
          <w:shd w:fill="FFFFFF" w:val="clear"/>
        </w:rPr>
        <w:t xml:space="preserve"> </w:t>
      </w:r>
      <w:r>
        <w:rPr>
          <w:rFonts w:ascii="Times New Roman;serif" w:hAnsi="Times New Roman;serif"/>
          <w:b w:val="false"/>
          <w:color w:val="000000"/>
          <w:sz w:val="20"/>
          <w:shd w:fill="FFFFFF" w:val="clear"/>
        </w:rPr>
        <w:t>of RMB to</w:t>
      </w:r>
      <w:r>
        <w:rPr>
          <w:color w:val="000000"/>
        </w:rPr>
        <w:t xml:space="preserve"> </w:t>
      </w:r>
      <w:r>
        <w:rPr>
          <w:rFonts w:ascii="Times New Roman;serif" w:hAnsi="Times New Roman;serif"/>
          <w:b w:val="false"/>
          <w:color w:val="000000"/>
          <w:sz w:val="20"/>
        </w:rPr>
        <w:t>U.S.</w:t>
      </w:r>
      <w:r>
        <w:rPr>
          <w:color w:val="000000"/>
          <w:shd w:fill="FFFFFF" w:val="clear"/>
        </w:rPr>
        <w:t xml:space="preserve"> </w:t>
      </w:r>
      <w:r>
        <w:rPr>
          <w:rFonts w:ascii="Times New Roman;serif" w:hAnsi="Times New Roman;serif"/>
          <w:b w:val="false"/>
          <w:color w:val="000000"/>
          <w:sz w:val="20"/>
          <w:shd w:fill="FFFFFF" w:val="clear"/>
        </w:rPr>
        <w:t xml:space="preserve">dollar exchange rate fluctuations for the period on the converted value of ACM Shanghai’s RMB-denominated balances to U.S. dollar equivalents.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Comprehensive income attributable to non-controlling interests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51"/>
        <w:gridCol w:w="1363"/>
        <w:gridCol w:w="1369"/>
        <w:gridCol w:w="232"/>
        <w:gridCol w:w="794"/>
        <w:gridCol w:w="120"/>
        <w:gridCol w:w="120"/>
        <w:gridCol w:w="120"/>
        <w:gridCol w:w="120"/>
        <w:gridCol w:w="232"/>
        <w:gridCol w:w="679"/>
        <w:gridCol w:w="120"/>
        <w:gridCol w:w="109"/>
        <w:gridCol w:w="109"/>
        <w:gridCol w:w="109"/>
        <w:gridCol w:w="308"/>
        <w:gridCol w:w="308"/>
        <w:gridCol w:w="630"/>
        <w:gridCol w:w="109"/>
        <w:gridCol w:w="109"/>
        <w:gridCol w:w="109"/>
        <w:gridCol w:w="287"/>
        <w:gridCol w:w="983"/>
        <w:gridCol w:w="215"/>
      </w:tblGrid>
      <w:tr>
        <w:trPr/>
        <w:tc>
          <w:tcPr>
            <w:tcW w:w="155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4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42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2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41,477 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7,250 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472.1 </w:t>
            </w:r>
          </w:p>
        </w:tc>
        <w:tc>
          <w:tcPr>
            <w:tcW w:w="63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34,227 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 represents the portions of ACM Shanghai's operating results attributable to shares of ACM Shanghai stock held by unaffiliated shareholders.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Comparison of Six Months Ended June 30, 2026 and 2025</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Revenue</w:t>
      </w:r>
    </w:p>
    <w:tbl>
      <w:tblPr>
        <w:tblW w:w="10205" w:type="dxa"/>
        <w:jc w:val="left"/>
        <w:tblInd w:w="0" w:type="dxa"/>
        <w:tblLayout w:type="fixed"/>
        <w:tblCellMar>
          <w:top w:w="28" w:type="dxa"/>
          <w:left w:w="28" w:type="dxa"/>
          <w:bottom w:w="28" w:type="dxa"/>
          <w:right w:w="28" w:type="dxa"/>
        </w:tblCellMar>
      </w:tblPr>
      <w:tblGrid>
        <w:gridCol w:w="1511"/>
        <w:gridCol w:w="1314"/>
        <w:gridCol w:w="1320"/>
        <w:gridCol w:w="211"/>
        <w:gridCol w:w="841"/>
        <w:gridCol w:w="109"/>
        <w:gridCol w:w="109"/>
        <w:gridCol w:w="109"/>
        <w:gridCol w:w="109"/>
        <w:gridCol w:w="211"/>
        <w:gridCol w:w="841"/>
        <w:gridCol w:w="109"/>
        <w:gridCol w:w="109"/>
        <w:gridCol w:w="109"/>
        <w:gridCol w:w="109"/>
        <w:gridCol w:w="308"/>
        <w:gridCol w:w="308"/>
        <w:gridCol w:w="652"/>
        <w:gridCol w:w="109"/>
        <w:gridCol w:w="109"/>
        <w:gridCol w:w="109"/>
        <w:gridCol w:w="260"/>
        <w:gridCol w:w="1038"/>
        <w:gridCol w:w="191"/>
      </w:tblGrid>
      <w:tr>
        <w:trPr/>
        <w:tc>
          <w:tcPr>
            <w:tcW w:w="15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4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414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414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Single wafer cleaning, Tahoe and semi-critical cleaning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(29,070)</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ECP (front-end and packaging), furnace and other technologies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137,139 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packaging (excluding ECP), services &amp; spares</w:t>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65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28,394 </w:t>
            </w:r>
          </w:p>
        </w:tc>
        <w:tc>
          <w:tcPr>
            <w:tcW w:w="19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 by Product Category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524,182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387,719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35.2</w:t>
            </w:r>
            <w:r>
              <w:rPr>
                <w:color w:val="000000"/>
              </w:rPr>
              <w:t> </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136,463</w:t>
            </w:r>
            <w:r>
              <w:rPr>
                <w:color w:val="000000"/>
              </w:rPr>
              <w:t>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increase in revenue reflects higher sales of ECP (front-end and packaging), furnace and other technologies and Advanced packaging (excluding ECP), services and spares, offset by the lower sales of single wafer cleaning, Tahoe and semi-critical cleaning equipment. We attribute the increase to a longer-term commitment by our mainland China-based customers to increase production capacity to achieve a greater share of the global semiconductor market together with the market share changes and product cycles.</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Revenue and Gross Margin</w:t>
      </w:r>
    </w:p>
    <w:tbl>
      <w:tblPr>
        <w:tblW w:w="7797" w:type="dxa"/>
        <w:jc w:val="left"/>
        <w:tblInd w:w="0" w:type="dxa"/>
        <w:tblLayout w:type="fixed"/>
        <w:tblCellMar>
          <w:top w:w="28" w:type="dxa"/>
          <w:left w:w="28" w:type="dxa"/>
          <w:bottom w:w="28" w:type="dxa"/>
          <w:right w:w="28" w:type="dxa"/>
        </w:tblCellMar>
      </w:tblPr>
      <w:tblGrid>
        <w:gridCol w:w="506"/>
        <w:gridCol w:w="444"/>
        <w:gridCol w:w="446"/>
        <w:gridCol w:w="211"/>
        <w:gridCol w:w="826"/>
        <w:gridCol w:w="271"/>
        <w:gridCol w:w="109"/>
        <w:gridCol w:w="109"/>
        <w:gridCol w:w="109"/>
        <w:gridCol w:w="211"/>
        <w:gridCol w:w="826"/>
        <w:gridCol w:w="271"/>
        <w:gridCol w:w="109"/>
        <w:gridCol w:w="109"/>
        <w:gridCol w:w="109"/>
        <w:gridCol w:w="263"/>
        <w:gridCol w:w="263"/>
        <w:gridCol w:w="659"/>
        <w:gridCol w:w="109"/>
        <w:gridCol w:w="109"/>
        <w:gridCol w:w="109"/>
        <w:gridCol w:w="314"/>
        <w:gridCol w:w="1076"/>
        <w:gridCol w:w="229"/>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282,326 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200,708 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81,618 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241,856 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54,845 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bps)</w:t>
            </w:r>
          </w:p>
        </w:tc>
      </w:tr>
    </w:tbl>
    <w:p>
      <w:pPr>
        <w:pStyle w:val="TextBody"/>
        <w:bidi w:val="0"/>
        <w:spacing w:lineRule="auto" w:line="288" w:before="240" w:after="283"/>
        <w:jc w:val="both"/>
        <w:rPr/>
      </w:pPr>
      <w:r>
        <w:rPr>
          <w:rFonts w:ascii="Times New Roman;serif" w:hAnsi="Times New Roman;serif"/>
          <w:b w:val="false"/>
          <w:color w:val="000000"/>
          <w:sz w:val="20"/>
        </w:rPr>
        <w:t xml:space="preserve">Cost of revenue and gross profit increased due to the increased sales volume, partly offset by a decrease in gross margin. The decrease in gross margin versus the prior-year period was primarily due to revenue mix between product categories, </w:t>
      </w:r>
      <w:r>
        <w:rPr>
          <w:rFonts w:ascii="Times New Roman;serif" w:hAnsi="Times New Roman;serif"/>
          <w:b w:val="false"/>
          <w:color w:val="000000"/>
          <w:sz w:val="20"/>
          <w:shd w:fill="FFFFFF" w:val="clear"/>
        </w:rPr>
        <w:t xml:space="preserve">and a higher provision for inventory.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tbl>
      <w:tblPr>
        <w:tblW w:w="9093" w:type="dxa"/>
        <w:jc w:val="left"/>
        <w:tblInd w:w="0" w:type="dxa"/>
        <w:tblLayout w:type="fixed"/>
        <w:tblCellMar>
          <w:top w:w="28" w:type="dxa"/>
          <w:left w:w="28" w:type="dxa"/>
          <w:bottom w:w="28" w:type="dxa"/>
          <w:right w:w="28" w:type="dxa"/>
        </w:tblCellMar>
      </w:tblPr>
      <w:tblGrid>
        <w:gridCol w:w="1093"/>
        <w:gridCol w:w="960"/>
        <w:gridCol w:w="963"/>
        <w:gridCol w:w="211"/>
        <w:gridCol w:w="826"/>
        <w:gridCol w:w="109"/>
        <w:gridCol w:w="109"/>
        <w:gridCol w:w="109"/>
        <w:gridCol w:w="109"/>
        <w:gridCol w:w="211"/>
        <w:gridCol w:w="826"/>
        <w:gridCol w:w="109"/>
        <w:gridCol w:w="109"/>
        <w:gridCol w:w="109"/>
        <w:gridCol w:w="109"/>
        <w:gridCol w:w="263"/>
        <w:gridCol w:w="263"/>
        <w:gridCol w:w="659"/>
        <w:gridCol w:w="109"/>
        <w:gridCol w:w="109"/>
        <w:gridCol w:w="109"/>
        <w:gridCol w:w="314"/>
        <w:gridCol w:w="1076"/>
        <w:gridCol w:w="229"/>
      </w:tblGrid>
      <w:tr>
        <w:trPr/>
        <w:tc>
          <w:tcPr>
            <w:tcW w:w="10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17,483 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26,396 </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Sales and marketing expense</w:t>
      </w:r>
      <w:r>
        <w:rPr>
          <w:color w:val="000000"/>
        </w:rPr>
        <w:t xml:space="preserve"> </w:t>
      </w:r>
      <w:r>
        <w:rPr>
          <w:rFonts w:ascii="Times New Roman;serif" w:hAnsi="Times New Roman;serif"/>
          <w:b w:val="false"/>
          <w:color w:val="000000"/>
          <w:sz w:val="20"/>
        </w:rPr>
        <w:t>increased due to a $3.0 million increase in personnel costs, a $2.0 million increase in commissions and travel and entertainment, a $1.3 million increase in promotional tools, a $1.2 million net increase in professional services, outside services and other sales and marketing related expenses, offset by a $1.4 million decrease in stock-based compensation.</w:t>
      </w:r>
    </w:p>
    <w:p>
      <w:pPr>
        <w:pStyle w:val="TextBody"/>
        <w:bidi w:val="0"/>
        <w:spacing w:lineRule="auto" w:line="288" w:before="240" w:after="283"/>
        <w:jc w:val="both"/>
        <w:rPr/>
      </w:pPr>
      <w:r>
        <w:rPr>
          <w:rFonts w:ascii="Times New Roman;serif" w:hAnsi="Times New Roman;serif"/>
          <w:b w:val="false"/>
          <w:i/>
          <w:color w:val="000000"/>
          <w:sz w:val="20"/>
        </w:rPr>
        <w:t>Research and development expense</w:t>
      </w:r>
      <w:r>
        <w:rPr>
          <w:color w:val="000000"/>
        </w:rPr>
        <w:t xml:space="preserve"> </w:t>
      </w:r>
      <w:r>
        <w:rPr>
          <w:rFonts w:ascii="Times New Roman;serif" w:hAnsi="Times New Roman;serif"/>
          <w:b w:val="false"/>
          <w:color w:val="000000"/>
          <w:sz w:val="20"/>
        </w:rPr>
        <w:t>increased due to a $7.4 million increase in personnel costs, a $6.7 million increase in costs of components for tools built for product development purposes, a net increase of $5.4 million in outside services and other R&amp;D-related costs, offset by a $2.0 million decrease in stock-based compensation.</w:t>
      </w:r>
    </w:p>
    <w:p>
      <w:pPr>
        <w:pStyle w:val="TextBody"/>
        <w:bidi w:val="0"/>
        <w:spacing w:lineRule="auto" w:line="288" w:before="240" w:after="283"/>
        <w:jc w:val="both"/>
        <w:rPr/>
      </w:pPr>
      <w:r>
        <w:rPr>
          <w:rFonts w:ascii="Times New Roman;serif" w:hAnsi="Times New Roman;serif"/>
          <w:b w:val="false"/>
          <w:i/>
          <w:color w:val="000000"/>
          <w:sz w:val="20"/>
        </w:rPr>
        <w:t xml:space="preserve">General and administrative expense </w:t>
      </w:r>
      <w:r>
        <w:rPr>
          <w:rFonts w:ascii="Times New Roman;serif" w:hAnsi="Times New Roman;serif"/>
          <w:b w:val="false"/>
          <w:color w:val="000000"/>
          <w:sz w:val="20"/>
        </w:rPr>
        <w:t>increased primarily reflecting a $2.0 million increase in allowance for credit losses, a $2.6 million increase in outside services and others, a $1.9 million increase in personnel and professional services costs, offset by a $3.6 million decrease in stock-based compensation.</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income, Interest expense and Other expense, net</w:t>
      </w:r>
    </w:p>
    <w:tbl>
      <w:tblPr>
        <w:tblW w:w="7697" w:type="dxa"/>
        <w:jc w:val="left"/>
        <w:tblInd w:w="0" w:type="dxa"/>
        <w:tblLayout w:type="fixed"/>
        <w:tblCellMar>
          <w:top w:w="28" w:type="dxa"/>
          <w:left w:w="28" w:type="dxa"/>
          <w:bottom w:w="28" w:type="dxa"/>
          <w:right w:w="28" w:type="dxa"/>
        </w:tblCellMar>
      </w:tblPr>
      <w:tblGrid>
        <w:gridCol w:w="587"/>
        <w:gridCol w:w="514"/>
        <w:gridCol w:w="519"/>
        <w:gridCol w:w="218"/>
        <w:gridCol w:w="746"/>
        <w:gridCol w:w="112"/>
        <w:gridCol w:w="112"/>
        <w:gridCol w:w="112"/>
        <w:gridCol w:w="112"/>
        <w:gridCol w:w="218"/>
        <w:gridCol w:w="637"/>
        <w:gridCol w:w="112"/>
        <w:gridCol w:w="109"/>
        <w:gridCol w:w="109"/>
        <w:gridCol w:w="109"/>
        <w:gridCol w:w="394"/>
        <w:gridCol w:w="372"/>
        <w:gridCol w:w="659"/>
        <w:gridCol w:w="109"/>
        <w:gridCol w:w="109"/>
        <w:gridCol w:w="109"/>
        <w:gridCol w:w="348"/>
        <w:gridCol w:w="1017"/>
        <w:gridCol w:w="254"/>
      </w:tblGrid>
      <w:tr>
        <w:trPr/>
        <w:tc>
          <w:tcPr>
            <w:tcW w:w="5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7"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16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11,861 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7,352 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6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(19,093)</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3,040.3 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(18,485)</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net primarily reflects (a) loss recognized from the impact of exchange rates on our working-capital which was $20.4 million for the six months ended June 30, 2026 compared to $1.5 million for the six months ended June 30, 2025, and (b) government subsidies, as described under “Mainland China Government Research and Development Funding” above, and other factors. </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Realized and unrealized gain on short-term investments, and income from equity method investments</w:t>
      </w:r>
    </w:p>
    <w:tbl>
      <w:tblPr>
        <w:tblW w:w="10202" w:type="dxa"/>
        <w:jc w:val="left"/>
        <w:tblInd w:w="0" w:type="dxa"/>
        <w:tblLayout w:type="fixed"/>
        <w:tblCellMar>
          <w:top w:w="28" w:type="dxa"/>
          <w:left w:w="28" w:type="dxa"/>
          <w:bottom w:w="28" w:type="dxa"/>
          <w:right w:w="28" w:type="dxa"/>
        </w:tblCellMar>
      </w:tblPr>
      <w:tblGrid>
        <w:gridCol w:w="1494"/>
        <w:gridCol w:w="1313"/>
        <w:gridCol w:w="1317"/>
        <w:gridCol w:w="290"/>
        <w:gridCol w:w="558"/>
        <w:gridCol w:w="149"/>
        <w:gridCol w:w="149"/>
        <w:gridCol w:w="149"/>
        <w:gridCol w:w="149"/>
        <w:gridCol w:w="290"/>
        <w:gridCol w:w="496"/>
        <w:gridCol w:w="149"/>
        <w:gridCol w:w="109"/>
        <w:gridCol w:w="109"/>
        <w:gridCol w:w="109"/>
        <w:gridCol w:w="382"/>
        <w:gridCol w:w="384"/>
        <w:gridCol w:w="659"/>
        <w:gridCol w:w="109"/>
        <w:gridCol w:w="109"/>
        <w:gridCol w:w="109"/>
        <w:gridCol w:w="461"/>
        <w:gridCol w:w="821"/>
        <w:gridCol w:w="338"/>
      </w:tblGrid>
      <w:tr>
        <w:trPr/>
        <w:tc>
          <w:tcPr>
            <w:tcW w:w="149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8"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sale of short-term investments</w:t>
            </w:r>
          </w:p>
        </w:tc>
        <w:tc>
          <w:tcPr>
            <w:tcW w:w="29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short-term investments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68,186 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4,037.5 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66,538 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equity method investments </w:t>
            </w:r>
          </w:p>
        </w:tc>
        <w:tc>
          <w:tcPr>
            <w:tcW w:w="8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22,846 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738.4 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20,121 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 xml:space="preserve">Realized gain on short-term investments includes dividends and net gains from sales of short-term investments during the period. The increase in unrealized gain on short-term investments is mainly due to a significant increase during the period in the market price of certain of our holdings of publicly traded stocks which are listed on the Shanghai Stock Exchange. The increase in the </w:t>
      </w:r>
      <w:r>
        <w:rPr>
          <w:rFonts w:ascii="Times New Roman;serif" w:hAnsi="Times New Roman;serif"/>
          <w:b w:val="false"/>
          <w:color w:val="000000"/>
          <w:sz w:val="24"/>
          <w:shd w:fill="FFFFFF" w:val="clear"/>
        </w:rPr>
        <w:t>i</w:t>
      </w:r>
      <w:r>
        <w:rPr>
          <w:rFonts w:ascii="Times New Roman;serif" w:hAnsi="Times New Roman;serif"/>
          <w:b w:val="false"/>
          <w:color w:val="000000"/>
          <w:sz w:val="20"/>
          <w:shd w:fill="FFFFFF" w:val="clear"/>
        </w:rPr>
        <w:t xml:space="preserve">ncome from equity investments </w:t>
      </w:r>
      <w:r>
        <w:rPr>
          <w:rFonts w:ascii="Times New Roman;serif" w:hAnsi="Times New Roman;serif"/>
          <w:b w:val="false"/>
          <w:color w:val="000000"/>
          <w:sz w:val="20"/>
        </w:rPr>
        <w:t xml:space="preserve">for the six months ended June 30, 2026 </w:t>
      </w:r>
      <w:r>
        <w:rPr>
          <w:rFonts w:ascii="Times New Roman;serif" w:hAnsi="Times New Roman;serif"/>
          <w:b w:val="false"/>
          <w:color w:val="000000"/>
          <w:sz w:val="20"/>
          <w:shd w:fill="FFFFFF" w:val="clear"/>
        </w:rPr>
        <w:t>is mainly derived from gain on disposal of available-for-sale securities held by our equity method investee</w:t>
      </w:r>
      <w:r>
        <w:rPr>
          <w:rFonts w:ascii="Times New Roman;serif" w:hAnsi="Times New Roman;serif"/>
          <w:b w:val="false"/>
          <w:color w:val="000000"/>
          <w:sz w:val="20"/>
        </w:rPr>
        <w:t>.    </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Income Tax Expense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presents components of income tax expense for the indicated periods:</w:t>
      </w:r>
    </w:p>
    <w:tbl>
      <w:tblPr>
        <w:tblW w:w="4225" w:type="dxa"/>
        <w:jc w:val="left"/>
        <w:tblInd w:w="0" w:type="dxa"/>
        <w:tblLayout w:type="fixed"/>
        <w:tblCellMar>
          <w:top w:w="28" w:type="dxa"/>
          <w:left w:w="28" w:type="dxa"/>
          <w:bottom w:w="28" w:type="dxa"/>
          <w:right w:w="28" w:type="dxa"/>
        </w:tblCellMar>
      </w:tblPr>
      <w:tblGrid>
        <w:gridCol w:w="625"/>
        <w:gridCol w:w="550"/>
        <w:gridCol w:w="551"/>
        <w:gridCol w:w="211"/>
        <w:gridCol w:w="796"/>
        <w:gridCol w:w="109"/>
        <w:gridCol w:w="109"/>
        <w:gridCol w:w="109"/>
        <w:gridCol w:w="109"/>
        <w:gridCol w:w="211"/>
        <w:gridCol w:w="691"/>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tax expense for the six months ended June 30, 2026 primarily resulted from the tax effect of an increase in operating profit for the period and increase in certain discrete items.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Income Attributable to Non-Controlling Interests</w:t>
      </w:r>
    </w:p>
    <w:tbl>
      <w:tblPr>
        <w:tblW w:w="10205" w:type="dxa"/>
        <w:jc w:val="left"/>
        <w:tblInd w:w="0" w:type="dxa"/>
        <w:tblLayout w:type="fixed"/>
        <w:tblCellMar>
          <w:top w:w="28" w:type="dxa"/>
          <w:left w:w="28" w:type="dxa"/>
          <w:bottom w:w="28" w:type="dxa"/>
          <w:right w:w="28" w:type="dxa"/>
        </w:tblCellMar>
      </w:tblPr>
      <w:tblGrid>
        <w:gridCol w:w="1542"/>
        <w:gridCol w:w="1355"/>
        <w:gridCol w:w="1361"/>
        <w:gridCol w:w="211"/>
        <w:gridCol w:w="721"/>
        <w:gridCol w:w="109"/>
        <w:gridCol w:w="109"/>
        <w:gridCol w:w="109"/>
        <w:gridCol w:w="109"/>
        <w:gridCol w:w="211"/>
        <w:gridCol w:w="721"/>
        <w:gridCol w:w="109"/>
        <w:gridCol w:w="109"/>
        <w:gridCol w:w="109"/>
        <w:gridCol w:w="109"/>
        <w:gridCol w:w="308"/>
        <w:gridCol w:w="308"/>
        <w:gridCol w:w="657"/>
        <w:gridCol w:w="109"/>
        <w:gridCol w:w="109"/>
        <w:gridCol w:w="109"/>
        <w:gridCol w:w="312"/>
        <w:gridCol w:w="1070"/>
        <w:gridCol w:w="229"/>
      </w:tblGrid>
      <w:tr>
        <w:trPr/>
        <w:tc>
          <w:tcPr>
            <w:tcW w:w="154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425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65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31,051 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ACM Research owns 73.2% of ACM Shanghai’s (note 1) outstanding shares, which is reflected in our condensed consolidated financial statements. We reflect the portion of net income allocable to the minority holders of ACM Shanghai shares as net income attributable to non-controlling interests. The significant increase was due to the overall increase in net income.</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Foreign currency translation adjustment</w:t>
      </w:r>
    </w:p>
    <w:tbl>
      <w:tblPr>
        <w:tblW w:w="9286" w:type="dxa"/>
        <w:jc w:val="left"/>
        <w:tblInd w:w="0" w:type="dxa"/>
        <w:tblLayout w:type="fixed"/>
        <w:tblCellMar>
          <w:top w:w="28" w:type="dxa"/>
          <w:left w:w="28" w:type="dxa"/>
          <w:bottom w:w="28" w:type="dxa"/>
          <w:right w:w="28" w:type="dxa"/>
        </w:tblCellMar>
      </w:tblPr>
      <w:tblGrid>
        <w:gridCol w:w="1217"/>
        <w:gridCol w:w="1069"/>
        <w:gridCol w:w="1073"/>
        <w:gridCol w:w="218"/>
        <w:gridCol w:w="746"/>
        <w:gridCol w:w="112"/>
        <w:gridCol w:w="112"/>
        <w:gridCol w:w="112"/>
        <w:gridCol w:w="112"/>
        <w:gridCol w:w="218"/>
        <w:gridCol w:w="637"/>
        <w:gridCol w:w="112"/>
        <w:gridCol w:w="109"/>
        <w:gridCol w:w="109"/>
        <w:gridCol w:w="109"/>
        <w:gridCol w:w="308"/>
        <w:gridCol w:w="308"/>
        <w:gridCol w:w="659"/>
        <w:gridCol w:w="109"/>
        <w:gridCol w:w="109"/>
        <w:gridCol w:w="109"/>
        <w:gridCol w:w="314"/>
        <w:gridCol w:w="1076"/>
        <w:gridCol w:w="229"/>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33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2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57,938 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5,655 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924.5 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52,283 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foreign currency translation adjustment is primarily based on the net effect of RMB to dollar exchange rate fluctuations for the period on the converted value of ACM Shanghai’s RMB-denominated balances to U.S. dollar equivalents.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Comprehensive income attributable to non-controlling interests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91"/>
        <w:gridCol w:w="1399"/>
        <w:gridCol w:w="1405"/>
        <w:gridCol w:w="211"/>
        <w:gridCol w:w="721"/>
        <w:gridCol w:w="109"/>
        <w:gridCol w:w="109"/>
        <w:gridCol w:w="109"/>
        <w:gridCol w:w="109"/>
        <w:gridCol w:w="211"/>
        <w:gridCol w:w="721"/>
        <w:gridCol w:w="109"/>
        <w:gridCol w:w="109"/>
        <w:gridCol w:w="109"/>
        <w:gridCol w:w="109"/>
        <w:gridCol w:w="308"/>
        <w:gridCol w:w="308"/>
        <w:gridCol w:w="634"/>
        <w:gridCol w:w="109"/>
        <w:gridCol w:w="109"/>
        <w:gridCol w:w="109"/>
        <w:gridCol w:w="290"/>
        <w:gridCol w:w="993"/>
        <w:gridCol w:w="214"/>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63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45,437 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detailed description of how cash is transferred through our organization is set forth under “note 2 – Summary of Significant Accounting Policies – Cash and Cash Equivalents” to the Consolidated Financial Statements of this report.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During the first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of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we funded our technology development and operations principally through our beginning global cash balances, including the cash balances at ACM Shanghai, borrowings by ACM Shanghai from local financial insti</w:t>
      </w:r>
      <w:r>
        <w:rPr>
          <w:rFonts w:ascii="Times New Roman;serif" w:hAnsi="Times New Roman;serif"/>
          <w:b w:val="false"/>
          <w:color w:val="000000"/>
          <w:sz w:val="20"/>
        </w:rPr>
        <w:t>tutions, proceeds from issuance of ACMR shares, and proceeds from the sales of our shares and shares of our subsidiary. The $223.1 million increase in cash and time deposits was primarily driven by $332.6 million in net cash provided by financing activities, and a $18.9 million increase from the effect of exchange rate on cash, cash equivalents, restricted cash and non-cash items, offset by $35.9 million of cash used in operations, and $92.5 million of net cash used in investing activities, excluding the change in net cash related to time deposits.</w:t>
      </w:r>
    </w:p>
    <w:p>
      <w:pPr>
        <w:pStyle w:val="TextBody"/>
        <w:bidi w:val="0"/>
        <w:spacing w:before="0" w:after="0"/>
        <w:jc w:val="both"/>
        <w:rPr/>
      </w:pPr>
      <w:r>
        <w:rPr/>
      </w:r>
    </w:p>
    <w:tbl>
      <w:tblPr>
        <w:tblW w:w="8168" w:type="dxa"/>
        <w:jc w:val="left"/>
        <w:tblInd w:w="0" w:type="dxa"/>
        <w:tblLayout w:type="fixed"/>
        <w:tblCellMar>
          <w:top w:w="28" w:type="dxa"/>
          <w:left w:w="28" w:type="dxa"/>
          <w:bottom w:w="28" w:type="dxa"/>
          <w:right w:w="28" w:type="dxa"/>
        </w:tblCellMar>
      </w:tblPr>
      <w:tblGrid>
        <w:gridCol w:w="1872"/>
        <w:gridCol w:w="1649"/>
        <w:gridCol w:w="1653"/>
        <w:gridCol w:w="211"/>
        <w:gridCol w:w="991"/>
        <w:gridCol w:w="109"/>
        <w:gridCol w:w="109"/>
        <w:gridCol w:w="109"/>
        <w:gridCol w:w="109"/>
        <w:gridCol w:w="211"/>
        <w:gridCol w:w="991"/>
        <w:gridCol w:w="154"/>
      </w:tblGrid>
      <w:tr>
        <w:trPr/>
        <w:tc>
          <w:tcPr>
            <w:tcW w:w="187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 restricted cash, and time deposits: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and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Short-term time deposits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1,355,642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1,132,553</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working capital needs beyond the next twelve months will depend on many factors, including the rate of our business and revenue growth, the payment schedules of our customers, the timing and magnitude of our capital expenditures, and the timing of investment in our research and development as well as sales and marketing. We believe our existing cash and cash equivalents, and short-term time deposits, our cash flow from operating activities, and bank borrowings by us and ACM Shanghai will be sufficient to meet our anticipated cash needs within our longer term planning horizon.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ACM Shanghai has historically participated in certain mainland China government-sponsored grant and subsidy programs, as described under “—Mainland China Government Research and Development Funding” and “—Contractual Obligations” and we expect that ACM Shanghai will continue to take advantage of these programs when they are available and fit with our business strategy. ACM Shanghai generally applies for these grants and subsidies through the applicable mainland China government agency’s defined processes. Periodically, the public relations department researches the availability of these grants and subsidies through mainland China government agencies with whom ACM Shanghai files business surveys and taxes. Management of ACM Shanghai then assesses which grants and subsidies for which ACM Shanghai may be eligible and submits the relevant application. The decision to award the grant to ACM Shanghai is made by the relevant mainland China government agencies based on suitability and the merits of the application. Neither ACM Research, nor ACM Shanghai or any of our other subsidiaries, has any direct relationship with any mainland China government agency, and our anticipated cash needs for the next twelve months neither anticipate, nor require, receipt of any mainland China government grants or subsidies.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extent our cash and cash equivalents, cash flow from operating activities and short-term and long-term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obtain an equity or debt financing on terms acceptable to us or at 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Restrictions under mainland China laws and regulations as well as restrictions under ACM Shanghai’s bank loan agreements, may significantly restrict ACM Shanghai’s ability to transfer a portion of ACM Shanghai’s net assets to ACM Research, other subsidiaries of ACM Research and to holders of ACM Research Class A common stock. See “Item 1A. Risk Factors – Regulatory Risks – Mainland China's currency exchange control and government restrictions on investment repatriation may impact our ability to transfer funds outside of mainland China, which could materially and adversely affect our ability to grow, make investments or acquisitions that could benefit our business, otherwise fund and conduct our business, or pay dividends on our common stock” in our 2025 Annual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with the exception of sales and services-related transfer-pricing payments in the ordinary course of business, no transfers or distributions have been made between ACM Research, and its subsidiaries, including ACM Shanghai, or to holders of ACM Research 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cash and cash equivalents at June 30, 2026 were held for working capital purposes and other potential investments. ACM Shanghai, our only direct mainland China subsidiary, is, however, subject to mainland China restrictions on distributions to equity holders.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use of proceeds raised </w:t>
      </w:r>
      <w:r>
        <w:rPr>
          <w:rFonts w:ascii="Times New Roman;serif" w:hAnsi="Times New Roman;serif"/>
          <w:b w:val="false"/>
          <w:color w:val="000000"/>
          <w:sz w:val="20"/>
        </w:rPr>
        <w:t>by the sales of shares by ACM Shanghai, and the S</w:t>
      </w:r>
      <w:r>
        <w:rPr>
          <w:rFonts w:ascii="Times New Roman;serif" w:hAnsi="Times New Roman;serif"/>
          <w:b w:val="false"/>
          <w:color w:val="000000"/>
          <w:sz w:val="20"/>
          <w:shd w:fill="FFFFFF" w:val="clear"/>
        </w:rPr>
        <w:t>TAR Market IPO</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without further approvals, are limited to specific usage.</w:t>
      </w:r>
      <w:r>
        <w:rPr>
          <w:color w:val="000000"/>
        </w:rPr>
        <w:t xml:space="preserve"> </w:t>
      </w:r>
      <w:r>
        <w:rPr>
          <w:rFonts w:ascii="Times New Roman;serif" w:hAnsi="Times New Roman;serif"/>
          <w:b w:val="false"/>
          <w:color w:val="000000"/>
          <w:sz w:val="20"/>
        </w:rPr>
        <w:t>We currently intend for ACM Shanghai, with the exception of dividends paid to shareholders of ACM Shanghai, to retain all available funds from any future earnings for use in the operation of its business. Our accounts receivable balance fluctuates from period to period, which affects our cash flow from operating activities. Fluctuations vary depending on cash collections, client mix, and the timing of shipment and acceptance of our tools.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ACM Research has never declared or paid cash dividends on our capital stock. ACM Research intends to retain all available funds and any future earnings to support the operation of and to finance the growth and development of our business and does not anticipate paying any cash dividends in the foreseeable future. </w:t>
      </w:r>
    </w:p>
    <w:p>
      <w:pPr>
        <w:pStyle w:val="TextBody"/>
        <w:bidi w:val="0"/>
        <w:spacing w:lineRule="auto" w:line="288" w:before="240" w:after="283"/>
        <w:jc w:val="both"/>
        <w:rPr/>
      </w:pPr>
      <w:r>
        <w:rPr>
          <w:rFonts w:ascii="Times New Roman;serif" w:hAnsi="Times New Roman;serif"/>
          <w:b/>
          <w:i/>
          <w:color w:val="000000"/>
          <w:sz w:val="20"/>
        </w:rPr>
        <w:t xml:space="preserve">Cash Flow Used in Operating Activities. </w:t>
      </w:r>
      <w:r>
        <w:rPr>
          <w:rFonts w:ascii="Times New Roman;serif" w:hAnsi="Times New Roman;serif"/>
          <w:b w:val="false"/>
          <w:color w:val="000000"/>
          <w:sz w:val="20"/>
        </w:rPr>
        <w:t>Net cash used in operating activities during the six months ended June 30, 2026 and 2025 consisted of:</w:t>
      </w:r>
    </w:p>
    <w:tbl>
      <w:tblPr>
        <w:tblW w:w="6459" w:type="dxa"/>
        <w:jc w:val="left"/>
        <w:tblInd w:w="0" w:type="dxa"/>
        <w:tblLayout w:type="fixed"/>
        <w:tblCellMar>
          <w:top w:w="28" w:type="dxa"/>
          <w:left w:w="28" w:type="dxa"/>
          <w:bottom w:w="28" w:type="dxa"/>
          <w:right w:w="28" w:type="dxa"/>
        </w:tblCellMar>
      </w:tblPr>
      <w:tblGrid>
        <w:gridCol w:w="1386"/>
        <w:gridCol w:w="1215"/>
        <w:gridCol w:w="1224"/>
        <w:gridCol w:w="211"/>
        <w:gridCol w:w="826"/>
        <w:gridCol w:w="109"/>
        <w:gridCol w:w="109"/>
        <w:gridCol w:w="109"/>
        <w:gridCol w:w="109"/>
        <w:gridCol w:w="211"/>
        <w:gridCol w:w="79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inventory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from unconsolidated affiliates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operating assets and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Significant changes in operating asset and </w:t>
      </w:r>
      <w:r>
        <w:rPr>
          <w:rFonts w:ascii="Times New Roman;serif" w:hAnsi="Times New Roman;serif"/>
          <w:b w:val="false"/>
          <w:color w:val="000000"/>
          <w:sz w:val="20"/>
        </w:rPr>
        <w:t>liability accounts during the six</w:t>
      </w:r>
      <w:r>
        <w:rPr>
          <w:color w:val="000000"/>
          <w:shd w:fill="FFFFFF" w:val="clear"/>
        </w:rPr>
        <w:t xml:space="preserve"> </w:t>
      </w:r>
      <w:r>
        <w:rPr>
          <w:rFonts w:ascii="Times New Roman;serif" w:hAnsi="Times New Roman;serif"/>
          <w:b w:val="false"/>
          <w:color w:val="000000"/>
          <w:sz w:val="20"/>
          <w:shd w:fill="FFFFFF" w:val="clear"/>
        </w:rPr>
        <w:t>months ended June 30, 2026 included the following u</w:t>
      </w:r>
      <w:r>
        <w:rPr>
          <w:rFonts w:ascii="Times New Roman;serif" w:hAnsi="Times New Roman;serif"/>
          <w:b w:val="false"/>
          <w:color w:val="000000"/>
          <w:sz w:val="20"/>
        </w:rPr>
        <w:t xml:space="preserve">ses of cash: an increase in inventories of $69.9 million (note 5), a decrease in customer advances of $25.9 million (note 3), a decrease in income tax payable impacting income tax expense of $19.8 million, an increase in prepaid expenses and other current assets of $14.3 million, a $10.7 million increase in accounts payable, an increase in accounts receivable of $4.4 million (note 4), and a decrease in deferred revenue of $1.5 million. The uses of cash were partially offset by a decrease in other payables and accrued expenses of $13.6 million. </w:t>
      </w:r>
    </w:p>
    <w:p>
      <w:pPr>
        <w:pStyle w:val="TextBody"/>
        <w:bidi w:val="0"/>
        <w:spacing w:lineRule="auto" w:line="288" w:before="240" w:after="283"/>
        <w:jc w:val="both"/>
        <w:rPr/>
      </w:pPr>
      <w:r>
        <w:rPr>
          <w:rFonts w:ascii="Times New Roman;serif" w:hAnsi="Times New Roman;serif"/>
          <w:b/>
          <w:i/>
          <w:color w:val="000000"/>
          <w:sz w:val="20"/>
          <w:shd w:fill="FFFFFF" w:val="clear"/>
        </w:rPr>
        <w:t>Cash Flow Used in Investing A</w:t>
      </w:r>
      <w:r>
        <w:rPr>
          <w:rFonts w:ascii="Times New Roman;serif" w:hAnsi="Times New Roman;serif"/>
          <w:b/>
          <w:i/>
          <w:color w:val="000000"/>
          <w:sz w:val="20"/>
        </w:rPr>
        <w:t xml:space="preserve">ctivities. </w:t>
      </w:r>
      <w:r>
        <w:rPr>
          <w:rFonts w:ascii="Times New Roman;serif" w:hAnsi="Times New Roman;serif"/>
          <w:b w:val="false"/>
          <w:color w:val="000000"/>
          <w:sz w:val="20"/>
        </w:rPr>
        <w:t>Net cash used in investing activities, excluding the change in net cash related to time deposits, for the six months ended June 30, 2026 was $92.5 million, primarily consisting of purchases of property, plant and equipment of $87.3 million and purchase of long-term investments of $4.7 million with the remaining use attributable to intangible assets.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shd w:fill="FFFFFF" w:val="clear"/>
        </w:rPr>
        <w:t xml:space="preserve">Cash Flow Provided by Financing Activities. </w:t>
      </w:r>
      <w:r>
        <w:rPr>
          <w:rFonts w:ascii="Times New Roman;serif" w:hAnsi="Times New Roman;serif"/>
          <w:b w:val="false"/>
          <w:color w:val="000000"/>
          <w:sz w:val="20"/>
          <w:shd w:fill="FFFFFF" w:val="clear"/>
        </w:rPr>
        <w:t>Net cash provided by financing activities</w:t>
      </w:r>
      <w:r>
        <w:rPr>
          <w:color w:val="000000"/>
          <w:shd w:fill="FFFFFF" w:val="clear"/>
        </w:rPr>
        <w:t xml:space="preserve"> </w:t>
      </w:r>
      <w:r>
        <w:rPr>
          <w:rFonts w:ascii="Times New Roman;serif" w:hAnsi="Times New Roman;serif"/>
          <w:b w:val="false"/>
          <w:color w:val="000000"/>
          <w:sz w:val="20"/>
          <w:shd w:fill="FFFFFF" w:val="clear"/>
        </w:rPr>
        <w:t>for the six months ended June 30, 2026</w:t>
      </w:r>
      <w:r>
        <w:rPr>
          <w:color w:val="000000"/>
        </w:rPr>
        <w:t xml:space="preserve"> </w:t>
      </w:r>
      <w:r>
        <w:rPr>
          <w:rFonts w:ascii="Times New Roman;serif" w:hAnsi="Times New Roman;serif"/>
          <w:b w:val="false"/>
          <w:color w:val="000000"/>
          <w:sz w:val="20"/>
        </w:rPr>
        <w:t>was $332.6 million, primarily consisting of $43.2 million in net proceeds and repayments of short-term and long-term borrowing (note 11), $148.4 million of proceeds from issuance of ACMR shares, $110.2 million of gross proceeds from sales of ACM Shanghai's shares, and $30.8 million of proceeds from the exercise of stock options.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We and ACM Shanghai, together with the subsidiaries of ACM Shanghai, have short-term and long-term borrowings with </w:t>
      </w:r>
      <w:r>
        <w:rPr>
          <w:rFonts w:ascii="Times New Roman;serif" w:hAnsi="Times New Roman;serif"/>
          <w:b w:val="false"/>
          <w:color w:val="000000"/>
          <w:sz w:val="20"/>
        </w:rPr>
        <w:t>the following banks: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05"/>
        <w:gridCol w:w="458"/>
        <w:gridCol w:w="462"/>
        <w:gridCol w:w="109"/>
        <w:gridCol w:w="109"/>
        <w:gridCol w:w="109"/>
        <w:gridCol w:w="370"/>
        <w:gridCol w:w="370"/>
        <w:gridCol w:w="371"/>
        <w:gridCol w:w="109"/>
        <w:gridCol w:w="109"/>
        <w:gridCol w:w="109"/>
        <w:gridCol w:w="786"/>
        <w:gridCol w:w="669"/>
        <w:gridCol w:w="638"/>
        <w:gridCol w:w="109"/>
        <w:gridCol w:w="109"/>
        <w:gridCol w:w="109"/>
        <w:gridCol w:w="295"/>
        <w:gridCol w:w="295"/>
        <w:gridCol w:w="296"/>
        <w:gridCol w:w="109"/>
        <w:gridCol w:w="109"/>
        <w:gridCol w:w="109"/>
        <w:gridCol w:w="356"/>
        <w:gridCol w:w="931"/>
        <w:gridCol w:w="122"/>
        <w:gridCol w:w="109"/>
        <w:gridCol w:w="109"/>
        <w:gridCol w:w="109"/>
        <w:gridCol w:w="337"/>
        <w:gridCol w:w="930"/>
        <w:gridCol w:w="179"/>
      </w:tblGrid>
      <w:tr>
        <w:trPr/>
        <w:tc>
          <w:tcPr>
            <w:tcW w:w="70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Agreement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Annual </w:t>
              <w:b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Maximum Borrowing</w:t>
              <w:br/>
              <w:t>Amount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42424"/>
                <w:sz w:val="20"/>
              </w:rPr>
            </w:pPr>
            <w:r>
              <w:rPr>
                <w:rFonts w:ascii="Times New Roman;serif" w:hAnsi="Times New Roman;serif"/>
                <w:b/>
                <w:color w:val="242424"/>
                <w:sz w:val="20"/>
              </w:rPr>
              <w:t>Amount Outstanding</w:t>
              <w:br/>
              <w:t>at June 30, 2026</w:t>
            </w:r>
          </w:p>
        </w:tc>
      </w:tr>
      <w:tr>
        <w:trPr/>
        <w:tc>
          <w:tcPr>
            <w:tcW w:w="1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Everbright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RMB181,567 </w:t>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Merchants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RMB500,251 </w:t>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China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RMB831,518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RMB620,903 </w:t>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91,149 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Shanghai Pudong Development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RMB300,000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RMB100,053</w:t>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Commercial Bank of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2.25%-2.65%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RMB500,000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RMB466,224</w:t>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68,440 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Merchants Bank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Repayable by installments and the last installments repayable in November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RMB128,500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RMB63,042</w:t>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Agricultural Bank of China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Repayable by installments and the last installments repayable in April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RMB300,000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RMB290,177 </w:t>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42,598 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CITIC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RMB100,053 </w:t>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Total US Dollars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478,275 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340,909 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40"/>
        <w:jc w:val="both"/>
        <w:rPr/>
      </w:pPr>
      <w:r>
        <w:rPr>
          <w:rFonts w:ascii="Times New Roman;serif" w:hAnsi="Times New Roman;serif"/>
          <w:b w:val="false"/>
          <w:color w:val="000000"/>
          <w:sz w:val="20"/>
          <w:shd w:fill="FFFFFF" w:val="clear"/>
        </w:rPr>
        <w:t>(1)</w:t>
      </w:r>
      <w:r>
        <w:rPr>
          <w:rFonts w:ascii="Times New Roman;serif" w:hAnsi="Times New Roman;serif"/>
          <w:b w:val="false"/>
          <w:color w:val="000000"/>
          <w:sz w:val="20"/>
        </w:rPr>
        <w:t xml:space="preserve">Converted from RMB to dollars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loan from China Merchants Bank is secured by a pledge of the property of ACM Lingang and guaranteed by ACM Shanghai, as described above under “—Contractual Obligations.”</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(3)In May 2026, the Company entered into a loan agreement of RMB231,518 ($33,987) at a 2.65% interest rate, which was subsequently secured by a pledge of the property of ACM Shanghai (note 6) in July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Loan Covenants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2025, ACM Shanghai secured a long-term loan with the Bank of China (note 9) for ACM Shanghai’s project expenditures. The loan requires ACM Shanghai’s year-end outstanding interest-bearing debt not to exceed five times of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annual EBITDA, and to comply with other non-financial covenants, or Bank of China has the right to suspend the loan, or request ACM Shanghai to accelerate repayment or provide credit enhancement.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Effect of exchange rate changes on cash, cash equivalents and restricted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impact of fluctuations of the RMB to U.S. dollar currency exchange rate in RMB-denominated accounts (note 2) contributed to a $7.4 million increase in the value of these items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Grant Contract for State-owned Construction Land Use Right in Shanghai City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In 2020, ACM Shanghai, through its wholly-owned subsidiary ACM Lingang, entered into a Grant Contract for State-owned Construction Land Use Right in Shanghai City (Category of R&amp;D Headquarters and Industrial Projects), or the Grant Agreement, with the China (Shanghai) Pilot Free Trade Zone Lin-gang Special Area Administration, or the Grantor. ACM Lingang obtained rights to use approximately 43,000 square meters (10.6 acres) of land in the East China Silicon Hub of Lin-gang Special Area of China (Shanghai) Pilot Free Trade Zone for a period of fifty years, commencing on the date of delivery of the land in July 2020. For a description of the material terms of the Grant Agreement, see “Item 7. Management’s Discussion and Analysis of Financial Condition and Results of Operations—Contractual Obligations” in our 2025 Annual Report and see</w:t>
      </w:r>
      <w:r>
        <w:rPr>
          <w:color w:val="000000"/>
        </w:rPr>
        <w:t xml:space="preserve"> </w:t>
      </w:r>
      <w:r>
        <w:rPr>
          <w:rFonts w:ascii="Times New Roman;serif" w:hAnsi="Times New Roman;serif"/>
          <w:b w:val="false"/>
          <w:color w:val="000000"/>
          <w:sz w:val="20"/>
        </w:rPr>
        <w:t>note 16 for additio</w:t>
      </w:r>
      <w:r>
        <w:rPr>
          <w:rFonts w:ascii="Times New Roman;serif" w:hAnsi="Times New Roman;serif"/>
          <w:b w:val="false"/>
          <w:color w:val="000000"/>
          <w:sz w:val="20"/>
          <w:shd w:fill="FFFFFF" w:val="clear"/>
        </w:rPr>
        <w:t>nal detail.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How We Evaluate Our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present information below with respect to four measures of financial performance:</w:t>
      </w:r>
    </w:p>
    <w:p>
      <w:pPr>
        <w:pStyle w:val="TextBody"/>
        <w:bidi w:val="0"/>
        <w:spacing w:lineRule="auto" w:line="288" w:before="240" w:after="283"/>
        <w:ind w:left="0" w:right="0" w:hanging="720"/>
        <w:jc w:val="both"/>
        <w:rPr/>
      </w:pPr>
      <w:r>
        <w:rPr>
          <w:color w:val="000000"/>
          <w:shd w:fill="FFFFFF" w:val="clear"/>
        </w:rPr>
        <w:t>•</w:t>
      </w:r>
      <w:r>
        <w:rPr>
          <w:rFonts w:ascii="Times New Roman;serif" w:hAnsi="Times New Roman;serif"/>
          <w:b w:val="false"/>
          <w:color w:val="000000"/>
          <w:sz w:val="20"/>
          <w:shd w:fill="FFFFFF" w:val="clear"/>
        </w:rPr>
        <w:t>We define shipments of tools to include (a) a repeat shipment to a customer of a type of tool that the customer has previously accepted, for which we recognize revenue upon shipment or delivery, and (b) a first-time shipment of a first tool to a customer on an approval basis, for which we may recognize revenue in the future if contractual conditions are met, or if a purchase order is received.</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We define “adjusted EBITDA” as net income excluding interest expense (net), income tax benefit (expense), depreciation and amortization, unrealized (gain) loss on short-term investments, and stock-based compensation. We define adjusted EBITDA to also exclude restructuring costs, although we have not incurred any such costs to date.</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We define “free cash flow” as net cash provided by operating activities less purchases of property and equipment (net of proceeds from disposals) and purchase of short-term and long-term investments.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We define “adjusted operating income (loss)” as our income (loss) from operations excluding stock-based compensation.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financial measures are not based on any standardized methodologies prescribed by accounting principles generally accepted in the United States, or GAAP, and are not necessarily comparable to similarly titled measures presented by other companies.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Shipments, adjusted EBITDA, free cash flow and adjusted operating income (loss) are not prepared in accordance with GAAP, and should not be considered in isolation of, or as an alternative to, measures prepared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ind w:left="0" w:right="0" w:firstLine="7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Shipments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consider shipments a key operating metric as it reflects the total value of products delivered to customers and prospective customers by our productive assets.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Shipments consist of two components: </w:t>
      </w:r>
    </w:p>
    <w:p>
      <w:pPr>
        <w:pStyle w:val="TextBody"/>
        <w:bidi w:val="0"/>
        <w:spacing w:lineRule="auto" w:line="288" w:before="240" w:after="283"/>
        <w:ind w:left="0" w:right="0" w:hanging="720"/>
        <w:jc w:val="both"/>
        <w:rPr/>
      </w:pPr>
      <w:r>
        <w:rPr>
          <w:color w:val="000000"/>
          <w:shd w:fill="FFFFFF" w:val="clear"/>
        </w:rPr>
        <w:t>•</w:t>
      </w:r>
      <w:r>
        <w:rPr>
          <w:rFonts w:ascii="Times New Roman;serif" w:hAnsi="Times New Roman;serif"/>
          <w:b w:val="false"/>
          <w:color w:val="000000"/>
          <w:sz w:val="20"/>
          <w:shd w:fill="FFFFFF" w:val="clear"/>
        </w:rPr>
        <w:t>a shipment to a customer of a type of tool that the customer has previously accepted, for which we recognize revenue when the tool is delivered; and</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customer’s subsequent discretionary commitment to purchase the tool.</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pStyle w:val="TextBody"/>
        <w:bidi w:val="0"/>
        <w:spacing w:lineRule="auto" w:line="288" w:before="240" w:after="283"/>
        <w:jc w:val="both"/>
        <w:rPr/>
      </w:pPr>
      <w:r>
        <w:rPr>
          <w:rFonts w:ascii="Times New Roman;serif" w:hAnsi="Times New Roman;serif"/>
          <w:b w:val="false"/>
          <w:color w:val="000000"/>
          <w:sz w:val="20"/>
        </w:rPr>
        <w:t>S</w:t>
      </w:r>
      <w:r>
        <w:rPr>
          <w:rFonts w:ascii="Times New Roman;serif" w:hAnsi="Times New Roman;serif"/>
          <w:b w:val="false"/>
          <w:color w:val="000000"/>
          <w:sz w:val="20"/>
          <w:shd w:fill="FFFFFF" w:val="clear"/>
        </w:rPr>
        <w:t>hipments in the six months ended June 30, 2026 totaled $522.2 million, as compared to $363.1 million for the same period in 2025. Repeat tool shipments in the six months ended June 30, 2026 totaled $266.2 million, as compared to $167.9 million for same period in 2025. First tool shipments in the six months ended June 30, 2026 totaled $256.0 million, as compared to $195.1 million for the same period in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 “First tool” shipments reflect the value of incremental new products under evaluation delivered to our customers or prospective customers for a given period and is used as an internal key metric to reflect future potential revenue opportunity. The cumulative cost of “first tool” shipments under evaluation at customers which have not been accepted by the customer is carried at cost and reflected in finished goods inventory (see Note 5 to the condensed consolidated financial statements included in this report). “First tool” shipments exclude deliveries to customers for which ACM Research does not have a basis to expect future revenue.</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Adjusted </w:t>
      </w:r>
      <w:bookmarkStart w:id="2" w:name="i32339f17bac145e5bcb4ca0c2b8580b8_10534"/>
      <w:bookmarkEnd w:id="2"/>
      <w:r>
        <w:rPr>
          <w:rFonts w:ascii="Times New Roman;serif" w:hAnsi="Times New Roman;serif"/>
          <w:b/>
          <w:i/>
          <w:color w:val="000000"/>
          <w:sz w:val="20"/>
          <w:shd w:fill="FFFFFF" w:val="clear"/>
        </w:rPr>
        <w:t xml:space="preserve">EBITDA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are a number of limitations related to the use of adjusted EBITDA rather than net income (loss), which is the nearest GAAP equivalent. Some of these limitations are:</w:t>
      </w:r>
    </w:p>
    <w:p>
      <w:pPr>
        <w:pStyle w:val="TextBody"/>
        <w:bidi w:val="0"/>
        <w:spacing w:lineRule="auto" w:line="288" w:before="240" w:after="283"/>
        <w:ind w:left="0" w:right="0" w:hanging="720"/>
        <w:jc w:val="both"/>
        <w:rPr/>
      </w:pPr>
      <w:r>
        <w:rPr>
          <w:color w:val="000000"/>
          <w:shd w:fill="FFFFFF" w:val="clear"/>
        </w:rPr>
        <w:t>•</w:t>
      </w:r>
      <w:r>
        <w:rPr>
          <w:rFonts w:ascii="Times New Roman;serif" w:hAnsi="Times New Roman;serif"/>
          <w:b w:val="false"/>
          <w:color w:val="000000"/>
          <w:sz w:val="20"/>
          <w:shd w:fill="FFFFFF" w:val="clear"/>
        </w:rPr>
        <w:t>adjusted EBITDA excludes depreciation and amortization and, although these are non-cash expenses, the assets being depreciated or amortized may have to be replaced in the future;</w:t>
      </w:r>
    </w:p>
    <w:p>
      <w:pPr>
        <w:pStyle w:val="TextBody"/>
        <w:bidi w:val="0"/>
        <w:spacing w:lineRule="auto" w:line="288" w:before="0" w:after="0"/>
        <w:ind w:left="0" w:right="0" w:hanging="720"/>
        <w:jc w:val="both"/>
        <w:rPr/>
      </w:pPr>
      <w:r>
        <w:rPr>
          <w:color w:val="000000"/>
          <w:shd w:fill="FFFFFF" w:val="clear"/>
        </w:rPr>
        <w:t>•</w:t>
      </w:r>
      <w:r>
        <w:rPr>
          <w:rFonts w:ascii="Times New Roman;serif" w:hAnsi="Times New Roman;serif"/>
          <w:b w:val="false"/>
          <w:color w:val="000000"/>
          <w:sz w:val="20"/>
          <w:shd w:fill="FFFFFF" w:val="clear"/>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the expenses and other items that we exclude in our calculation of adjusted EBITDA may differ from the expenses and other items, if any, that other companies may exclude from adjusted EBITDA when they report their operating results;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adjusted EBITDA does not reflect changes in, or cash requirements for, working capital needs;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adjusted EBITDA does not reflect interest expense, or the requirements necessary to service interest or principal payments on debt;</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adjusted EBITDA does not reflect income tax expense (benefit) or the cash requirements to pay taxes;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adjusted EBITDA does not reflect historical cash expenditures or future requirements for capital expenditures or contractual commitments; and</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 xml:space="preserve">adjusted EBITDA includes expense reductions and non-operating other income attributable to mainland China governmental grants, which may mask the effect of underlying developments in net income, including trends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current expenses and interest expense, and free cash flow includes mainland China governmental grants, the amount and timing of which can be difficult to predict and are outside our control.</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reconciles net income, the most directly comparable GAAP financial measure, to adjusted EBITDA:</w:t>
      </w:r>
    </w:p>
    <w:tbl>
      <w:tblPr>
        <w:tblW w:w="9961" w:type="dxa"/>
        <w:jc w:val="left"/>
        <w:tblInd w:w="0" w:type="dxa"/>
        <w:tblLayout w:type="fixed"/>
        <w:tblCellMar>
          <w:top w:w="28" w:type="dxa"/>
          <w:left w:w="28" w:type="dxa"/>
          <w:bottom w:w="28" w:type="dxa"/>
          <w:right w:w="28" w:type="dxa"/>
        </w:tblCellMar>
      </w:tblPr>
      <w:tblGrid>
        <w:gridCol w:w="1374"/>
        <w:gridCol w:w="1208"/>
        <w:gridCol w:w="1212"/>
        <w:gridCol w:w="211"/>
        <w:gridCol w:w="826"/>
        <w:gridCol w:w="109"/>
        <w:gridCol w:w="109"/>
        <w:gridCol w:w="109"/>
        <w:gridCol w:w="109"/>
        <w:gridCol w:w="211"/>
        <w:gridCol w:w="721"/>
        <w:gridCol w:w="109"/>
        <w:gridCol w:w="109"/>
        <w:gridCol w:w="109"/>
        <w:gridCol w:w="109"/>
        <w:gridCol w:w="359"/>
        <w:gridCol w:w="362"/>
        <w:gridCol w:w="659"/>
        <w:gridCol w:w="109"/>
        <w:gridCol w:w="109"/>
        <w:gridCol w:w="109"/>
        <w:gridCol w:w="314"/>
        <w:gridCol w:w="1076"/>
        <w:gridCol w:w="229"/>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 Data: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87,202 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326.4</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Stock 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Unrealized gain on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4,037.5</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(66,538)</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28,058 </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We do not exclude from adjusted EBITDA expense reductions and non-operating other income attributable to mainland China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mainland China grants, please see “</w:t>
      </w:r>
      <w:r>
        <w:rPr>
          <w:color w:val="000000"/>
        </w:rPr>
        <w:t>—</w:t>
      </w:r>
      <w:r>
        <w:rPr>
          <w:rFonts w:ascii="Times New Roman;serif" w:hAnsi="Times New Roman;serif"/>
          <w:b w:val="false"/>
          <w:color w:val="000000"/>
          <w:sz w:val="20"/>
        </w:rPr>
        <w:t>M</w:t>
      </w:r>
      <w:r>
        <w:rPr>
          <w:rFonts w:ascii="Times New Roman;serif" w:hAnsi="Times New Roman;serif"/>
          <w:b w:val="false"/>
          <w:color w:val="000000"/>
          <w:sz w:val="20"/>
          <w:shd w:fill="FFFFFF" w:val="clear"/>
        </w:rPr>
        <w:t>ainland China Government Research and Development Funding.”</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Free Cash Flow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following table reconciles net cash </w:t>
      </w:r>
      <w:r>
        <w:rPr>
          <w:rFonts w:ascii="Times New Roman;serif" w:hAnsi="Times New Roman;serif"/>
          <w:b w:val="false"/>
          <w:color w:val="000000"/>
          <w:sz w:val="20"/>
        </w:rPr>
        <w:t xml:space="preserve">(used in) </w:t>
      </w:r>
      <w:r>
        <w:rPr>
          <w:rFonts w:ascii="Times New Roman;serif" w:hAnsi="Times New Roman;serif"/>
          <w:b w:val="false"/>
          <w:color w:val="000000"/>
          <w:sz w:val="20"/>
          <w:shd w:fill="FFFFFF" w:val="clear"/>
        </w:rPr>
        <w:t>provided by</w:t>
      </w:r>
      <w:r>
        <w:rPr>
          <w:color w:val="000000"/>
        </w:rPr>
        <w:t xml:space="preserve"> </w:t>
      </w:r>
      <w:r>
        <w:rPr>
          <w:rFonts w:ascii="Times New Roman;serif" w:hAnsi="Times New Roman;serif"/>
          <w:b w:val="false"/>
          <w:color w:val="000000"/>
          <w:sz w:val="20"/>
          <w:shd w:fill="FFFFFF" w:val="clear"/>
        </w:rPr>
        <w:t>operating activities, the most directly comparable GAAP financial measure, to free cash flow:</w:t>
      </w:r>
    </w:p>
    <w:tbl>
      <w:tblPr>
        <w:tblW w:w="10205" w:type="dxa"/>
        <w:jc w:val="left"/>
        <w:tblInd w:w="0" w:type="dxa"/>
        <w:tblLayout w:type="fixed"/>
        <w:tblCellMar>
          <w:top w:w="28" w:type="dxa"/>
          <w:left w:w="28" w:type="dxa"/>
          <w:bottom w:w="28" w:type="dxa"/>
          <w:right w:w="28" w:type="dxa"/>
        </w:tblCellMar>
      </w:tblPr>
      <w:tblGrid>
        <w:gridCol w:w="1474"/>
        <w:gridCol w:w="1290"/>
        <w:gridCol w:w="1294"/>
        <w:gridCol w:w="211"/>
        <w:gridCol w:w="899"/>
        <w:gridCol w:w="109"/>
        <w:gridCol w:w="109"/>
        <w:gridCol w:w="109"/>
        <w:gridCol w:w="109"/>
        <w:gridCol w:w="211"/>
        <w:gridCol w:w="794"/>
        <w:gridCol w:w="109"/>
        <w:gridCol w:w="109"/>
        <w:gridCol w:w="109"/>
        <w:gridCol w:w="109"/>
        <w:gridCol w:w="285"/>
        <w:gridCol w:w="286"/>
        <w:gridCol w:w="655"/>
        <w:gridCol w:w="109"/>
        <w:gridCol w:w="109"/>
        <w:gridCol w:w="109"/>
        <w:gridCol w:w="291"/>
        <w:gridCol w:w="1099"/>
        <w:gridCol w:w="217"/>
      </w:tblGrid>
      <w:tr>
        <w:trPr/>
        <w:tc>
          <w:tcPr>
            <w:tcW w:w="147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7"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4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4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Free Cash Flow Data:</w:t>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(55,853)</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and long-term investments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(127,905)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(71,077)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(56,828)</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reduction in free cash flow for the six months ended June 30, 2026 as compared to the same period in 2025 reflected the factors driving net cash used in operating activities, </w:t>
      </w:r>
      <w:r>
        <w:rPr>
          <w:rFonts w:ascii="Times New Roman;serif" w:hAnsi="Times New Roman;serif"/>
          <w:b w:val="false"/>
          <w:color w:val="000000"/>
          <w:sz w:val="20"/>
        </w:rPr>
        <w:t>an increase</w:t>
      </w:r>
      <w:r>
        <w:rPr>
          <w:color w:val="000000"/>
          <w:shd w:fill="FFFFFF" w:val="clear"/>
        </w:rPr>
        <w:t xml:space="preserve"> </w:t>
      </w:r>
      <w:r>
        <w:rPr>
          <w:rFonts w:ascii="Times New Roman;serif" w:hAnsi="Times New Roman;serif"/>
          <w:b w:val="false"/>
          <w:color w:val="000000"/>
          <w:sz w:val="20"/>
          <w:shd w:fill="FFFFFF" w:val="clear"/>
        </w:rPr>
        <w:t>of purchases of property and equipment, and long-term investments. Consistent with our methodology for calculating adjusted EBITDA, we do not adjust free cash flow for the effects of mainland China government subsidies, because we take those subsidies into account in incurring expenses and capital expenditures. We do not adjust free cash flow for the effects of time-deposits, which for our internal purposes are considered as largely similar to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Adjusted Operating Income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w:t>
      </w:r>
      <w:r>
        <w:rPr>
          <w:rFonts w:ascii="Times New Roman;serif" w:hAnsi="Times New Roman;serif"/>
          <w:b w:val="false"/>
          <w:color w:val="000000"/>
          <w:sz w:val="20"/>
        </w:rPr>
        <w:t xml:space="preserve">a high degree of </w:t>
      </w:r>
      <w:r>
        <w:rPr>
          <w:rFonts w:ascii="Times New Roman;serif" w:hAnsi="Times New Roman;serif"/>
          <w:b w:val="false"/>
          <w:color w:val="000000"/>
          <w:sz w:val="20"/>
          <w:shd w:fill="FFFFFF" w:val="clear"/>
        </w:rPr>
        <w:t>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w:t>
      </w:r>
      <w:r>
        <w:rPr>
          <w:color w:val="000000"/>
        </w:rPr>
        <w:t xml:space="preserve"> </w:t>
      </w:r>
      <w:r>
        <w:rPr>
          <w:rFonts w:ascii="Times New Roman;serif" w:hAnsi="Times New Roman;serif"/>
          <w:b w:val="false"/>
          <w:color w:val="000000"/>
          <w:sz w:val="20"/>
        </w:rPr>
        <w:t>such as market volatility, that are beyond our control.</w:t>
      </w:r>
      <w:r>
        <w:rPr>
          <w:color w:val="000000"/>
          <w:shd w:fill="FFFFFF" w:val="clear"/>
        </w:rPr>
        <w:t xml:space="preserve"> </w:t>
      </w:r>
      <w:r>
        <w:rPr>
          <w:rFonts w:ascii="Times New Roman;serif" w:hAnsi="Times New Roman;serif"/>
          <w:b w:val="false"/>
          <w:color w:val="000000"/>
          <w:sz w:val="20"/>
          <w:shd w:fill="FFFFFF" w:val="clear"/>
        </w:rPr>
        <w:t>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from operations:</w:t>
      </w:r>
    </w:p>
    <w:tbl>
      <w:tblPr>
        <w:tblW w:w="10927" w:type="dxa"/>
        <w:jc w:val="left"/>
        <w:tblInd w:w="0" w:type="dxa"/>
        <w:tblLayout w:type="fixed"/>
        <w:tblCellMar>
          <w:top w:w="28" w:type="dxa"/>
          <w:left w:w="28" w:type="dxa"/>
          <w:bottom w:w="28" w:type="dxa"/>
          <w:right w:w="28" w:type="dxa"/>
        </w:tblCellMar>
      </w:tblPr>
      <w:tblGrid>
        <w:gridCol w:w="918"/>
        <w:gridCol w:w="810"/>
        <w:gridCol w:w="823"/>
        <w:gridCol w:w="211"/>
        <w:gridCol w:w="826"/>
        <w:gridCol w:w="109"/>
        <w:gridCol w:w="109"/>
        <w:gridCol w:w="109"/>
        <w:gridCol w:w="109"/>
        <w:gridCol w:w="211"/>
        <w:gridCol w:w="736"/>
        <w:gridCol w:w="109"/>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11"/>
        <w:gridCol w:w="82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Actual</w:t>
              <w:br/>
              <w:t>(GAAP)</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SBC</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Adjusted</w:t>
              <w:br/>
              <w:t>(Non-</w:t>
              <w:br/>
              <w:t>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Actual</w:t>
              <w:br/>
              <w:t>(GAAP)</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SBC</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Adjusted</w:t>
              <w:br/>
              <w:t>(Non-GAAP)</w:t>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(199,823)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241,856 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(19,587)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77,058 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Quantitative and Qualitative Disclosures About Market Risks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market risks and the ways we manage them are summarized in the section captioned “Part II, Item 7A. Quantitative and Qualitative Disclosures About Market Risk” in our 2025 Annual Report. There have been no material changes in the first six months of 2026 to our market risks or to our management of such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Evaluation of Disclosure Controls and Procedures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Our management, with the participation of our Chief Executive Officer and Chief Financial Officer, evaluated the effectiveness of our disclosure controls and procedures pursuant to Rule 13a-15 under the Securities Exchange Act of 1934, or the Exchange Act, as of June 30, 2026. </w:t>
      </w:r>
      <w:r>
        <w:rPr>
          <w:rFonts w:ascii="Times New Roman;serif" w:hAnsi="Times New Roman;serif"/>
          <w:b w:val="false"/>
          <w:color w:val="000000"/>
          <w:sz w:val="20"/>
        </w:rPr>
        <w:t>In designing and evaluating the disclosure controls and procedures, our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its judgment in evaluating the benefits of possible controls and procedures relative to their costs.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Based on such evaluation, our Chief Executive Officer and Chief Financial Officer concluded that, as of June 30, 2026, our disclosure controls and procedures were effective </w:t>
      </w:r>
      <w:r>
        <w:rPr>
          <w:rFonts w:ascii="Times New Roman;serif" w:hAnsi="Times New Roman;serif"/>
          <w:b w:val="false"/>
          <w:color w:val="000000"/>
          <w:sz w:val="20"/>
        </w:rPr>
        <w:t>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changes in our internal control over financial reporting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we may become involved in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1A. 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to the risk factors discussed in Item 1A. “Risk Factors” of Part I in our 2025 Annual Report.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21, 2026, Mark McKechnie, Chief Financial Officer of ACM Research, Inc., adopted a Rule 10b5-1 trading arrangement (the “McKechnie Plan”) that is intended to satisfy the affirmative defense of Rule 10b5-1(c) of the Exchange Act. The McKechnie Plan allows for the contemporaneous exercise of options and sale of up to 105,199 shares of Class A Common Stock, at specific market prices, commencing on August 20, 2026, and continuing until (i) all such options are exercised and the underlying shares are sold, (ii) May 19, 2028, or (iii) such date that the McKechnie Plan is otherwise terminated according to its terms, whichever comes first.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5, 2026, Hui Wang, Chief Executive Officer of ACM Research, Inc. adopted a Rule 10b5-1 trading arrangement (the “Wang Plan”) that is intended to satisfy the affirmative defense of Rule 10b5-1(c) of the Exchange Act. The Wang Plan allows for the contemporaneous exercise of options and sale of up to 270,000 shares of Class A Common Stock, at specific market prices, commencing on September 8, 2026, and continuing until (i) all such options are exercised and the underlying shares are sold, (ii) November 30, 2026, or (iii) such date that the Wang Plan is otherwise terminated according to its terms, whichever comes first.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8, 2026, Sotheara Cheav, Senior Vice President, Manufacturing of ACM Research, Inc., adopted a Rule 10b5-1 trading arrangement (the “Cheav Plan”) that is intended to satisfy the affirmative defense of Rule 10b5-1(c) of the Exchange Act. The Cheav Plan allows for the contemporaneous exercise of options and sale of up to 13,750 shares of Class A Common Stock, at specific market prices, commencing on September 8, 2026, and continuing until (i) all such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are exercised and the underlying shares are sold, (ii) September 9, 2027, or (iii) such date that the Cheav Plan is otherwise terminated according to its terms, whichever comes first.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15, 2026, Lisa Feng, Chief Executive Officer of ACM Shanghai, Inc. adopted a Rule 10b5-1 trading arrangement (the “Feng Plan”) that is intended to satisfy the affirmative defense of Rule 10b5-1(c) of the Exchange Act. The Feng Plan allows for the contemporaneous exercise of options and sale of up to 7,596 shares of Class A Common Stock, at specific market prices, commencing on September 14, 2026, and continuing until (i) all such options are exercised and the underlying shares are sold, (ii) September 14, 2027, or (iii) such date that the Feng Plan is otherwise terminated according to its terms, whichever comes first.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shd w:fill="FFFFFF" w:val="clear"/>
        </w:rPr>
        <w:t>I</w:t>
      </w:r>
      <w:r>
        <w:rPr>
          <w:rFonts w:ascii="Times New Roman;serif" w:hAnsi="Times New Roman;serif"/>
          <w:b/>
          <w:color w:val="000000"/>
          <w:sz w:val="20"/>
        </w:rPr>
        <w:t>tem 6.    Exhibits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exhibits are filed as part of this report:</w:t>
      </w:r>
    </w:p>
    <w:tbl>
      <w:tblPr>
        <w:tblW w:w="10205" w:type="dxa"/>
        <w:jc w:val="left"/>
        <w:tblInd w:w="0" w:type="dxa"/>
        <w:tblLayout w:type="fixed"/>
        <w:tblCellMar>
          <w:top w:w="28" w:type="dxa"/>
          <w:left w:w="28" w:type="dxa"/>
          <w:bottom w:w="28" w:type="dxa"/>
          <w:right w:w="28" w:type="dxa"/>
        </w:tblCellMar>
      </w:tblPr>
      <w:tblGrid>
        <w:gridCol w:w="293"/>
        <w:gridCol w:w="258"/>
        <w:gridCol w:w="259"/>
        <w:gridCol w:w="109"/>
        <w:gridCol w:w="109"/>
        <w:gridCol w:w="109"/>
        <w:gridCol w:w="2753"/>
        <w:gridCol w:w="2605"/>
        <w:gridCol w:w="3710"/>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loanagreementforfacility.htm">
              <w:r>
                <w:rPr>
                  <w:rStyle w:val="InternetLink"/>
                  <w:rFonts w:ascii="Times New Roman;serif" w:hAnsi="Times New Roman;serif"/>
                  <w:b w:val="false"/>
                  <w:color w:val="0000FF"/>
                  <w:sz w:val="20"/>
                  <w:u w:val="single"/>
                </w:rPr>
                <w:t>10.01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Unofficial English Translation of the Loan Agreement for the purchase of new facility in Shanghai Pudong New Area entered on May 12, 2026</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urchaseagreementforfaci.htm">
              <w:r>
                <w:rPr>
                  <w:rStyle w:val="InternetLink"/>
                  <w:rFonts w:ascii="Times New Roman;serif" w:hAnsi="Times New Roman;serif"/>
                  <w:b w:val="false"/>
                  <w:color w:val="0000FF"/>
                  <w:sz w:val="20"/>
                  <w:u w:val="single"/>
                </w:rPr>
                <w:t>10.02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Unofficial English Translation of the Purchase Agreement for the purchase of new facility in Shanghai Pudong New Area entered on June 5, 2026</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cmr-20260630xex3101.htm">
              <w:r>
                <w:rPr>
                  <w:rStyle w:val="InternetLink"/>
                  <w:rFonts w:ascii="Times New Roman;serif" w:hAnsi="Times New Roman;serif"/>
                  <w:b w:val="false"/>
                  <w:color w:val="0000FF"/>
                  <w:sz w:val="20"/>
                  <w:u w:val="single"/>
                </w:rPr>
                <w:t>31.01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Rules 13a-14(a) and 15d-14(a) under the Securities Exchange Act of 1934, as Adopted Pursuant to Section 302 of the Sarbanes-Oxley Act of 2002</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cmr-20260630xex3102.htm">
              <w:r>
                <w:rPr>
                  <w:rStyle w:val="InternetLink"/>
                  <w:rFonts w:ascii="Times New Roman;serif" w:hAnsi="Times New Roman;serif"/>
                  <w:b w:val="false"/>
                  <w:color w:val="0000FF"/>
                  <w:sz w:val="20"/>
                  <w:u w:val="single"/>
                </w:rPr>
                <w:t>31.02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Rules 13a-14(a) and 15d-14(a) under the Securities Exchange Act of 1934, as Adopted Pursuant to Section 302 of the Sarbanes-Oxley Act of 2002</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cmr-20260630xex3201.htm">
              <w:r>
                <w:rPr>
                  <w:rStyle w:val="InternetLink"/>
                  <w:rFonts w:ascii="Times New Roman;serif" w:hAnsi="Times New Roman;serif"/>
                  <w:b w:val="false"/>
                  <w:color w:val="0000FF"/>
                  <w:sz w:val="20"/>
                  <w:u w:val="single"/>
                </w:rPr>
                <w:t>32.01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and Principal Financial Officer Pursuant to 18 U.S.C. Section 1350, as Adopted Pursuant to Section 906 of the Sarbanes-Oxley Act of 2002</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both"/>
        <w:rPr/>
      </w:pPr>
      <w:hyperlink w:anchor="ie2e7bb88dd6a40438a4c4d2d3f59bbb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7322" w:type="dxa"/>
        <w:jc w:val="left"/>
        <w:tblInd w:w="0" w:type="dxa"/>
        <w:tblLayout w:type="fixed"/>
        <w:tblCellMar>
          <w:top w:w="28" w:type="dxa"/>
          <w:left w:w="28" w:type="dxa"/>
          <w:bottom w:w="28" w:type="dxa"/>
          <w:right w:w="28" w:type="dxa"/>
        </w:tblCellMar>
      </w:tblPr>
      <w:tblGrid>
        <w:gridCol w:w="667"/>
        <w:gridCol w:w="587"/>
        <w:gridCol w:w="590"/>
        <w:gridCol w:w="331"/>
        <w:gridCol w:w="331"/>
        <w:gridCol w:w="331"/>
        <w:gridCol w:w="1307"/>
        <w:gridCol w:w="1307"/>
        <w:gridCol w:w="187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INC.</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Mark McKechnie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 McKechnie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Executive Vice President and</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center"/>
        <w:rPr/>
      </w:pPr>
      <w:bookmarkStart w:id="3" w:name="loanagreementforfacility.htm"/>
      <w:bookmarkStart w:id="4" w:name="ksloanagreementforfacility"/>
      <w:bookmarkEnd w:id="3"/>
      <w:bookmarkEnd w:id="4"/>
      <w:r>
        <w:rPr/>
        <w:drawing>
          <wp:inline distT="0" distB="0" distL="0" distR="0">
            <wp:extent cx="9191625" cy="13001625"/>
            <wp:effectExtent l="0" t="0" r="0" b="0"/>
            <wp:docPr id="5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jc w:val="center"/>
        <w:rPr>
          <w:color w:val="FFFFFF"/>
          <w:sz w:val="2"/>
        </w:rPr>
      </w:pPr>
      <w:r>
        <w:rPr>
          <w:color w:val="FFFFFF"/>
          <w:sz w:val="2"/>
        </w:rPr>
        <w:t xml:space="preserve">Page 1 of 19 Internal Fixed Asset Loan Contract Contract No.: M132026ZM (KJ) 01 Borrower: ACM Research (Shanghai), Inc. Unified social credit code: 91310000774331663A Legal representative/principal: HUI WANG Domicile: Building B2, 999 Dangui Road, Pudong New Area, Shanghai 201203 Financial institution and account number: Bank of China/ 786270029245 Telephone: 021-50808860 Facsimile: 021-50808860 Email: / Lender: Bank of China Limited Shanghai Pilot Free Trade Zone Branch Legal representative/principal: LEYI ZHOU Domicile: 5/F, 58 New Jinqiao Road, Pudong New Area, Shanghai 201206 Telephone: 021-20512666 Facsimile: 021-20512666 Through consultation on an equal footing, the Borrower and the Lender hereby enter into this Contract with respect to the provision of a fixed asset loan (the “Loan”) by the Lender to the Borrower. Section 1 Loan Amount Currency of Loan: RMB Loan amount: (in words) Two hundred thirty one million five hundred eighteen thousand Yuan (in figures) ¥231,518,000.00 Section 2 Term of Loan Term of Loan: 120 months, commencing from the actual utilization date, or in case of utilization in installments, the first actual utilization date. The Borrower shall strictly utilize the Loan on the agreed utilization date(s). If any actual utilization date is later than the agreed utilization date, the Borrower shall still repay the Loan on such repayment date as specified herein. Section 3 Purpose of Loan Purpose of Loan: For purchasing the office building under the Building Property Title Certificate (Shanghai [2024] Pudong Real Estate No. 112919) (the “Property”). Without the written consent of the Lender, the Borrower shall not change the purpose of the Loan, including without limitation, using the Loan proceeds to purchase any property not specified herein, or repay any property mortgage loan, or distribute dividends to its shareholders, or invest in stock or other securities or financial assets, or any project that it is prohibited by the applicable laws, rules, regulatory provisions and national policies from accessing, or that has not been approved according to law, or relend to others, or purchase other financial products for purpose of arbitrage, or falsely increase fiscal revenues, or illegally incur new hidden local government debts, or in any other project or for any other purpose where the use of bank loans is prohibited. Section 4 Loan Rate, Calculation and Settlement of Interest 1. Loan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of 19 Internal The loan rate (simple RMB loan rate per annum) set forth in Paragraph (1) shall apply: (1) Fixed rate: 2.65% per annum, which shall remain unchanged during the term of the Loan.  Source of interest rate for RMB loans: The □ 1-year / 5+-year loan prime rate (LPR) most recently published by the National Interbank Funding Center as of the business day preceding the effective date of this Contract, □ plus / minus 85 base points. (2) Floating rate: Starting from the actual utilization date, or in case of utilization in installments, the first actual utilization date, each □ day □ / months □ / years shall be a reset period, for re-pricing. The re-pricing date shall be the first date of the next reset period, which shall commence on the numerically corresponding day in the month in which the re-pricing occurs, or if there is no numerically corresponding day in that month, the last day of that month. If the reset period is one day, the re-pricing date shall be the day on which the next reset period commences. With respect to each utilization: □ Floating rate for RMB loans (A) The interest rate for the first period (i.e. from the actual utilization date till the expiry date of the current reset period) shall be the □ 1-year /□ 5+-year loan prime rate (LPR) most recently published by the National Interbank Funding Center as of the business day preceding the actual utilization date, □ plus /□ minus / base points. (B) At each re-pricing date, the interest rate shall be reset to the □ 1-year /□ 5+-year loan prime rate (LPR) most recently published by the National Interbank Funding Center as of the business day preceding the re-pricing date, □ plus /□ minus / base points, which shall be the interest rate applicable to all outstanding amounts during the current reset period. 2. Calculation of interest (1) With respect to the fixed rate set forth in Paragraph 1 Subparagraph (1) or the floating rate for RMB loans set forth in Paragraph 1 Subparagraph (2) above: Interest shall accrue from the actual utilization date, based on the actual amount utilized and number of days of utilization. Interest calculation formula: Interest = principal amount * number of days of utilization * daily interest rate. Daily interest rate shall be calculated on the basis of 360 days a year as follows: Daily interest rate = interest rate per annum/360. 3. Settlement of interest The Borrower shall settle interest in such manner as set forth in Subparagraph (1) below: (1) Settlement on a quarterly basis: The 20th day of the last month of each quarter shall be an interest settlement date, and the 21st day of that month shall be an interest payment date. (2) Settlement on a monthly basis: The 20th day of each month shall be an interest settlement date, and the 21st day of that month shall be an interest payment date. If the final repayment date for the principal of the Loan is not an interest payment date, then the final repayment date for the principal of the Loan is deemed an interest payment date, on which the Borrower shall pay all interest due. 4. Default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of 19 Internal (1) If the Borrower fails to repay the Loan on time or use the Loan for the purpose set forth herein, default interest shall accrue on the overdue or misappropriated portion of the Loan, at the default rate set forth in this Paragraph 4, from the day immediately following the due date, or from the date of misappropriation (as the case may be), till the date on which all principal and interest have been paid in full. With respect to any portion of the Loan that is both overdue and misappropriated, the higher default rate shall apply. (2) If the Borrower fails to repay any interest or default interest on time, compound interest shall accrue at the default rate set forth in this Paragraph 4, and be settled pursuant to Paragraph 3 of this Section 4. (3) Default rate Default rate for RMB loans:  Default rate for fixed rate loans (A) Floating rate: □ / months □ one year shall be a reset period. The floating rate shall be reset for each reset period from the day immediately following the due date, or from the date of misappropriation (as the case may be). The re-pricing date shall be the numerically corresponding day of the day immediately following the due date, or the date of misappropriation (as the case may be) in the month in which the re-pricing occurs, or if there is no numerically corresponding day in that month, the last day of that month. (B) Default rate shall be the basic default rate set forth in Clause (C) below, plus 50% for any overdue portion of the Loan, or plus 100% for any misappropriated portion of the Loan. (C) In the first reset period, the basic default rate shall be the interest rate set forth in Paragraph 1 of this Section 4. In each subsequent reset period, the basic default rate shall be the □ 1-year / 5+-year loan prime rate (LPR) most recently published by the National Interbank Funding Center as of the business day preceding the re-pricing date, □ plus / minus 85 base points. □ Default rate for floating rate loans (A) The default rate shall be reset for each reset period set forth in Paragraph 1 of this Section 4, from the day immediately following the due date, or from the date of misappropriation (as the case may be). The re-pricing date for default interest shall be the numerically corresponding day of the day immediately following the due date, or the date of misappropriation (as the case may be) in the month in which the re-pricing occurs, or if there is no numerically corresponding day in that month, the last day of that month. (B) Default rate shall be the basic default rate set forth in Clause (C) below, plus /% for any overdue portion of the Loan, or plus /% for any misappropriated portion of the Loan. (C) In the first reset period, the basic default rate shall be the loan rate applicable in the month in which the default on payment or misappropriation occurs. In each subsequent reset period, the basic default rate shall be reset on the re-pricing date pursuant to Paragraph 1 of this Section 4. 5. Miscellaneous (1) For the purpose of this Contract, both “loan rate” and “default rate” mean interest rate inclusive of tax, i.e. interest imposed by the Lender on the Borrower includes the value-added tax payable pursuant to the applicable laws and regulations of the State. (2) In the event of any material change in the pricing basis for the floating rate hereunder,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6"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of 19 Internal market rules then prevailing shall apply, and the Borrower shall execute such supplemental contract regarding the relevant matters that may be requested by the Lender. (3) For the purpose of this Contract, “pricing basis” shall have the same meaning as “reference rate”. Section 5 Conditions Precedent to Utilization The following conditions shall be satisfied for each utilization by the Borrower: 1. This Contract and its schedules shall have taken effect; 2. The Borrower shall have filed its documents, supporting documents, specimen seal, list of personnel and their specimen signatures with the Lender, and completed the relevant vouchers; 3. the Borrower shall have opened all accounts necessary for the performance of this Contract, at the request of the Lender; 4. the Borrower shall have submitted a written utilization request and related supporting documents regarding the purpose of loan to the Lender, and completed the relevant utilization procedures with the Lender at least five bank business days before the utilization date; the supporting documents to be submitted by the Borrower include the formal property transaction contract, and the notice of contract execution or announcement of auction result issued by the local official transaction platform (ZJPSE Platform, www.zjpse.com); the supporting documents referred to above shall meet the following requirements: /; 5. the Borrower shall have submitted to the Lender the resolutions and letters of authorization of its board of directors or other competent authorities, that approve its execution and performance of this Contract; 6. the capital contribution in a proportion corresponding to the Loan to be disbursed have been in place, and the actual progress of the project hereunder is commensurate with the amounts already invested; 7. if the fixed asset investment project hereunder requires substantial investment, and involves specialized expertise, with the Loan proceeds to be disbursed in installments based on the progress of the project, the Lender has the right to request the Borrower to provide written documents signed by the supervision, assessment, quality inspection and other third-party institutions, confirming the progress and quality of the project; 8. the Borrower shall have provided the guarantee required by the Lender (if any), and the relevant guarantee contract shall have taken effect, and gone through the approval, registration or filing procedures required by law; 9. other conditions precedent to utilization provided in the applicable laws or agreed upon by the Parties: the Borrower’s capital contribution to the fixed asset investment project shall not be lower than 30%, or RMB99,222,000, and must be in place and injected into the project before the availability of the Lender’s Loan, and the project’s financing ratio shall not exceed 70% of the lower of the actual contractual transfer/transaction price and the appraised price. If any condition precedent to utilization set forth above fails to be satisfied, the Lender shall have the right to reject the Borrower’s utilization request, unless the Lender agrees to disburse the Loan. Section 6 Time and Method of Utilization 1. The Borrower shall utilize the Loan at such time and in such manner as set forth in Subparagraph (2) below: (1) To be utilized in one lump on /. (2) To be utilized in full within 100 days after May __,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7" descr=""/>
                    <pic:cNvPicPr>
                      <a:picLocks noChangeAspect="1" noChangeArrowheads="1"/>
                    </pic:cNvPicPr>
                  </pic:nvPicPr>
                  <pic:blipFill>
                    <a:blip r:embed="rId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of 19 Internal (3) To be utilized in installments as follows: Time of utilization Amount to be utilized / / / / / / (4) The Borrower shall submit utilization requests in installments based on the progress of the project, and utilize the Loan with the approval of the Lender, provided that the Borrower shall utilize the Loan in full no later than /. 2. The Lender shall have the right to reject the Borrower’s utilization request with respect to the portion of the Loan that fails to be utilized within the time limit set forth above. 3. Loan commitment service The Lender shall provide the Borrower with the commitment service for the portion of the Loan that is available to, but fails to be utilized by, the Borrower (the “Unutilized Loan”) during the commitment period (from the effective date of this Contract, till the utilization date specified herein).  Others: No commitment fee will be charged. Section 7 Payment of the Loan Proceeds 1. Loan disbursement account The Borrower shall open the following account with the Lender, as the loan disbursement account, through which the disbursement and payment of the Loan proceeds shall be processed. Account name: ACM Research (Shanghai), Inc. Account number: FTE786270029245 2. Payment of the Loan proceeds (1) The Loan proceeds shall be paid in accordance with the applicable laws, rules and regulatory provisions, and the provisions of this Contract. The method of payment of the Loan proceeds for each utilization shall be specified in the utilization request. If the Lender determines that the method of payment of the Loan proceeds selected in the utilization request does not comply with the relevant requirements, the Lender shall have the right to change the method of payment, or stop the disbursement and payment of the Loan proceeds. (2) Consigned disbursement by the Lender means payment by the Lender of the Loan proceeds to the counterparties of the Borrower meeting the purposes set forth herein, based on the Borrower’s utilization request and instructions for payment. (A) According to the applicable regulatory provisions and the Lender’s internal management provisions, where the amount of the Loan proceeds to be paid by the Borrower hereunder in a single transaction, to a single counterparty exceeds RMB/ (or its equivalent in any foreign currency, as converted according to the exchange rate prevailing on the actual utilization date), such amount shall be paid by way of consigned disbursement. (B) Other circumstances agreed upon by the Lender and the Borrower in which consigned disbursement shall apply: The Loan proceeds hereunder shall be paid by way of consigned disbursement. (3) Discretionary payment by the Borrower means that the Lender disburses the Loan proceeds to the Borrower’s account according to the Borrower’s utilization request,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8" descr=""/>
                    <pic:cNvPicPr>
                      <a:picLocks noChangeAspect="1" noChangeArrowheads="1"/>
                    </pic:cNvPicPr>
                  </pic:nvPicPr>
                  <pic:blipFill>
                    <a:blip r:embed="rId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6 of 19 Internal then the Borrower pays the Loan proceeds to its counterparties meeting the purposes set forth herein in its sole discretion. Except where consigned disbursement by the Lender applies as set forth in Subparagraph (2) above, the Loan proceeds shall be paid by the Borrower in its sole discretion. (4) Change in the method of payment. After the submission of the utilization request, in the event of any change in the external payment by the Borrower, as a result of which the conditions set forth in Paragraph 2 Subparagraph (2) of this Section 7 are met, the method of payment of the Loan proceeds shall be changed. In the event of any change in the method of payment, or any change under the mode of consigned disbursement, such as change in the amount payable, payees or purpose of the Loan, the Borrower shall submit to the Lender a written request for change, together with a new utilization request and the relevant transaction information proving the use of funds. 3. Specific requirements for consigned disbursement of the Loan proceeds (1) Instructions for payment. Where the conditions for consigned disbursement by the Lender are met, the Borrower shall give clear instructions for payment in the utilization request, authorizing and instructing the Lender to credit the Loan proceeds to the designated account of the Borrower, and then directly remit the Loan proceeds to the accounts of the counterparties designated by the Borrower that meet the purposes set forth herein, and shall provide the Lender with necessary information for payment, such as name and account number of, and amount payable to, each counterparty. (2) Provision of transaction information. Where the conditions for consigned disbursement by the Lender are met, upon each utilization, the Borrower shall provide the Lender with the particulars of its loan disbursement account and its counterparties’ accounts, and proofs demonstrating that the utilization meets the purposes set forth herein. The Borrower shall warrant that all information provided by it to the Lender is authentic, complete and valid. If any transaction information provided by the Borrower is false, inaccurate or incomplete, as a result of which the Lender fails to fulfill its obligation of consigned disbursement on time, the Lender shall not be liable, and the Borrower shall not be relieved from its repayment obligation already accrued hereunder. The Borrower agrees that where necessary, the Lender may request the Borrower, independent intermediaries, contractors and other parties involved to jointly inspect the progress of the fixed asset investment project. The Lender shall pay the Loan proceeds based on the jointly signed certificate that meets the conditions set forth herein. Such jointly signed certificate shall include: /. (3) Performance of the obligation of consigned disbursement by the Lender (A) In case of consigned disbursement by the Lender, after examination and approval of the request for consigned disbursement and relevant transaction information submitted by the Borrower, the Lender shall pay the Loan proceeds to the counterparties of the Borrower through the Borrower’s account. The Lender shall pay the Loan proceeds to the counterparties of the Borrower through the Borrower’s loan disbursement account set forth in Paragraph 1 of Section 7, within five business days following the disbursement of the Loan proceeds in principle, but in any event not later than the 10th business day from the disbursement of the Loan proceeds, if the Lender is unable to make such consigned disbursement due to reasons attributable to the Borrower, and obtains consent from the Borrower for an extension of such due date through consultation. If the Lender is unable to make such consigned disbursement due to any event of force majeure, the Lender and the Borrower shall fix a reasonable time limit for payment through consultation. (B) If the Lender finds through examination that the evidence of use or other transaction information provided by the Borrower does not comply with the provisions hereof or is otherwise defective, the Lender shall have the right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9" descr=""/>
                    <pic:cNvPicPr>
                      <a:picLocks noChangeAspect="1" noChangeArrowheads="1"/>
                    </pic:cNvPicPr>
                  </pic:nvPicPr>
                  <pic:blipFill>
                    <a:blip r:embed="rId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7 of 19 Internal request the Borrower to supplement, replace, explain or re-submit the relevant information, and before the Borrower submits the transaction information to the satisfaction of the Lender, shall have the right to refuse to disburse and pay the Loan proceeds. (C) If any amount remitted to a counterparty’s account is returned by its bank, as a result of which the Lender is unable to pay the relevant Loan proceeds to such counterparty on time in accordance with the Borrower’s instructions, the Lender shall not be liable, and the Borrower shall not be relieved from its repayment obligation already accrued hereunder. With respect to the amount returned by the counterparty’s bank, the Borrower hereby authorizes the Lender to freeze such amount, in which case, the Borrower shall re-submit the instructions for payment, evidence of use and other transaction information. (4) The Borrower shall not avoid consigned disbursement by the Lender, by breaking up the total amount into smaller payments. 4. After the disbursement of the Loan proceeds, at the request of the Lender, the Borrower shall promptly provide the record and documents about the use of the Loan proceeds, including without limitation invoices. 5. In the event of any of the following, the Lender shall have the right to amend the conditions for disbursement and payment of the Loan proceeds, change the method of payment, and terminate or suspend the disbursement and payment of the Loan proceeds: (1) where the Borrower’s credit standing is deteriorating; (2) where the Borrower’s business situation and financial position are significantly worsening; (3) where the Loan proceeds have been used abnormally, or the Borrower avoids consigned disbursement by the Lender; or (4) where the Borrower otherwise materially breaches this Contract. Section 8 Repayment 1. Unless otherwise agreed upon by the Parties, the Borrower shall repay the Loan hereunder in accordance with the repayment schedule set out in Subparagraph (2) below: (1) The Loan shall be repaid in full upon the expiration of the term of the Loan. (Note: Pursuant to Article 25 of the Administrative Measures for Fixed Asset Loans (Order of the National Financial Regulatory Administration [2024] No. 1), this provision does not apply to any loan with a term of more than one year). (2) The Loan hereunder shall be repaid in accordance with the following repayment schedule: Repayment date Repayment amount (RMB0’000) September 21, 2026 250 March 21, 2027 250 September 21, 2027 400 March 21, 2028 400 September 21, 2028 500 March 21, 2029 500 September 21, 2029 500 March 21, 2030 500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0" descr=""/>
                    <pic:cNvPicPr>
                      <a:picLocks noChangeAspect="1" noChangeArrowheads="1"/>
                    </pic:cNvPicPr>
                  </pic:nvPicPr>
                  <pic:blipFill>
                    <a:blip r:embed="rId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8 of 19 Internal September 21, 2030 750 March 21, 2031 750 September 21, 2031 1,000 March 21, 2032 1,000 September 21, 2032 1,400 March 21, 2033 1,400 September 21, 2033 1,500 March 21, 2034 1,500 September 21, 2034 2,500 March 21, 2035 2,500 September 21, 2035 1,500 March 21, 2036 1,500 Final maturity date 2,551.8 (3) Other repayment schedule: /. If the Borrower wishes to amend the repayment schedule set out above, the Borrower shall submit a written application to the Lender at least 10 bank business days before the relevant repayment date. Any amendment to the repayment schedule must be confirmed in writing by the Parties. 2. Unless otherwise agreed upon by the Parties, where the Borrower fails to pay any principal of the Loan, accrued interest, and costs of the Lender incurred in enforcing its claims, the Lender shall have the right to determine the order of payment of the principal, interest and costs of the Lender incurred in enforcing its claims; in case of repayment in installments, if there are multiple outstanding or overdue loans hereunder, the Lender shall have the right to determine the order in which any payment made by the Borrower is applied; if outstanding loans exist under multiple loan contracts entered into between the Lender and the Borrower, the Lender shall have the right to determine the order in which any payment made by the Borrower is applied to such contracts. 3. Unless otherwise agreed upon by the Parties, the Borrower may make any prepayment, by giving 10 bank business days’ written notice to the Lender. Any prepayment shall reduce the repayment installments in inverse chronological order. With respect to any loan on which interest accrues according to a combination of simple rate and compound rate, upon any prepayment or partial prepayment, interest accrued on the principal prepaid shall be paid in full. 4. The Borrower shall repay the Loan in such manner as set forth in Subparagraph (2) below: (1) The Borrower shall deposit an amount in the following dedicated repayment account that is sufficient to pay the amount due on each repayment date no later than / bank business days before such repayment date. The Lender shall have the right to debit the amount due on each repayment date from such account. Name of the dedicated repayment account: / Account number: / Proportion of the operating cash inflows □ from the fixed asset investment project hereunder /□ of the Borrower to be deposited in the dedicated repayment account: / Average balance of the dedicated repayment account: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1" descr=""/>
                    <pic:cNvPicPr>
                      <a:picLocks noChangeAspect="1" noChangeArrowheads="1"/>
                    </pic:cNvPicPr>
                  </pic:nvPicPr>
                  <pic:blipFill>
                    <a:blip r:embed="rId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9 of 19 Internal (2) The Borrower shall deposit an amount in the following account that is sufficient to pay the amount due on each repayment date no later than three bank business days before such repayment date. The Lender shall have the right to debit the amount due on each repayment date from such account. Account name: ACM Research (Shanghai), Inc. Account number: FTE786270029245 (3) Other method of repayment agreed upon by the Parties: /. 5. Dedicated project revenue collection account (Note: This provision shall be completed in case of any project financing service within the meaning of Article 4 of the Administrative Measures for Fixed Asset Loans (Order of the National Financial Regulatory Administration [2024] No. 1).) The Borrower shall open the following account with the Lender, as the dedicated project revenue collection account, for depositing all revenues of the project hereunder, and making payments in accordance with the terms and conditions set forth below. The Lender shall have the right to monitor such account on an ongoing basis, and in the event of abnormal cash flows under such account, to investigate the reasons, and take appropriate actions, such as suspending external payment and setting the minimum balance of the account. The Borrower shall cooperate with the Lender in such actions. Account name: / Account number: / Conditions for external payment: / Method of external payment: / Section 9 Guarantee 1. Method of guarantee for the obligations hereunder:  No guarantee is required. 2. If the Lender determines that any event involving the Borrower or the Guarantor may affect its ability to perform its obligations, or the guarantee contract becomes invalid, is revoked or terminated, or the Borrower or the Guarantor experiences a deterioration in its financial position, or is involved in any material litigation or arbitration proceedings, or has its accounts attached, or the ability of the Borrower or the Guarantor to perform its obligation may otherwise be compromised, or the Guarantor commits any breach under the guarantee contract or any other contract entered into with the Lender, or the collateral is diminished in value, damaged, lost or subject to attachment, resulting in a reduction or loss of its value as security, the Lender shall have the right to request the Borrower, and the Borrower shall have the obligation, to provide any additional security or additional guarantor, or replace the Guarantor, or take other actions to guarantee the discharge of the obligations hereunder. Section 10 Insurance (This is an optional clause, and at the option of the Parties, is 1: 1. Applicable; 2. Not applicable.) The Borrower shall purchase such types of insurance from such insurer as agreed upon with the Lender through consultation, to cover the risks associated with the equipment, construction works and cargo transportation related to the project or trade hereunder, and the operation of the project hereunder, for an amount not less than the principal amount of the Loan. The Lender shall be responsible for the insurance premiums. The Borrower shall deliver the original insurance policies to the Lender within 100 days after this Contract takes effect. Before the principal of the Loan, accrued interest and other fees due hereunder have been paid in full, the Borrower shall not terminate any insurance for any reason. In the event of termination of any insurance by the Borrower, the Lender shall have the right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2" descr=""/>
                    <pic:cNvPicPr>
                      <a:picLocks noChangeAspect="1" noChangeArrowheads="1"/>
                    </pic:cNvPicPr>
                  </pic:nvPicPr>
                  <pic:blipFill>
                    <a:blip r:embed="rId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10 of 19 Internal renew or effect such insurance, and the insurance premiums shall be borne by the Lender. The Borrower shall indemnify the Lender for the losses arising from its termination of any insurance. The Borrower shall give written notice to the Lender within three days after the date it is aware of or should have known the occurrence of any insurance incident, and promptly lodge a claim against the relevant insurer in accordance with the provisions of the insurance policy. If the Borrower fails to promptly give notice to the Lender or lodge any claim, or fails to perform its obligations under any insurance policy, the Borrower shall indemnify the Lender for the losses arising therefrom. Unless otherwise agreed upon by the Parties, the insurance proceeds shall be first applied towards the payment of the principal of the Loan, accrued interest and other fees payable hereunder. Section 11 Issuance of Invoices 1. After the Lender has acknowledged the receipt of any amount, the Borrower may request the Lender to issue a value-added tax invoice (□ special value-added tax invoice □ ordinary value-added tax invoice). After receiving such request from the Borrower, the Lender shall issue the relevant value-added tax invoice to the Borrower. 2. The Borrower may apply to the related service department or other agency designated by the Lender for issuing value-added tax invoices. 3. The Borrower shall confirm that the payer, signatory of this Contract, and the purchaser set out in the value-added tax invoice are the same taxpayer. Otherwise, the Borrower shall solely assume the consequences arising therefrom, such as inability to enter any value-added tax invoice into its account or claim a deduction of input tax according to law. 4. If the Borrower loses any value-added tax invoice issued by the Lender, the Lender has no obligation to issue a new value-added tax invoice to the Borrower. 5. If the Lender agrees to give a discount to the Borrower through consultation, the amount of the relevant value-added tax invoice shall be based on the discounted price. 6. If the Lender provides any service to the Borrower free of charge, the Lender does not need to issue a value-added tax invoice for such service. 7. The Borrower shall promptly check any value-added tax invoice issued by the Lender, and if it finds any information contained therein is erroneous, shall promptly request the Lender to issue a new value-added tax invoice. Section 12 Representations and Warranties 1. The Borrower hereby represents that: (1) it has been duly registered with the market regulation authority or other competent authorities and is validly existing in accordance with law, has the full civil right and civil capacity to execute and perform this Contract; if it is a legal entity newly established for the project hereunder, its controlling shareholder has a sound credit standing; and it complies with the requirements of the State for the capacity and business qualifications of an investor of the proposed investment project (if applicable); (2) its execution and performance of this Contract reflect its true intention; it has obtained all legal and valid authorizations in accordance with its articles of association or other internal management documents; its execution and performance of this Contract will not result in any breach of any agreement, contract or other legal instrument binding upon it; and it has obtained or will obtain all approvals, permissions, filings or registrations necessary for its execution and performance of this Contract; (3) it abides by the principle of honesty and good faith, and all documents, financial statements, vouchers and other information provided by it to the Lender hereunder are authentic, complete, accurate and valid; (4) the transactions underlying the services that it requests the Lender to provide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3" descr=""/>
                    <pic:cNvPicPr>
                      <a:picLocks noChangeAspect="1" noChangeArrowheads="1"/>
                    </pic:cNvPicPr>
                  </pic:nvPicPr>
                  <pic:blipFill>
                    <a:blip r:embed="rId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11 of 19 Internal are authentic, legal, do not involve any money laundering, terrorist financing, financing of the proliferation of weapons of mass destruction, tax evasion, fraud or other illegal purposes, or violate any applicable sanction imposed by the United Nations, China or other authorities; and the purposes of the Loan and source of funds for repaying the Loan are clear and legal; (5) it has a sound credit standing, and has not concealed from the Lender any event that may affect its or the Guarantor’s financial position or ability to perform its obligations; (6) the project financed by the Loan and related borrowing arrangement comply with the applicable industrial, land, environmental protection and other laws, rules, regulatory provisions and policies of the State, and it has completed the legal management, approval, filing and other procedures for the investment project hereunder, and complied with the capital requirement of the State for investment projects; (7) it and the project financed by the Loan meet the national environmental protection standards, are not an enterprise or project announced or identified by the competent authorities of the State as having significant issues in energy consumption and pollution control, and failing to rectify such problems effectively, and there is no risk of excessive energy consumption or pollution; (8) other representations made by the Borrower: /. 2. The Borrower hereby covenants that: (1) the project financed by the Loan and related borrowing arrangement comply with the requirements of applicable laws and regulations; (2) it will promptly provide the Lender with complete, authentic and valid information; (3) it will submit financial statements (including without limitation annual reports, quarterly reports and monthly reports) and other related data on a regular basis or from time to time at the request of the Lender, and ensure that it consistently complies with the following financial indicator: its net assets shall be positive; (4) it will utilize, pay and use the Loan proceeds in accordance with the provisions hereof; (5) if it has entered or will enter into any counter-guarantee or similar agreement with the Guarantor, with respect to the Guarantor’s guarantee obligation, such agreement will not damage any right of the Lender hereunder; (6) it will cooperate with the Lender in the loan payment management and post-loan management, accept the Lender’s credit examination and supervision, and give adequate assistance and cooperation to the Lender; from the effective date till the principal of the Loan, accrued interest and other fees due hereunder have been paid in full, it agrees that the Lender may, and hereby authorizes the Lender to, monitor its accounts opened with the Lender, and the funds attributable to the project hereunder but retained in its accounts, examine and analyze its and the project sponsor’s performance, credit standing, and material changes in shareholding structure, project construction and operation status, and changes in loan guarantee, and monitor the operating cash inflows and overall cash flows of the project on an ongoing basis; it will accept and cooperate with the Lender in the examinations and supervision by means of account analysis, voucher verification, on-site investigation or otherwise, in order to check whether the Loan proceeds are paid for the agreed purposes, and whether it avoids consigned disbursement by breaking up the total amount into smaller payments; and it will submit periodic summary reports on the payment and use of the Loan proceeds in accordance with the requirements of the Lender (such summary reports shall be submitted /); (7) in the event of any merger, spin-off, capital reduction or share transfer on its part, or any major event that may affect its debt paying ability, such as external investment, external guarantee, significant increase in debt financing, and material asset or debt transfer, it will promptly notify the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4" descr=""/>
                    <pic:cNvPicPr>
                      <a:picLocks noChangeAspect="1" noChangeArrowheads="1"/>
                    </pic:cNvPicPr>
                  </pic:nvPicPr>
                  <pic:blipFill>
                    <a:blip r:embed="rId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12 of 19 Internal in the event of any of the following, the Borrower shall promptly notify the Lender: (A) any change in the Borrower or the Guarantor’s articles of association, business scope, registered capital or legal representative; (B) any form of association, joint venture or collaboration with foreign investors, contractual operation, reorganization, restructuring, listing plan, or other changes in its business model; (C) involvement in any material litigation or arbitration proceedings, confiscation, attachment or supervision of its property or collateral, or creation of any additional security over its collateral; (D) close-down, dissolution, liquidation, suspension of business to bring up to standards, deregistration, revocation of business license, or petition for bankruptcy, whether voluntary or involuntary; (E) involvement of its shareholders, directors and active senior officers in any material case or economic dispute; (F) breach of any other contract; (G) operational difficulties or deterioration of financial position; (H) other event that has a material adverse effect on its debt paying ability; (8) the obligations owed by it to the Lender shall have precedence over the loans provided to it by its shareholders, and shall rank at least pari passu with the similar debts owed by it to other creditors; (9) if its net profit after tax for any accounting year is zero or negative, or is insufficient to cover the accumulated losses in prior years, or its net profit before tax for any accounting year has not been used to pay the principal, accrued interest and other fees due for that accounting year, or is insufficient to pay the principal, accrued interest and other fees due for the following accounting year, it will not distribute any dividend or bonus to its shareholders in any manner; (10) it will not dispose of its assets that may result in a decrease in its debt paying ability, and will ensure that the total amount of external guarantee provided by it will not exceed 100% of its net assets, and the total amount of external guarantee or the amount of any individual external guarantee provided by it will not exceed the limit set forth in its articles of association; without the consent of the Lender, it will not furnish any assets acquired through the Loan hereunder, as security in favor of any third party; (11) except as meeting the purposes set forth herein or with the consent of the Lender, it will not transfer the Loan proceeds hereunder to any other account opened in its name or any account of its affiliates; in the event of any transfer to any other account opened in its name or any account of its affiliates, it will provide the relevant supporting documents; (12) it will cooperate with the Lender in the due diligence reviews, provide and update its and its beneficial owner’s information, and information about the underlying transactions; (13) other covenants made by the Borrower: (i) after completing the transfer procedures for the Building Property Title Certificate, the Borrower shall not seek any additional debt financing on the security of the Property, or mortgage the Property to any third party other than the Lender; (ii) during the term of the facility hereunder, if the Borrower’s operating cash flows are better than expected, and there are sufficient funds in its account, the Lender shall have the right to request the Borrower to prepay the Loan through consultation; (iii) after the owner of the Property has been changed into the Borrower, the Borrower shall complete the procedures within one month to mortgage the Property to the Lender, as the sole mortgagee, otherwise, the Lender shall have the right to deem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5" descr=""/>
                    <pic:cNvPicPr>
                      <a:picLocks noChangeAspect="1" noChangeArrowheads="1"/>
                    </pic:cNvPicPr>
                  </pic:nvPicPr>
                  <pic:blipFill>
                    <a:blip r:embed="rId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Page 13 of 19 Internal such amounts to be immediately due and payable; if the Borrower fails to complete the mortgage procedures within three months after the owner of the Property has been changed into the Borrower, the Fixed Asset Loan hereunder shall become immediately due and payable in full; (iv) the facility guarantee conditions offered by the Borrower to the Lender shall not be less favorable than those offered for similar bank facilities; (v) during the term of the facility hereunder, HUI WANG (</w:t>
      </w:r>
      <w:r>
        <w:rPr>
          <w:color w:val="FFFFFF"/>
          <w:sz w:val="2"/>
        </w:rPr>
        <w:t>王晖</w:t>
      </w:r>
      <w:r>
        <w:rPr>
          <w:color w:val="FFFFFF"/>
          <w:sz w:val="2"/>
        </w:rPr>
        <w:t xml:space="preserve">) shall remain the actual controller of the Borrower. Section 13 Disclosure of Intra-group Related-Party Transactions of the Borrower The Parties agree that the provisions of Paragraph 2 below shall apply: 1. The Borrower is not a group client identified by the Lender pursuant to the Guidelines on the Risk Management of Facilities Provided by Commercial Bank to Group Customers (Order of China Banking Regulatory Commission [2010] No. 4) (the “Guideline”). 2. The Borrower is a group client identified by the Lender pursuant to the Guidelines. The Borrower shall promptly notify the Lender of any related-party transaction entered into by it that represents more than 10% of its net assets, including the affiliation between the parties thereto, subject matter and nature of transaction, amount or proportion of transaction, and pricing policy (including zero or nominal consideration). In the event of any of the following on the part of the Borrower, the Lender shall have the right to unilaterally cease to disburse the unutilized portion of the Loan to the Borrower, and recover all or part of the principal of the Loan, and interest accrued thereon: where the Borrower applies to the Lender for any discount or pledge on the security of any notes receivable, accounts receivables or other claims without actual underlying transactions, based on false contracts with its affiliates, for the purposes of illegally obtaining any bank funds or facility; where the Borrower involves in any material merger, acquisition, reorganization or other event, that might affect the security of the Loan in the opinion of the Lender; where the Borrower intentionally evades any debt owed to the Bank through any related-party transaction; or other circumstances described in Article 18 of the Guidelines. Section 14 Events of Default and Remedies 1. Each of the following events constitutes or is deemed an event of default by the Borrower under this Contract: (1) where the Borrower fails to perform its payment and discharge obligation to the Lender in accordance with the provisions hereof; (2) where the Borrower fails to use the Loan proceeds in accordance with the provisions hereof or for the purpose set forth herein, or avoids consigned disbursement by the Lender, by breaking up the total amount into smaller payments, in violation of the provisions hereof, or relends the Loan proceeds to others, or uses the Loan proceeds to purchase other financial products for purpose of arbitrage, or illegally incurs any new hidden local government debts, or misappropriates the Loan proceeds to falsely increase fiscal revenues; (3) where the information contained in the loan application documents submitted by the Borrower is untrue; (4) where the Borrower makes any misrepresentation in this Contract or fails to fulfill any covenant made herein; (5) where any event referred to in Section 12 Paragraph 2 Subparagraph (7) hereof or other similar event occurs, which might, in the opinion of the Lender, affect the Borrower or the Guarantor’s financial position or ability to perform its obligations, and the Borrower fails to provide any additional security or replace the Guarantor in accordance with the provisions hereof; (6) where the Borrower breaches any other contract entered into between it and the Lender or any other entity affiliated to Bank of China Limited;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6" descr=""/>
                    <pic:cNvPicPr>
                      <a:picLocks noChangeAspect="1" noChangeArrowheads="1"/>
                    </pic:cNvPicPr>
                  </pic:nvPicPr>
                  <pic:blipFill>
                    <a:blip r:embed="rId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14 of 19 Internal (7) where the Guarantor breaches the guarantee contract, or where the Borrower commits any default under any other contract entered into with the Lender or any other entity affiliated to Bank of China Limited; (8) where the Borrower closes business, is dissolved or deregistered, or goes bankrupt; (9) where the Borrower is or might be involved in any material economic dispute, litigation or arbitration proceedings, or has its assets seized, attached or enforced, or is subject to any official investigation initiated or penalty imposed by any judicial, tax, industrial and commercial, or other administrative authority according to law, which has affected or might affect the performance of its obligations hereunder; (10) where any major individual investor or key officer of the Borrower undergoes any abnormal change, is missing or subject to any investigation or restriction of personal freedom by any judicial authority, which has affected or might affect the performance of its obligations hereunder; (11) where the Borrower’s capital contribution to the project hereunder has not been in place as scheduled or according to the agreed proportion, or fails to be paid in full within the time limit prescribed by the Lender; (12) where the progress of the project hereunder lags behind the progress of use of funds; (13) where the Borrower experiences a deterioration of credit standing; (14) where the Borrower’s profitability, debt paying ability, operational capability, cash flows and other financial indicators deteriorate, and fall below the minimum thresholds or other financial criteria set forth herein; (15) where any annual review by the Lender of the Borrower’s financial position and ability to perform its obligations shows any circumstance that might affect the Borrower or the Guarantor’s financial position and ability to perform its obligations (such review shall be conducted on an annual basis as of each anniversary of the effective date of this Contract); (16) where the Borrower refuses to cooperate with the Lender in the due diligence reviews, or the Borrower or any of its transactions or counterparties is suspected of being involved in any money laundering, terrorist financing, proliferation of nuclear weapons, or violation of sanctions or other applicable laws and regulations, or the Borrower or the Guarantor is subject to any applicable sanction imposed by the United Nations, China or other authorities; (17) where the Borrower violates other provisions hereof regarding the rights and obligations of the Parties. 2. Upon the occurrence of any event of default described in Paragraph 1 above, the Borrower shall be liable for default, and the Lender shall have the right to take one or a combination of the following actions depending on the actual circumstance of such default: (1) to request the Borrower and the Guarantor to cure their default within a specified time limit; (2) to reduce, suspend, cancel or terminate all or part of the facility made available to the Borrower; (3) to suspend or terminate the acceptance of all or part of the utilization and other service requests submitted by the Borrower under this Contract and other contracts entered into between the Borrower and the Lender, and to suspend, cancel or terminate the disbursement, payment and processing of all or part of the Loan proceeds that have not yet been disbursed, or any trade finance facility that has not yet been made available; (4) to declare all or part of the principal of the outstanding Loan/trade financing facility, together with accrued interest and other amounts payable under this Contract and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7" descr=""/>
                    <pic:cNvPicPr>
                      <a:picLocks noChangeAspect="1" noChangeArrowheads="1"/>
                    </pic:cNvPicPr>
                  </pic:nvPicPr>
                  <pic:blipFill>
                    <a:blip r:embed="rId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15 of 19 Internal contracts entered into between the Borrower and the Lender to beimmediately due and payable; (5) according to the credit standing of the Borrower, to amend the conditions for disbursement and payment of the Loan proceeds, and adjust the method of payment of the Loan proceeds, by reducing the threshold for consigned disbursement, changing discretionary payment into consigned disbursement, transferred back the Loan proceeds paid in breach of contract, or otherwise; (6) to downgrade the classification of all assets subject to credit risk under this Contract and other contracts entered into between the Borrower and the Lender; (7) to adjust the loan rate hereunder or impose default interest on the Borrower; (8) to terminate or rescind this Contract, and all or part of other contracts entered into between the Borrower and the Lender; (9) to claim compensation from the Borrower for the losses incurred by the Lender, including without limitation the litigation costs, attorney’s fees, notarial charges, enforcement fees and other expenses and losses incurred in enforcing its claims, due to default by the Borrower; (10) to deduct the amounts standing on the credit of the accounts opened by the Borrower with the Lender and other entities affiliated to Bank of China Limited, to discharge all or part of the obligations owed by the Borrower to the Lender hereunder, and declare the amounts in such accounts that have not yet become due to be immediately due and payable (where the currency of any such account is different from the transaction currency of the Lender, the relevant exchange rate published by the Lender at the time of deduction shall apply); (11) to enforce its security interest, and request the Guarantor to assume the liability for guarantee; (12) to take such other actions as may be deemed necessary and practicable by the Lender. Section 15 Retention of Rights Failure of a Party to exercise all or part of its rights hereunder, or to request the other Party to perform or assume all or part of its duties and obligations hereunder, shall not constitute a waiver of such rights, duties or obligations. Any forbearance or tolerance granted by a Party to the other Party, or delay on the part of a Party in the exercise of any right hereunder, shall not affect any right available to that Party under this Contract or applicable laws and regulations, or operate as a waiver of such right. Section 16 Amendment, Modification and Termination The Parties may amend or modify this Contract in writing through consultation. Any amendment or modification to this Contract shall constitute an integral part of this Contract. Unless otherwise provided in the applicable laws and regulations, or agreed upon by the Parties, this Contract shall not terminate until all rights and obligations hereunder have been fully exercised or performed. Unless otherwise provided in the applicable laws and regulations, or agreed upon by the Parties, the invalidity of any provision of this Contract shall not affect the legal validity of the remainder of this Contract. Section 17 Governing Law and Dispute Resolution This Contract shall be governed by the laws of the People’s Republic of China (but solely for the purpose of this Contract, excluding the Hong Kong Special Administrative Region, the Macao Special Administrative Region and Taiwan).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8" descr=""/>
                    <pic:cNvPicPr>
                      <a:picLocks noChangeAspect="1" noChangeArrowheads="1"/>
                    </pic:cNvPicPr>
                  </pic:nvPicPr>
                  <pic:blipFill>
                    <a:blip r:embed="rId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16 of 19 Internal After this Contract takes effect, any dispute arising out of or in connection with the formation and performance of this Contract shall be settled by the Parties through consultation. In case no settlement can be reached, either Party may choose the method referred to in Paragraph 2 below to resolve such dispute: 1. Arbitration. To refer such dispute to: □ the China International Economic and Trade Arbitration Commission □ the Beijing Arbitration Commission (the Beijing International Arbitration Court) □ / Arbitration Commission for resolution by arbitration in / (seat of arbitration) in accordance with its arbitration rules in force when the petition for arbitration is submitted. The arbitration award shall be final and binding upon the Parties. 2. Litigation. The Parties may choose to bring an action in the following court of China to resolve such dispute by litigation according to law:  the people’s court in the place where the Lender or other entity affiliated to Bank of China Limited that exercises rights and performs obligations in accordance with this Contract or any separate agreement is domiciled. □ the China International Commerce Court (in case of an international commercial dispute involving an amount in excess of RMB300 million). □ the people’s court of competent jurisdiction. During the dispute resolution process, the Parties shall continue to perform the remaining provisions of this Contract, to the extent that such dispute does not affect the performance thereof. Section 18 Schedules The following schedules and other schedules jointly confirmed by the Parties shall constitute an integral part of this Contract, and have equal legal effect as this Contract: 1. Form of Utilization Request 2. Section 19 Miscellaneous 1. Without the written consent of the Lender, the Borrower shall not assign any of its rights and obligations hereunder to any third party. 2. If, due to business needs, the Lender wishes to assign its rights and obligations hereunder to any other entity affiliated to Bank of China Limited, or appoint any other entity affiliated to Bank of China Limited to undertake and manage the lending business hereunder, the Borrower shall consent to such assignment or appointment, and such other entity affiliated to Bank of China Limited shall have the right to exercise all rights of the Lender hereunder, bring actions, institute arbitration proceedings or apply for enforcement in its own name, with respect to the disputes arising out of this Contract. 3. Subject to other provisions hereof, this Contract shall be legally binding upon the Parties and their respective legal successors and assigns. 4. Unless otherwise agreed upon by the Parties, each Party designates its domicile set out herein as its mailing and contact address, and its valid address for service. Such address for service shall apply to all kinds of notices, contracts and other documents delivered hereunder, and documents and legal instruments in connection with the disputes arising out of this Contract, including without limitation all kinds of notices, arbitration awards, judgments, decisions and mediation agreements delivered during the first trial,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9" descr=""/>
                    <pic:cNvPicPr>
                      <a:picLocks noChangeAspect="1" noChangeArrowheads="1"/>
                    </pic:cNvPicPr>
                  </pic:nvPicPr>
                  <pic:blipFill>
                    <a:blip r:embed="rId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17 of 19 Internal jurisdictional objection and review, second trial, re-retrial, remand, enforcement and other stages of arbitration and civil proceedings). The Borrower agrees that the Lender or the relevant arbitration institution or court may deliver the documents and legal instruments in electronic form, to its facsimile number or email address set forth herein. If both delivery to the address for service and delivery in electronic form are permitted, either means of delivery may be chosen, and delivery to the designated address of the Borrower shall have equal effect as delivery in electronic form. If multiple means of delivery are adopted for the same matter or legal instrument, all such means of delivery shall be effective, and the first date of delivery shall be deemed the date of delivery. In the event of any change in the address for service or method of service of a Party set out above, that Party shall give the other Party at least 10 business days’ written notice of its new address for service or method of service. In the event of any change in the address for service or method of service of a Party during any arbitration or civil proceedings, that Party shall have the obligation to notify the relevant arbitration institution or court of such change in its address for service or method of service, and if it fails to do so, its original address for service or method of service set forth herein shall still be deemed its valid address for service or method of service. If any legal instrument fails to be actually received by a Party, due to any inaccurate address for service or method of service provided or confirmed by it, or its failure to promptly notify the other Party and the court of any change in its address for service or method of service, or refusal by its designated recipient to sign for the same, or any other reason attributable to that Party, such legal instrument shall be deemed to have been served on it, on the date the instrument is returned if sent by post, or the date the delivery man records the relevant circumstance on the return receipt if delivered in person, or the date such instrument enters the designated system of the Borrower if sent in electronic form. The provisions of this Paragraph 4 regarding the address for service of documents and legal instruments shall be independent provisions contained in this Contract regarding the acknowledgement of effective address for service, and remain in effect even if all or part of this Contract is held invalid or rescinded. 5. The transactions hereunder are conducted on the basis of each Party’s independent interests. If other parties involved in such transaction constitute affiliates of the Lender pursuant to the applicable laws, rules and regulatory requirements, neither Party shall attempt to take advantage of such affiliation to affect the fairness of such transactions. 6. The headings and business descriptions contained in this Contract are for convenience of reference only, and shall not affect the interpretation of the meanings of the provisions hereof, or the rights and obligations of the Parties. 7. If the currency of the Loan hereunder is RMB, the following provisions shall apply: The Borrower acknowledges and agrees that during the term of this Contract, in the event of any adjustment of the applicable laws, regulations and provisions regarding interest rate, loan rate pricing self-discipline convention, or loan prime rate (LPR), as a result of which the loan rate (including without limitation fixed rate and floating rate) set forth herein is below the lower limit of the latest range permitted by the interest rate policy or self-discipline convention (the “Lower Limit of the Latest Permitted Range”), then the loan rate hereunder (including the interest rate for the newly utilized loans at the time of utilization, and the interest rate for the utilized loans adjusted along with changes in the LPR) shall not be less than the Lower Limit of the Latest Permitted Range (the “Effective Rate”). The actual Effective Rate and its effective date shall be notified by the Lender. If the Borrower does not accept any adjustment to the interest rate as referred to above, the Borrower shall have the right to terminate this Contract and repay the outstanding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0" descr=""/>
                    <pic:cNvPicPr>
                      <a:picLocks noChangeAspect="1" noChangeArrowheads="1"/>
                    </pic:cNvPicPr>
                  </pic:nvPicPr>
                  <pic:blipFill>
                    <a:blip r:embed="rId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18 of 19 Internal Loan by giving written notice to the Lender within 10 business days after receiving notice from the Lender. The arrangements for the early termination of this Contract shall be governed by the applicable laws, regulations and the relevant provisions hereof, provided that the loan rate prior to the early termination of this Contract shall be as notified by the Lender. If the Borrower elects to continue to perform this Contract or fails to give notice of early termination to the Lender within the prescribed time limit, the Borrower shall be deemed to have accepted such adjustment to the interest rate. During the term of this Contract, the Borrower may apply to the Lender for prepayment of all or part of the Loan, in which case, the arrangements for the prepayment shall be governed by the relevant provisions hereof, and the foregoing provisions of this Paragraph 7 shall continue to apply to the outstanding Loan (if any) after such prepayment. 8. Pursuant to the applicable laws, rules and regulatory provisions, since the Borrower requests the Lender to provide facility-related financial products or services, the Borrower agrees that the Lender may, and hereby authorizes the Lender to, collect, query, store, use, process, transmit, provide and delete the following information related to the Borrower, during the due diligence review, examination and approval, business processing, financing disbursement, post-loan management, collateral registration and disposal, debt recovery and other activities in respect of such financial products and services: (1) information about the Borrower stored in the Financial Credit Information Basic Database and other credit information databases established according to law; (2) the Borrower’s business registration information, customs import and export information, tax payment information, invoice information, financial information, utility payment information and data, entrusted wage payment information, communication fee payment information, POS acquiring information, Internet credit reference information, payment and settlement information, mortgage and pledge information, and other information about the Borrower held by third parties; (3) the Borrower’s information about cases handled by the public security authority, litigation and arbitration proceedings involved, seizure, attachment and enforcement of assets, court judgments, arbitration awards, administrative penalties, social insurance contributions, etc.; (4) information generated or obtained by the Lender during its provision of financial products or services to the Borrower; (5) for the avoidance of doubt, the relevant information does not include any information publicly available. The Borrower agrees that the Lender may, and hereby authorizes the Lender to, collect, query, store, use, process, transmit, provide and delete the information referred to above, including without limitation: (1) querying the Borrower’s information from the Financial Credit Information Basic Database and other credit information databases established according to law; (2) providing the information related to this Contract and the Borrower to the Financial Credit Information Basic Database and other credit information databases established according to law, for query and use by qualified entities or individuals according to law; (3) sharing such information with the group members of the Lender, for the purposes of post-loan management and centralized credit management of the Borrower in accordance with the requirements of the applicable laws, rules and regulatory provisions; (4) providing such information to the relevant third parties, for the purposes of facility processing, debt recovery, debt transfer, post-loan management, etc.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1" descr=""/>
                    <pic:cNvPicPr>
                      <a:picLocks noChangeAspect="1" noChangeArrowheads="1"/>
                    </pic:cNvPicPr>
                  </pic:nvPicPr>
                  <pic:blipFill>
                    <a:blip r:embed="rId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19 of 19 Internal The authorization set forth in this Paragraph 8 shall remain in effect until all facilities granted by the Lender’s Group to the Borrower have been repaid. 9. If any utilization date or repayment date is a weekend, legal holiday or other non-business day, such date shall be extended to the immediately following business day. 10. If the Lender is unable to perform this Contract at all or in accordance with the provisions hereof due to any change in the applicable laws, rules and regulatory provisions, or requirements of the competent regulatory authorities, the Lender shall have the right to terminate this Contract, or amend this Contract to reflect the change in the applicable laws, rules and regulatory provisions, or requirements of the competent regulatory authorities, without any liability. 11. The Borrower may make inquiries or lodge complaints about this Contract and the services and charges hereunder, by calling the Lender at its telephone number set forth herein. Section 20 Effectiveness This Contract shall take effect on the date it has been signed by the legal representative (principal) or authorized signatory, and stamped with the common seal of each Party. This Contract shall be made in two counterparts, one counterpart to be held by each Party, with equal legal effect. Borrower: ACM Research (Shanghai), Inc. Authorized signatory: Date: Lender: Bank of China Limited Shanghai Pilot Free Trade Zone Branch Authorized signatory: Date: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 w:name="purchaseagreementforfaci.htm"/>
      <w:bookmarkStart w:id="6" w:name="kspurchaseagreementforfaci"/>
      <w:bookmarkEnd w:id="5"/>
      <w:bookmarkEnd w:id="6"/>
      <w:r>
        <w:rPr/>
        <w:drawing>
          <wp:inline distT="0" distB="0" distL="0" distR="0">
            <wp:extent cx="9191625" cy="13001625"/>
            <wp:effectExtent l="0" t="0" r="0" b="0"/>
            <wp:docPr id="7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2" descr=""/>
                    <pic:cNvPicPr>
                      <a:picLocks noChangeAspect="1" noChangeArrowheads="1"/>
                    </pic:cNvPicPr>
                  </pic:nvPicPr>
                  <pic:blipFill>
                    <a:blip r:embed="rId23"/>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Internal Contract No.: Asset Transaction Contract Subject Matter: Property located at 71/F, Shanghai World Financial Center, 100 Century Avenue, Pudong New Area, Shanghai Transferor: Honwa Financial Leasing Co., Ltd. Transferee: ACM Research (Shanghai),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3" descr=""/>
                    <pic:cNvPicPr>
                      <a:picLocks noChangeAspect="1" noChangeArrowheads="1"/>
                    </pic:cNvPicPr>
                  </pic:nvPicPr>
                  <pic:blipFill>
                    <a:blip r:embed="rId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Instructions for Use I. This contract is a template prepared in accordance with the Civil Code of the People’s Republic of China. The clauses contained in this contract are template clauses, for selection and adoption by the parties to physical asset transactions. The parties may modify, adjust or supplement the clauses contained this contract according to actual circumstances. II. In order to safeguard the respective rights and interests of the parties hereto, the parties shall be cautious in the execution of this contract, and ensure the clauses of this contract are specific and strict. Any clause that is irrelevant to the subject matter of this contract may be marked as “not applicable”, or directly deleted. III. Transferor means the corporation, individual or unincorporated organization that owns and has the right to transfer the subject matter of transfer according to law. IV. Transferee means the corporation, individual or unincorporated organization that acquires the physical asset for consideration according to law. If the transferee is an individual, his/her name and ID number shall be provided in the section of particulars of the parties. V. Zhejiang Property &amp; Stock Exchange Co., Ltd. (“ZJPSE”) hereby solemnly represents that this contract template is for use by the parties that conduct physical asset transactions through the ZJPSE platform (the online integrated trading platform built by ZJPSE, including the PC-based and mobile Apps of the website of ZJPSE (www.zjpse.com), and other platforms or systems of ZJPSE), according to the actual circumstances of their transactions. ZJPSE does not have any obligation for warranty, solely due to its preparation and/or provision of this contract template, including without limitation warranty as to the completion of the clauses of this contract template, true intention of the parties to enter into this contract, capacity of the parties to enter into this contract, and the truthfulness and accuracy of the representations and covenants made, and the documents and information provided, by the parties in connection with the execution of this contract.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4" descr=""/>
                    <pic:cNvPicPr>
                      <a:picLocks noChangeAspect="1" noChangeArrowheads="1"/>
                    </pic:cNvPicPr>
                  </pic:nvPicPr>
                  <pic:blipFill>
                    <a:blip r:embed="rId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Parties Transferor (Party A): Honwa Financial Leasing Co., Ltd. Registered address/domicile: Rooms 1001-1005 &amp; 1008, 10/F, 819 Guangyi Road, Nanhu District, Jiaxing, Zhejiang Legal representative: HONGXIN GU Transferee (Party B): ACM Research (Shanghai), Inc. Registered address/domicile: 5, 6, 7 &amp; 8, 999 Dangui Road, China (Shanghai) Pilot Free Trade Zone Legal representative: HUI WANG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WHEREAS: 1. Party A is a corporation or unincorporated organization duly incorporated and validly existing under the laws of China, whose type of organization is State-owned enterprise (State-owned enterprise, State-controlled enterprise, limited liability company, company limited by shares, etc.), and unified social credit code is 91330411731515403B; 2. Subject matter of transfer hereunder is the property legally owned by Party A located at 71/F, Shanghai World Financial Center, 100 Century Avenue, Pudong New Area, Shanghai (the “Property”); 3. Party B is a company limited by shares (type of organization: State-owned enterprise, State-controlled enterprise, limited liability company, company limited by shares, etc.), duly incorporated and validly existing under the laws of China, with unified social credit code 91310000774331663A; 4. Party A agrees to transfer, and Party B agrees to acquire, the Property legally owned by Party A. Pursuant to the Civil Code of the People’s Republic of China, the Measures for Supervision and Administration of State-owned Assets Transactions of Enterprises, and other applicable laws, rules and regulations, on the principles of free will, fairness, honesty and good faith, through amicable consultation, the Parties hereby enter into this transaction contract (this “Contract”) with respect to the transfer by Party A of the Property located at 71/F, Shanghai World Financial Center, 100 Century Avenue, Pudong New Area, Shanghai to Party B. Section I Definitions and Interpretations Unless otherwise provided herein, for the purpose of this Contract, the following terms shall have the meanings set forth below: 1. “ZJPSE” means Zhejiang Property &amp; Stock Exchange Co., Ltd. 2. “JXPSE” means Jiaxing Property &amp; Stock Exchange Co., Ltd. 3. “Physical Asset Transfer” means transfer by Party A of the Property to Party B. 4. “Transfer Price” means the consideration payable by Party B to Party A for the Physical Asset transferred by Party A hereunder. 5. “Bid Bond” means an amount of ninety nine million two hundred twenty two thousand Yuan (¥99,222,000) payable by Party B through the ZJPSE Platform at the request of Party A and JXPSE, prior to the execution of this Contract, as security to demonstrate Party B’s intention to acquire the Property, creditworthiness and ability to perform its obligations. 6. “Registration Authority” means the competent authority having the authority to register physical assets according to law. 7. “Property Transaction Expenses” means the total out-of-pocket costs and expenses incurred by the Transferor and/or the Transferee in connection with the Property, negotiation, preparation and execution of this Contract and/or any documents hereunder, and execution and consummation of the transactions contemplated in this Contract, including without limitation the costs and expenses incurred in order to obtain necessary or desirable waivers, consents or approvals from any governmental authority or third party, and the fees charged by the relevant property exchange or intermediaries. 8. “Property Transaction Certificate” means the Property Transaction Certificate (signed by both ZJPSE and JXPSE) issued by ZJPSE, certifying the consummation of the Physical Asset Transfer hereunder. 9. “ZJPSE Platform” means the online integrated trading platform built by Zhejiang Property &amp; Stock Exchange Co., Ltd. (“ZJPSE”), including the PC-based Apps of the website of ZJPSE (www.zjpse.com) and the website of Jiaxing Property &amp; Stock Exchange Co., Ltd. (also known as Zhejiang Property &amp; Stock Exchange Jiaxing Branch) (www.jxcqpt.com/JXPT/), and mobile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6" descr=""/>
                    <pic:cNvPicPr>
                      <a:picLocks noChangeAspect="1" noChangeArrowheads="1"/>
                    </pic:cNvPicPr>
                  </pic:nvPicPr>
                  <pic:blipFill>
                    <a:blip r:embed="rId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Apps and other platforms or systems of ZJPSE. Unless otherwise specified herein, for the purpose of this Contract, the following rules of interpretation shall apply: 1. Currency: For the purpose of this Contract, all references to “RMB”, “¥” or “Yuan” are to the lawful currency of China, and all references to “$” or “USD” are to the lawful currency of the United States. 2. Computation of time periods: If any action or measure is required to be taken before, during or after a period under this Contract, the reference date for such period shall be excluded in the computation of such period, and if the last day of such period is not a business day, such period shall end on the immediately following business day. 3. “Include” shall be construed as “including without limitation”. Section II Subject Matter of Transfer 1. The subject matter of transfer hereunder is the Property owned by Party A located at 71/F, Shanghai World Financial Center, 100 Century Avenue, Pudong New Area, Shanghai, whose property building title certificate number is Shanghai [2024] Pudong Real Estate No. 112919, floor area is 3,195.94 square meters, and which is intended for use as office. The Property shall be delivered on an as-is basis, including its appearance, structure, fixtures, fittings, interior quality and decorations. The floor plan of the Property is set out in Annex I. 2. Except as otherwise disclosed by Party A in the public notice, the Property is free and clear of any issue that is not disclosed or omitted, or that may have a material adverse effect on the transfer of the Property. 3. The Property is currently mortgaged, however, Party A undertakes to complete the mortgage release procedures within three business days after receiving the Transfer Price from Party B in full, and ensure that upon transfer of the ownership of the Property to Party B, the Property already delivered to Party B will be free and clear of any mortgage, restriction or obligation that might affect the transfer of the Property. Section III Conditions Precedent to Transfer 1. Each Party shall have completed the internal decision-making, approval and other procedures in connection with the transfer of the Property hereunder according to law. 2. Party A shall have completed the public disclosure and/or bidding procedures with respect to the transaction of the Property on the ZJPSE Platform in accordance with the applicable laws, regulations and policies. 3. Party B shall have obtained detailed information about the transfer of the Property, and agree to acquire the Property in accordance with the terms of transfer proposed by Party A. 4. Party B shall acquire the Property from Party A in accordance with the provisions hereof. Section IV Method of Transfer The Property has been publicly listed on the ZJPSE Platform via JXPSE since April 7, 2026. Since that during the period of listing, only Party B expressed its intention to acquire the Property, Party B will acquire the Property according to law. Or The Property has been publicly listed on the ZJPSE Platform via JXPSE since __ (month) __ (day), __ (year). During the period of listing, __ bidders expressed their intention to acquire the Property. On __ (month) __ (day), __ (year), an auction was organized, as a result of which, Party B, as the successful bidder, will acquire the Property according to law.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7" descr=""/>
                    <pic:cNvPicPr>
                      <a:picLocks noChangeAspect="1" noChangeArrowheads="1"/>
                    </pic:cNvPicPr>
                  </pic:nvPicPr>
                  <pic:blipFill>
                    <a:blip r:embed="rId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The Property has been publicly listed on the ZJPSE Platform via JXPSE since __ (month) __ (day), __ (year). Through the online dynamic bidding process, Party B has been identified as the successful bidder, and will acquire the Property according to law. Or __ auction company issued an announcement of the auction of the Property on __ (month) __ (day), __ (year), and organized an auction on __ (month) __ (day), __ (year), as a result of which, Party B, as the successful bidder, will acquire the Property according to law. Section V Amount, Payment and Transfer of the Transfer Price 1. Transfer Price: According to the result of public listing (or public bidding, dynamic bidding or public auction), Party A shall transfer the Property to Party B at the price of three hundred thirty million seven hundred forty thousand Yuan (¥330,740,000) (the “Transfer Price”). After Party B is identified as the Transferee, the Bid Bond already paid by Party B at the request of Party A and JXPSE, after deduction of the transaction service fee payable, shall be set off against the Transfer Price. The Transfer Price referred to above includes value-added tax, i.e. the amount of the Transfer Price includes the value-added tax payable. Within three business days after receiving the Transfer Price in full, Party A shall issue a valid special value-added tax invoice to Party B at the tax rate of 9%. The invoice amount shall be equal to the Transfer Price. 2. Terms of payment of the Transfer Price. Party B shall pay the Transfer Price in one lump sum through the ZJPSE Platform, within five business days after the effective date of this Contract. 3. Transfer of the Transfer Price (1) Within five business days after ZJPSE issues the Property Transaction Certificate to the Parties, JXPSE shall remit the Transfer Price in full to the designated account of Party A (account name: Honwa Financial Leasing Co., Ltd.; account number: 89010122000257240; bank: Bank of Ningbo Co., Ltd. Jiaxing Branch (Business Department)), through the ZJPSE Platform. (2) As of the date of this Contract, the Property is mortgaged as security for the debt owed by Party A as obligor in an amount of RMB133,000,000 (the “Principal Obligation”). Party A warrants and covenants that RMB133,000,000 in the Transfer Price will be specially applied towards repayment of the Principal Obligation, and not for any other purpose. (3) Party A agrees and covenants that within 24 hours after JXPSE has remitted the Transfer Price to its designated account (such date shall be approved by the Parties in advance, and shall not be a weekend or holiday), it will, in the company and under the supervision of Party B, repay the Principal Obligation through the designated account at the Business Department of Bank of Ningbo Co., Ltd. Jiaxing Branch, and then go through the mortgage release procedures for the Property in accordance with the provisions of Section 2 Paragraph 3 hereof. 4. If any dispute arises between the Parties before the issuance by ZJPSE of the Property Transaction Certificate to the Parties, each Party irrevocably covenants that JXPSE may suspend the collection or payment of the amounts and fees due hereunder, or take other appropriate actions, until Parties have reached a written agreement, or a valid legal instrument is issued after the conclusion of the relevant litigation, arbitration or other proceedings, and thereafter, JXPSE shall act in accordance with such agreement or legal instrument. Section VI Closing of the Property 1. Within 10 business days after receiving the Transfer Price from Party B in full, Party A shall hand over the Property and related title certificate, technical documents and materials to Party B. 2. Within three business days after: (1) JXPSE has received a copy of this Contract signed and sealed by the Parties; (2) Party B has paid all amounts due hereunder; and (3) 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8" descr=""/>
                    <pic:cNvPicPr>
                      <a:picLocks noChangeAspect="1" noChangeArrowheads="1"/>
                    </pic:cNvPicPr>
                  </pic:nvPicPr>
                  <pic:blipFill>
                    <a:blip r:embed="rId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Party has paid the service fees due, ZJPSE shall issue the Property Transaction Certificate to the Parties. 3. Within 10 business days after receiving the Transfer Price from Party B in full, Party A shall go through the alteration registration procedures in respect of the Property with the competent authorities in accordance with the applicable regulations of the State. Party A shall give necessary assistance and cooperation, and complete the alteration registration procedures to pass the title to the Property to Party B within 15 business days after receiving the Transfer Price in full or such other period as may be agreed upon by the Parties, except for any delay caused by any reason not attributable to Party A. The title to the Property shall pass to Party B upon issuance of the new title certificate. 4. Within 10 business days after receiving the Transfer Price from Party B in full, Party A shall deliver the Property to Party B, and the Parties shall jointly inspect the Property, and sign the Property Hand-over Form (in form attached hereto as Annex II), to complete the hand-over procedures. Upon delivery of the Property, Party A shall ensure that: (1) the Property is vacated, and not occupied by any person or article; (2) the structures and auxiliary facilities and equipment in the Property are in good condition, and can be used normally; (3) the Property is free from any illegal construction, and is not subject to any administrative seizure or restriction; and (4) the property management service fees, utility fees, insurance premiums and other fees related to the Property due and payable prior to (but not including) the signing date of the Property Hand-over Form have been paid in full. From the signing date of the Property Hand-over Form, such fees shall be borne by Party B. For the avoidance of doubt, the Parties acknowledge that the signing date of the Property Hand-over Form shall be the delivery date (the “Closing Date”) of the Property, and Party A shall be responsible for the risks of the Property before the Closing Date. Section VII Responsibility for the Property Transaction Expenses 1. Each Party shall be responsible for its own Property Transaction Expenses incurred in connection with the property transaction hereunder, including taxes and other expenses related to change in ownership and property transfer, and handle other relevant matters in accordance with the applicable regulations of the State. 2. Each Party shall be responsible for the filing of tax returns and payment of its own taxes, and provide the other Party with the necessary documents. If any Party fails to pay its taxes on time and in full, that Party shall be solely liable for any delay in the transfer of the Property, or overdue fines and penalties resulting therefrom. Section VIII Party A’s Representations and Warranty as to Ownership 1. Party A has the legal, effective and full right to dispose of the Property. If the currently registered mortgagee of the Property prohibits or restricts the transfer of the Property or invokes other relevant agreements, resulting in invalidity or any defect in the validity of the transaction contemplated in this Contract, or inability of Party B to acquire the Property, Party A shall be deemed to have breached this Contract, and be held liable for breach in accordance with the provisions of Section X below. 2. All certificates and information submitted by Party A to Party B and JXPSE in connection with the execution of this Contract are authentic, accurate and complete. Party A shall be responsible for the consistency between the information provided by it and the actual conditions of the Property, and shall assume all legal liabilities arising from any concealment or misrepresentation by it. 3. All procedures necessary for the execution of this Contract, including without limitation authorization, approval and internal decision-making procedures, have been legally and validly completed, and all conditions precedent to the formation of this Contract and transfer of the Property have been satisfied. 4. The Property is currently mortgaged, but Party A undertakes to complete the mortgage release procedures within three business days after receiving the Transfer Price from Party B in full.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9" descr=""/>
                    <pic:cNvPicPr>
                      <a:picLocks noChangeAspect="1" noChangeArrowheads="1"/>
                    </pic:cNvPicPr>
                  </pic:nvPicPr>
                  <pic:blipFill>
                    <a:blip r:embed="rId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5. The Property shall be transferred and delivered on an as-is basis. 6. Party A warrants that the Property is free from any controversy or dispute with any neighbor, property management service provider or third party. If any third party asserts any claim against Party B for any reason existing before the delivery of the Property, Party A shall settle such claim and assume all liabilities arising therefrom. 7. Party A undertakes to coordinate and complete the cancellation of construction permit for the Property, after receiving the Transfer Price from Party B in full. Party A shall complete the construction permit cancellation procedures within [20] business days after receiving the Transfer Price in full or such other period as may be agreed upon by the Parties. 8. Party A acknowledges that the Property is subject to certain risks, including localized damages to the existing decorative finishes, feasibility of keeping and using the existing equipment, and minor deficiencies in construction closure details, but such risks will not affect the normal use of the Property by Party B. 9. Except the mortgage of the Property already disclosed, Party A warrants that the Property is free and clear of any agreement or right that might affect the use, lease or sale of the Property by Party B in the future, or any encumbrance, legal dispute or potential dispute. Section IX Representations and Warranties of Party B 1. Party B has the capacity to enter into and perform this Contract. 2. The acquisition by Party B of the Property complies with the applicable laws and regulations, and does not violate the industrial policies of China. 3. Party B warrants that the information and proofs of its satisfaction of the conditions for acquisition submitted by it during the bid registration process, including relevant attachments, are authentic, accurate, legal, valid and complete, and it is aware of the provisions of the Registration Authority regarding the alteration registration procedures, and will ensure that its capacity as Transferee and all information provided by it comply with the requirements of the Registration Authority. 4. All procedures necessary for the execution of this Contract, including without limitation authorization, approval and internal decision-making procedures, have been legally and validly completed, and all conditions precedent to the formation of this Contract and transfer of the Property have been satisfied. 5. Party B fully understands and acknowledges the following, and undertakes to act unconditionally based on the following: (1) Party B has fully inspected the Property, fully understands and accepts all published information and requirements regarding the Property, fully understands the status quo, legal status, defects and other circumstances of the Property, has seriously considered all unpredictable risk factors surrounding the Property, including without limitation business, industrial, market and policy risks, and is willing to bear all potential transaction risks. (2) The Property shall be transferred on an as-is basis. JXPSE makes no warranty as to the Property, including without limitation the integrity, value, quality, quantity, character and specifications of the Property. By completing the bid application and registration procedures, Party B acknowledges that it fully understands and accepts the status quo of the Property. (3) The Property shall be transferred on an as-is basis, and delivered to Party B for use on an as-is basis. If the area, use, nature or other particulars of the Property as published are different from its actual conditions, the certificate issued by the Registration Authority shall govern, the Transfer Price or conclusion of the transfer transaction shall not be affected, and neither Party shall claim return of overpayment or make-up of deficiencies. However, if Party A fails to provide authentic, accurate and complete information about the Property, Party B shall have the right to rescind this Contract, and request Party A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0" descr=""/>
                    <pic:cNvPicPr>
                      <a:picLocks noChangeAspect="1" noChangeArrowheads="1"/>
                    </pic:cNvPicPr>
                  </pic:nvPicPr>
                  <pic:blipFill>
                    <a:blip r:embed="rId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assume all legal liabilities arising from any concealment or misrepresentation by it. (4) Party B has fully understood the property management regulations and property management fees applicable to the Property, and undertakes to directly contact the property management company about the property management services. (5) Party B understands and confirms that it complies with the requirements of the property purchasing restriction policy of the region in which the Property is located, and agrees to assume all consequences if it does not comply with the requirements of the property purchasing restriction policy, including without limitation inability to complete the property transfer procedures, and rescission of this Contract. Section X Liabilities for Breach 1. After this Contract takes effect, if any Party terminates this Contract without cause, that Party shall pay liquidated damages equal to 10% of the total Transfer Price hereunder in one lump sum to the other Party, and indemnify the other Party for the losses arising therefrom, including without limitation attorney’s fee, property preservation liability insurance premiums and litigation costs, except for termination of this Contract due to failure to satisfy the conditions precedent to transfer or occurrence of any event of rescission set forth herein. 2. In the event of failure of Party B to pay the Transfer Price within the time limit set forth herein, if the Transfer Price is more than five days overdue, Party B shall pay to Party A liquidated damages equal to 0.02% of the outstanding amount for each day of delay; and if the Transfer Price is more than 30 days overdue, Party A shall have the right to rescind this Contract, request Party B to pay an additional amount equal to 10% of the total Transfer Price hereunder as compensation for breach, and claim compensation from Party B for its losses arising therefrom. 3. In the event of failure of Party A to deliver the Property in accordance with the provisions hereof, if the delivery of the Property is more than five days overdue, Party A shall pay to Party B an overdue fine equal to 0.02% of the amount already paid by Party B for each day of delay; and if the delivery of the Property is more than 30 days overdue, Party B shall have the right to rescind this Contract, and request Party A to pay an additional amount equal to 10% of the total Transfer Price hereunder as compensation for breach. 4. Each Party undertakes to abide by the covenants made by it in this Contract. If any Party breaches any covenant or warranty set forth herein, the breaching Party shall pay liquidated damages equal to 10% of the total Transfer Price hereunder in one lump sum to the non-breaching Party, and indemnify the non-breaching Party for the loss in excess of such liquidated damages (if any). Section XI Amendment and Rescission 1. The Parties may amend or rescind this Contract through consultation. 2. In the event of any of the following, either Party may rescind this Contract: (1) where the purposes of this Contract cannot be achieved due to any force majeure or any reason not attributable to either Party; (2) where the other Party loses the ability to perform its obligations; (3) where the other Party commits a material breach, resulting in inability to achieve the purposes of this Contract; or (4) where the other Party commits any breach set forth in Section X above. 3. The Parties may amend this Contract through consultation, to the extent that the main provisions of this Contract will continue to be performed. Any amendment or rescission of this Contract shall be made in writing, with one copy to be filed with JXPSE and ZJPSE for the record respectively. Section XII Notices and Service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1" descr=""/>
                    <pic:cNvPicPr>
                      <a:picLocks noChangeAspect="1" noChangeArrowheads="1"/>
                    </pic:cNvPicPr>
                  </pic:nvPicPr>
                  <pic:blipFill>
                    <a:blip r:embed="rId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1. All notices or letters sent by a Party to the other Party in connection with the performance of this Contract shall be made in writing, and delivered to the other Party at its address set out herein, in person or by post. Any notice or letter shall be deemed to have been effectively given, when signed for by the recipient if delivered in person, or when delivered if sent by post. In the event of any change in the address of a Party, that Party shall give written notice to the other Party within five days, and if it fails to do so, as a result of which any notice or letter fails to be delivered or there’s no one at the designated address to receive such notice or letter, such notice or letter shall be deemed to have been effectively given on the fifth day after the sending Party sends it to the designated address of the other Party. 2. Mailing addresses of the Parties Party A: Honwa Financial Leasing Co., Ltd. Address: Rooms 1001-1005 &amp; 1008, 10/F, 819 Guangyi Road, Nanhu District, Jiaxing, Zhejiang Telephone: 0573-82763708 Party B: ACM Research (Shanghai), Inc. Address: 5, 6, 7 &amp; 8, 999 Dangui Road, China (Shanghai) Pilot Free Trade Zone Telephone: 021-50276506 Section XIII Jurisdiction and Dispute Resolution 1. This Contract and the physical asset transaction hereunder shall be governed by the laws of the People’s Republic of China. 2. Any dispute arising between the Parties in connection with the interpretation or performance of this Contract shall be settled by the Parties through consultation. In case no settlement can be reached, such dispute shall be referred to the people’s court in the place where the Property is located for resolution by litigation. Section XIV Effectiveness This Contract shall take effect on the date it has been executed by the Parties. Section XV Miscellaneous 1. Any amendment or supplement made by the Parties to this Contract shall be in writing, and constitute an annex to this Contract. The annexes to this Contract shall have equal legal effect as this Contract. 2. Neither Party shall adjust the transaction conditions and transaction price set forth herein for any reason, such as damages to or diminution in value of the subject asset before consummation of the transaction. 3. In the event of any inconsistency between the provisions of this Contract and other documents executed by the Parties with respect to the subject matter of this Contract, the provisions hereof shall prevail. With respect to the matters not specifically addressed herein, the Parties may enter into a supplemental agreement through consultation. 4. This Contract shall be made in eight counterparts, two counterparts to be held by each Party, one counterpart to be filed with JXPSE and ZJPSE respectively for the record, and as basis for JXPSE to process the amounts and fees due hereunder through the ZJPSE Platform, and the remaining two counterparts to be used in the alteration registration procedures with respect to the Property. (The remainder of this page is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2" descr=""/>
                    <pic:cNvPicPr>
                      <a:picLocks noChangeAspect="1" noChangeArrowheads="1"/>
                    </pic:cNvPicPr>
                  </pic:nvPicPr>
                  <pic:blipFill>
                    <a:blip r:embed="rId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(Signature Page to Asset Transaction Contract) Transferor (Party A): Honwa Financial Leasing Co., Ltd. (seal) Authorized representative/legal representative (signature): Date of signature: May 14, 2026 Transferee (Party B): ACM Research (Shanghai), Inc. (seal) Authorized representative/legal representative (signature): Date of signature: May 14,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3" descr=""/>
                    <pic:cNvPicPr>
                      <a:picLocks noChangeAspect="1" noChangeArrowheads="1"/>
                    </pic:cNvPicPr>
                  </pic:nvPicPr>
                  <pic:blipFill>
                    <a:blip r:embed="rId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Annex I Floor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4" descr=""/>
                    <pic:cNvPicPr>
                      <a:picLocks noChangeAspect="1" noChangeArrowheads="1"/>
                    </pic:cNvPicPr>
                  </pic:nvPicPr>
                  <pic:blipFill>
                    <a:blip r:embed="rId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Annex II Property Hand-over Form The Parties executed the Asset Transaction Contract (the “Master Contract”) on May 14, 2026. The Parties have completed the property hand-over procedures, and hereby confirm the following with respect to the Property: 1. Subject matter of hand-over: The Parties acknowledge that the Property is the entire 71st floor of Shanghai World Financial Center, 100 Century Avenue, Pudong New Area, Shanghai, with a floor area of 3,195.94 square meters. 2. Date of hand-over: The Parties acknowledge that the signing date of this Hand-over Form shall be the delivery date of the Property. 3. Status quo of the Property: Party A has delivered the Property and its auxiliary facilities to Party B in accordance with the provisions of the Master Contract, and Party B acknowledges that it has inspected the Property on site. 4. From the signing date of this Hand-over Form, the property management fees, utility fees and other fees payable in respect of the Property shall be paid in accordance with the provisions of the Master Contract, and Party B shall bear the risks of damage and loss of the Property and its auxiliary facilities. 5. This Hand-over Form shall be made in two counterparts, one counterpart to be held by each Party with equal effect. This Hand-over Form shall constitute an integral part of the Master Contract. Any matter not specifically addressed herein shall be governed by the Master Contract. Party A: Honwa Financial Leasing Co., Ltd. (seal) Date: June 5, 2026 Party B: ACM Research (Shanghai), Inc. (seal) Date: June 5, 2026 The Property was actually delivered on June 1,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31.01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I, David H. Wang, certify that: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ACM Research, Inc.</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054" w:type="dxa"/>
        <w:jc w:val="left"/>
        <w:tblInd w:w="0" w:type="dxa"/>
        <w:tblLayout w:type="fixed"/>
        <w:tblCellMar>
          <w:top w:w="28" w:type="dxa"/>
          <w:left w:w="28" w:type="dxa"/>
          <w:bottom w:w="28" w:type="dxa"/>
          <w:right w:w="28" w:type="dxa"/>
        </w:tblCellMar>
      </w:tblPr>
      <w:tblGrid>
        <w:gridCol w:w="667"/>
        <w:gridCol w:w="587"/>
        <w:gridCol w:w="590"/>
        <w:gridCol w:w="939"/>
        <w:gridCol w:w="939"/>
        <w:gridCol w:w="133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3210" w:type="dxa"/>
            <w:gridSpan w:val="3"/>
            <w:tcBorders/>
            <w:tcMar>
              <w:top w:w="0" w:type="dxa"/>
              <w:left w:w="0" w:type="dxa"/>
              <w:bottom w:w="0" w:type="dxa"/>
              <w:right w:w="0" w:type="dxa"/>
            </w:tcMar>
            <w:vAlign w:val="center"/>
          </w:tcPr>
          <w:p>
            <w:pPr>
              <w:pStyle w:val="TableContents"/>
              <w:bidi w:val="0"/>
              <w:spacing w:before="65" w:after="20"/>
              <w:jc w:val="both"/>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David H. Wang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31.02</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I, Mark McKechnie, certify that: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ACM Research, Inc.</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123" w:type="dxa"/>
        <w:jc w:val="left"/>
        <w:tblInd w:w="0" w:type="dxa"/>
        <w:tblLayout w:type="fixed"/>
        <w:tblCellMar>
          <w:top w:w="28" w:type="dxa"/>
          <w:left w:w="28" w:type="dxa"/>
          <w:bottom w:w="28" w:type="dxa"/>
          <w:right w:w="28" w:type="dxa"/>
        </w:tblCellMar>
      </w:tblPr>
      <w:tblGrid>
        <w:gridCol w:w="667"/>
        <w:gridCol w:w="587"/>
        <w:gridCol w:w="590"/>
        <w:gridCol w:w="1546"/>
        <w:gridCol w:w="1546"/>
        <w:gridCol w:w="218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5279" w:type="dxa"/>
            <w:gridSpan w:val="3"/>
            <w:tcBorders/>
            <w:tcMar>
              <w:top w:w="0" w:type="dxa"/>
              <w:left w:w="0" w:type="dxa"/>
              <w:bottom w:w="0" w:type="dxa"/>
              <w:right w:w="0" w:type="dxa"/>
            </w:tcMar>
            <w:vAlign w:val="center"/>
          </w:tcPr>
          <w:p>
            <w:pPr>
              <w:pStyle w:val="TableContents"/>
              <w:bidi w:val="0"/>
              <w:spacing w:before="65" w:after="20"/>
              <w:jc w:val="both"/>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Mark McKechnie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Financial Officer, Executive Vice President and Treasurer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32.01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ACM Research, Inc. for the quarterly period ended June 30, 2026,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33"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ACM Research, Inc. for the period presented therein.</w:t>
      </w:r>
    </w:p>
    <w:tbl>
      <w:tblPr>
        <w:tblW w:w="7123" w:type="dxa"/>
        <w:jc w:val="left"/>
        <w:tblInd w:w="0" w:type="dxa"/>
        <w:tblLayout w:type="fixed"/>
        <w:tblCellMar>
          <w:top w:w="28" w:type="dxa"/>
          <w:left w:w="28" w:type="dxa"/>
          <w:bottom w:w="28" w:type="dxa"/>
          <w:right w:w="28" w:type="dxa"/>
        </w:tblCellMar>
      </w:tblPr>
      <w:tblGrid>
        <w:gridCol w:w="667"/>
        <w:gridCol w:w="587"/>
        <w:gridCol w:w="590"/>
        <w:gridCol w:w="1544"/>
        <w:gridCol w:w="1544"/>
        <w:gridCol w:w="219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5279" w:type="dxa"/>
            <w:gridSpan w:val="3"/>
            <w:tcBorders/>
            <w:tcMar>
              <w:top w:w="0" w:type="dxa"/>
              <w:left w:w="0" w:type="dxa"/>
              <w:bottom w:w="0" w:type="dxa"/>
              <w:right w:w="0" w:type="dxa"/>
            </w:tcMar>
            <w:vAlign w:val="center"/>
          </w:tcPr>
          <w:p>
            <w:pPr>
              <w:pStyle w:val="TableContents"/>
              <w:bidi w:val="0"/>
              <w:spacing w:before="65" w:after="20"/>
              <w:jc w:val="both"/>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David H. Wang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5279" w:type="dxa"/>
            <w:gridSpan w:val="3"/>
            <w:tcBorders/>
            <w:tcMar>
              <w:top w:w="0" w:type="dxa"/>
              <w:left w:w="0" w:type="dxa"/>
              <w:bottom w:w="0" w:type="dxa"/>
              <w:right w:w="0" w:type="dxa"/>
            </w:tcMar>
            <w:vAlign w:val="center"/>
          </w:tcPr>
          <w:p>
            <w:pPr>
              <w:pStyle w:val="TableContents"/>
              <w:bidi w:val="0"/>
              <w:spacing w:before="65" w:after="20"/>
              <w:jc w:val="both"/>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Mark McKechnie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Financial Officer, Executive Vice President and Treasurer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37600</Words>
  <Characters>203557</Characters>
  <CharactersWithSpaces>240277</CharactersWithSpaces>
  <Paragraphs>3494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purchaseagreementforfaci</dc:title>
</cp:coreProperties>
</file>