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1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333-228734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2388235</wp:posOffset>
            </wp:positionH>
            <wp:positionV relativeFrom="paragraph">
              <wp:posOffset>544830</wp:posOffset>
            </wp:positionV>
            <wp:extent cx="1269365" cy="788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9365"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jc w:val="center"/>
        <w:ind w:right="-6"/>
        <w:spacing w:after="0"/>
        <w:rPr>
          <w:sz w:val="20"/>
          <w:szCs w:val="20"/>
          <w:color w:val="auto"/>
        </w:rPr>
      </w:pPr>
      <w:r>
        <w:rPr>
          <w:rFonts w:ascii="Arial" w:cs="Arial" w:eastAsia="Arial" w:hAnsi="Arial"/>
          <w:sz w:val="23"/>
          <w:szCs w:val="23"/>
          <w:b w:val="1"/>
          <w:bCs w:val="1"/>
          <w:color w:val="auto"/>
        </w:rPr>
        <w:t>1,785,715 Shares</w:t>
      </w:r>
    </w:p>
    <w:p>
      <w:pPr>
        <w:spacing w:after="0" w:line="45" w:lineRule="exact"/>
        <w:rPr>
          <w:sz w:val="24"/>
          <w:szCs w:val="24"/>
          <w:color w:val="auto"/>
        </w:rPr>
      </w:pPr>
    </w:p>
    <w:p>
      <w:pPr>
        <w:jc w:val="center"/>
        <w:ind w:right="-6"/>
        <w:spacing w:after="0"/>
        <w:rPr>
          <w:sz w:val="20"/>
          <w:szCs w:val="20"/>
          <w:color w:val="auto"/>
        </w:rPr>
      </w:pPr>
      <w:r>
        <w:rPr>
          <w:rFonts w:ascii="Arial" w:cs="Arial" w:eastAsia="Arial" w:hAnsi="Arial"/>
          <w:sz w:val="23"/>
          <w:szCs w:val="23"/>
          <w:b w:val="1"/>
          <w:bCs w:val="1"/>
          <w:color w:val="auto"/>
        </w:rPr>
        <w:t>Class A Common Stock</w:t>
      </w:r>
    </w:p>
    <w:p>
      <w:pPr>
        <w:spacing w:after="0" w:line="33" w:lineRule="exact"/>
        <w:rPr>
          <w:sz w:val="24"/>
          <w:szCs w:val="24"/>
          <w:color w:val="auto"/>
        </w:rPr>
      </w:pPr>
    </w:p>
    <w:p>
      <w:pPr>
        <w:jc w:val="center"/>
        <w:ind w:right="-6"/>
        <w:spacing w:after="0"/>
        <w:rPr>
          <w:sz w:val="20"/>
          <w:szCs w:val="20"/>
          <w:color w:val="auto"/>
        </w:rPr>
      </w:pPr>
      <w:r>
        <w:rPr>
          <w:rFonts w:ascii="Arial" w:cs="Arial" w:eastAsia="Arial" w:hAnsi="Arial"/>
          <w:sz w:val="23"/>
          <w:szCs w:val="23"/>
          <w:b w:val="1"/>
          <w:bCs w:val="1"/>
          <w:color w:val="auto"/>
        </w:rPr>
        <w:t>$14.00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156210</wp:posOffset>
            </wp:positionV>
            <wp:extent cx="6071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71" w:lineRule="exact"/>
        <w:rPr>
          <w:sz w:val="24"/>
          <w:szCs w:val="24"/>
          <w:color w:val="auto"/>
        </w:rPr>
      </w:pPr>
    </w:p>
    <w:p>
      <w:pPr>
        <w:ind w:left="7"/>
        <w:spacing w:after="0"/>
        <w:rPr>
          <w:sz w:val="20"/>
          <w:szCs w:val="20"/>
          <w:color w:val="auto"/>
        </w:rPr>
      </w:pPr>
      <w:r>
        <w:rPr>
          <w:rFonts w:ascii="Arial" w:cs="Arial" w:eastAsia="Arial" w:hAnsi="Arial"/>
          <w:sz w:val="20"/>
          <w:szCs w:val="20"/>
          <w:color w:val="auto"/>
        </w:rPr>
        <w:t>We are offering 1,785,715 shares of Class A common stock.</w:t>
      </w:r>
    </w:p>
    <w:p>
      <w:pPr>
        <w:spacing w:after="0" w:line="162" w:lineRule="exact"/>
        <w:rPr>
          <w:sz w:val="24"/>
          <w:szCs w:val="24"/>
          <w:color w:val="auto"/>
        </w:rPr>
      </w:pPr>
    </w:p>
    <w:p>
      <w:pPr>
        <w:jc w:val="both"/>
        <w:ind w:left="7" w:right="20"/>
        <w:spacing w:after="0" w:line="317" w:lineRule="auto"/>
        <w:rPr>
          <w:sz w:val="20"/>
          <w:szCs w:val="20"/>
          <w:color w:val="auto"/>
        </w:rPr>
      </w:pPr>
      <w:r>
        <w:rPr>
          <w:rFonts w:ascii="Arial" w:cs="Arial" w:eastAsia="Arial" w:hAnsi="Arial"/>
          <w:sz w:val="19"/>
          <w:szCs w:val="19"/>
          <w:color w:val="auto"/>
        </w:rPr>
        <w:t>Class A common stock is listed on the Nasdaq Global Market under the symbol “ACMR.” On August 14, 2019, the last reported sale price of Class A common stock on the Nasdaq Global Market was $14.51 per share.</w:t>
      </w:r>
    </w:p>
    <w:p>
      <w:pPr>
        <w:spacing w:after="0" w:line="71" w:lineRule="exact"/>
        <w:rPr>
          <w:sz w:val="24"/>
          <w:szCs w:val="24"/>
          <w:color w:val="auto"/>
        </w:rPr>
      </w:pPr>
    </w:p>
    <w:p>
      <w:pPr>
        <w:jc w:val="both"/>
        <w:ind w:left="7" w:right="20"/>
        <w:spacing w:after="0" w:line="278" w:lineRule="auto"/>
        <w:rPr>
          <w:sz w:val="20"/>
          <w:szCs w:val="20"/>
          <w:color w:val="auto"/>
        </w:rPr>
      </w:pPr>
      <w:r>
        <w:rPr>
          <w:rFonts w:ascii="Arial" w:cs="Arial" w:eastAsia="Arial" w:hAnsi="Arial"/>
          <w:sz w:val="20"/>
          <w:szCs w:val="20"/>
          <w:color w:val="auto"/>
        </w:rPr>
        <w:t>We are an “emerging growth company” as defined by the Jumpstart Our Business Startups Act of 2012 and, as such, we have elected to comply with certain reduced public company reporting requirements for this prospectus supplement, the accompanying prospectus and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129540</wp:posOffset>
            </wp:positionV>
            <wp:extent cx="60718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23" w:lineRule="exact"/>
        <w:rPr>
          <w:sz w:val="24"/>
          <w:szCs w:val="24"/>
          <w:color w:val="auto"/>
        </w:rPr>
      </w:pPr>
    </w:p>
    <w:p>
      <w:pPr>
        <w:ind w:left="7"/>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Investing in Class A common stock involves risks. See “Risk Factors” on page S-</w:t>
      </w:r>
      <w:hyperlink w:anchor="page6">
        <w:r>
          <w:rPr>
            <w:rFonts w:ascii="Arial" w:cs="Arial" w:eastAsia="Arial" w:hAnsi="Arial"/>
            <w:sz w:val="17"/>
            <w:szCs w:val="17"/>
            <w:b w:val="1"/>
            <w:bCs w:val="1"/>
            <w:u w:val="single" w:color="auto"/>
            <w:color w:val="0000EE"/>
          </w:rPr>
          <w:t>4</w:t>
        </w:r>
        <w:r>
          <w:rPr>
            <w:rFonts w:ascii="Arial" w:cs="Arial" w:eastAsia="Arial" w:hAnsi="Arial"/>
            <w:sz w:val="17"/>
            <w:szCs w:val="17"/>
            <w:b w:val="1"/>
            <w:bCs w:val="1"/>
            <w:u w:val="single" w:color="auto"/>
            <w:color w:val="auto"/>
          </w:rPr>
          <w:t xml:space="preserve"> </w:t>
        </w:r>
      </w:hyperlink>
      <w:r>
        <w:rPr>
          <w:rFonts w:ascii="Arial" w:cs="Arial" w:eastAsia="Arial" w:hAnsi="Arial"/>
          <w:sz w:val="17"/>
          <w:szCs w:val="17"/>
          <w:b w:val="1"/>
          <w:bCs w:val="1"/>
          <w:color w:val="auto"/>
        </w:rPr>
        <w:t>of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182245</wp:posOffset>
            </wp:positionV>
            <wp:extent cx="6071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31" w:lineRule="exact"/>
        <w:rPr>
          <w:sz w:val="24"/>
          <w:szCs w:val="24"/>
          <w:color w:val="auto"/>
        </w:rPr>
      </w:pPr>
    </w:p>
    <w:tbl>
      <w:tblPr>
        <w:tblLayout w:type="fixed"/>
        <w:tblInd w:w="7" w:type="dxa"/>
        <w:tblCellMar>
          <w:top w:w="0" w:type="dxa"/>
          <w:left w:w="0" w:type="dxa"/>
          <w:bottom w:w="0" w:type="dxa"/>
          <w:right w:w="0" w:type="dxa"/>
        </w:tblCellMar>
      </w:tblPr>
      <w:tr>
        <w:trPr>
          <w:trHeight w:val="251"/>
        </w:trPr>
        <w:tc>
          <w:tcPr>
            <w:tcW w:w="43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460" w:type="dxa"/>
            <w:vAlign w:val="bottom"/>
          </w:tcPr>
          <w:p>
            <w:pPr>
              <w:jc w:val="right"/>
              <w:ind w:right="421"/>
              <w:spacing w:after="0"/>
              <w:rPr>
                <w:sz w:val="20"/>
                <w:szCs w:val="20"/>
                <w:color w:val="auto"/>
              </w:rPr>
            </w:pPr>
            <w:r>
              <w:rPr>
                <w:rFonts w:ascii="Arial" w:cs="Arial" w:eastAsia="Arial" w:hAnsi="Arial"/>
                <w:sz w:val="20"/>
                <w:szCs w:val="20"/>
                <w:color w:val="auto"/>
              </w:rPr>
              <w:t>Per Share</w:t>
            </w:r>
          </w:p>
        </w:tc>
        <w:tc>
          <w:tcPr>
            <w:tcW w:w="460" w:type="dxa"/>
            <w:vAlign w:val="bottom"/>
          </w:tcPr>
          <w:p>
            <w:pPr>
              <w:spacing w:after="0"/>
              <w:rPr>
                <w:sz w:val="21"/>
                <w:szCs w:val="21"/>
                <w:color w:val="auto"/>
              </w:rPr>
            </w:pPr>
          </w:p>
        </w:tc>
        <w:tc>
          <w:tcPr>
            <w:tcW w:w="1360" w:type="dxa"/>
            <w:vAlign w:val="bottom"/>
          </w:tcPr>
          <w:p>
            <w:pPr>
              <w:jc w:val="right"/>
              <w:ind w:right="601"/>
              <w:spacing w:after="0"/>
              <w:rPr>
                <w:sz w:val="20"/>
                <w:szCs w:val="20"/>
                <w:color w:val="auto"/>
              </w:rPr>
            </w:pPr>
            <w:r>
              <w:rPr>
                <w:rFonts w:ascii="Arial" w:cs="Arial" w:eastAsia="Arial" w:hAnsi="Arial"/>
                <w:sz w:val="20"/>
                <w:szCs w:val="20"/>
                <w:color w:val="auto"/>
              </w:rPr>
              <w:t>Total</w:t>
            </w:r>
          </w:p>
        </w:tc>
      </w:tr>
      <w:tr>
        <w:trPr>
          <w:trHeight w:val="266"/>
        </w:trPr>
        <w:tc>
          <w:tcPr>
            <w:tcW w:w="4300" w:type="dxa"/>
            <w:vAlign w:val="bottom"/>
            <w:shd w:val="clear" w:color="auto" w:fill="CCEEFF"/>
          </w:tcPr>
          <w:p>
            <w:pPr>
              <w:spacing w:after="0"/>
              <w:rPr>
                <w:sz w:val="20"/>
                <w:szCs w:val="20"/>
                <w:color w:val="auto"/>
              </w:rPr>
            </w:pPr>
            <w:r>
              <w:rPr>
                <w:rFonts w:ascii="Arial" w:cs="Arial" w:eastAsia="Arial" w:hAnsi="Arial"/>
                <w:sz w:val="20"/>
                <w:szCs w:val="20"/>
                <w:color w:val="auto"/>
              </w:rPr>
              <w:t>Public offering price</w:t>
            </w:r>
          </w:p>
        </w:tc>
        <w:tc>
          <w:tcPr>
            <w:tcW w:w="19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14.000</w:t>
            </w:r>
          </w:p>
        </w:tc>
        <w:tc>
          <w:tcPr>
            <w:tcW w:w="4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25,000,010</w:t>
            </w:r>
          </w:p>
        </w:tc>
      </w:tr>
      <w:tr>
        <w:trPr>
          <w:trHeight w:val="251"/>
        </w:trPr>
        <w:tc>
          <w:tcPr>
            <w:tcW w:w="4300" w:type="dxa"/>
            <w:vAlign w:val="bottom"/>
          </w:tcPr>
          <w:p>
            <w:pPr>
              <w:spacing w:after="0"/>
              <w:rPr>
                <w:sz w:val="20"/>
                <w:szCs w:val="20"/>
                <w:color w:val="auto"/>
              </w:rPr>
            </w:pPr>
            <w:r>
              <w:rPr>
                <w:rFonts w:ascii="Arial" w:cs="Arial" w:eastAsia="Arial" w:hAnsi="Arial"/>
                <w:sz w:val="20"/>
                <w:szCs w:val="20"/>
                <w:color w:val="auto"/>
              </w:rPr>
              <w:t>Underwriting discount(1)</w:t>
            </w:r>
          </w:p>
        </w:tc>
        <w:tc>
          <w:tcPr>
            <w:tcW w:w="19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0.805</w:t>
            </w:r>
          </w:p>
        </w:tc>
        <w:tc>
          <w:tcPr>
            <w:tcW w:w="460" w:type="dxa"/>
            <w:vAlign w:val="bottom"/>
          </w:tcPr>
          <w:p>
            <w:pPr>
              <w:jc w:val="right"/>
              <w:ind w:right="161"/>
              <w:spacing w:after="0"/>
              <w:rPr>
                <w:sz w:val="20"/>
                <w:szCs w:val="20"/>
                <w:color w:val="auto"/>
              </w:rPr>
            </w:pPr>
            <w:r>
              <w:rPr>
                <w:rFonts w:ascii="Arial" w:cs="Arial" w:eastAsia="Arial" w:hAnsi="Arial"/>
                <w:sz w:val="20"/>
                <w:szCs w:val="20"/>
                <w:color w:val="auto"/>
              </w:rPr>
              <w:t>$</w:t>
            </w:r>
          </w:p>
        </w:tc>
        <w:tc>
          <w:tcPr>
            <w:tcW w:w="1360" w:type="dxa"/>
            <w:vAlign w:val="bottom"/>
          </w:tcPr>
          <w:p>
            <w:pPr>
              <w:jc w:val="right"/>
              <w:ind w:right="1"/>
              <w:spacing w:after="0"/>
              <w:rPr>
                <w:sz w:val="20"/>
                <w:szCs w:val="20"/>
                <w:color w:val="auto"/>
              </w:rPr>
            </w:pPr>
            <w:r>
              <w:rPr>
                <w:rFonts w:ascii="Arial" w:cs="Arial" w:eastAsia="Arial" w:hAnsi="Arial"/>
                <w:sz w:val="20"/>
                <w:szCs w:val="20"/>
                <w:color w:val="auto"/>
              </w:rPr>
              <w:t>1,437,501</w:t>
            </w:r>
          </w:p>
        </w:tc>
      </w:tr>
      <w:tr>
        <w:trPr>
          <w:trHeight w:val="263"/>
        </w:trPr>
        <w:tc>
          <w:tcPr>
            <w:tcW w:w="4300" w:type="dxa"/>
            <w:vAlign w:val="bottom"/>
            <w:shd w:val="clear" w:color="auto" w:fill="CCEEFF"/>
          </w:tcPr>
          <w:p>
            <w:pPr>
              <w:spacing w:after="0"/>
              <w:rPr>
                <w:sz w:val="20"/>
                <w:szCs w:val="20"/>
                <w:color w:val="auto"/>
              </w:rPr>
            </w:pPr>
            <w:r>
              <w:rPr>
                <w:rFonts w:ascii="Arial" w:cs="Arial" w:eastAsia="Arial" w:hAnsi="Arial"/>
                <w:sz w:val="20"/>
                <w:szCs w:val="20"/>
                <w:color w:val="auto"/>
              </w:rPr>
              <w:t>Proceeds, before expenses, to us</w:t>
            </w:r>
          </w:p>
        </w:tc>
        <w:tc>
          <w:tcPr>
            <w:tcW w:w="198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13.195</w:t>
            </w:r>
          </w:p>
        </w:tc>
        <w:tc>
          <w:tcPr>
            <w:tcW w:w="460" w:type="dxa"/>
            <w:vAlign w:val="bottom"/>
            <w:shd w:val="clear" w:color="auto" w:fill="CCEEFF"/>
          </w:tcPr>
          <w:p>
            <w:pPr>
              <w:jc w:val="right"/>
              <w:ind w:right="161"/>
              <w:spacing w:after="0"/>
              <w:rPr>
                <w:sz w:val="20"/>
                <w:szCs w:val="20"/>
                <w:color w:val="auto"/>
              </w:rPr>
            </w:pPr>
            <w:r>
              <w:rPr>
                <w:rFonts w:ascii="Arial" w:cs="Arial" w:eastAsia="Arial" w:hAnsi="Arial"/>
                <w:sz w:val="20"/>
                <w:szCs w:val="20"/>
                <w:color w:val="auto"/>
              </w:rPr>
              <w:t>$</w:t>
            </w: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23,562,509</w:t>
            </w:r>
          </w:p>
        </w:tc>
      </w:tr>
    </w:tbl>
    <w:p>
      <w:pPr>
        <w:spacing w:after="0" w:line="103" w:lineRule="exact"/>
        <w:rPr>
          <w:sz w:val="24"/>
          <w:szCs w:val="24"/>
          <w:color w:val="auto"/>
        </w:rPr>
      </w:pPr>
    </w:p>
    <w:p>
      <w:pPr>
        <w:ind w:left="347" w:hanging="347"/>
        <w:spacing w:after="0"/>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We have agreed to reimburse the underwriters for certain expenses. See “Underwriting.”</w:t>
      </w:r>
    </w:p>
    <w:p>
      <w:pPr>
        <w:spacing w:after="0" w:line="111" w:lineRule="exact"/>
        <w:rPr>
          <w:sz w:val="24"/>
          <w:szCs w:val="24"/>
          <w:color w:val="auto"/>
        </w:rPr>
      </w:pPr>
    </w:p>
    <w:p>
      <w:pPr>
        <w:jc w:val="both"/>
        <w:ind w:left="7"/>
        <w:spacing w:after="0" w:line="298" w:lineRule="auto"/>
        <w:rPr>
          <w:sz w:val="20"/>
          <w:szCs w:val="20"/>
          <w:color w:val="auto"/>
        </w:rPr>
      </w:pPr>
      <w:r>
        <w:rPr>
          <w:rFonts w:ascii="Arial" w:cs="Arial" w:eastAsia="Arial" w:hAnsi="Arial"/>
          <w:sz w:val="18"/>
          <w:szCs w:val="18"/>
          <w:color w:val="auto"/>
        </w:rPr>
        <w:t>We have granted the underwriters an option for a period of 30 days to purchase up to an additional 267,857 shares of Class A common stock from us to cover over-allotments. If the underwriters’ option is exercised to purchase shares, we will repurchase an equal number of shares from certain stockholders, at a price per share equal to the net proceeds, before expenses, we receive from the option exercise, as described in “Use of Proceeds.”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6071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03" w:lineRule="exact"/>
        <w:rPr>
          <w:sz w:val="24"/>
          <w:szCs w:val="24"/>
          <w:color w:val="auto"/>
        </w:rPr>
      </w:pPr>
    </w:p>
    <w:p>
      <w:pPr>
        <w:jc w:val="both"/>
        <w:ind w:left="7"/>
        <w:spacing w:after="0" w:line="284" w:lineRule="auto"/>
        <w:rPr>
          <w:sz w:val="20"/>
          <w:szCs w:val="20"/>
          <w:color w:val="auto"/>
        </w:rPr>
      </w:pPr>
      <w:r>
        <w:rPr>
          <w:rFonts w:ascii="Arial" w:cs="Arial" w:eastAsia="Arial" w:hAnsi="Arial"/>
          <w:sz w:val="19"/>
          <w:szCs w:val="19"/>
          <w:b w:val="1"/>
          <w:bCs w:val="1"/>
          <w:i w:val="1"/>
          <w:iCs w:val="1"/>
          <w:color w:val="auto"/>
        </w:rPr>
        <w:t>Neither the Securities and Exchange Commission nor any state securities commission has approved or disapproved of these securities or passed upon the adequacy or accuracy of this prospectus supplement or accompanying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109855</wp:posOffset>
            </wp:positionV>
            <wp:extent cx="6071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98" w:lineRule="exact"/>
        <w:rPr>
          <w:sz w:val="24"/>
          <w:szCs w:val="24"/>
          <w:color w:val="auto"/>
        </w:rPr>
      </w:pPr>
    </w:p>
    <w:p>
      <w:pPr>
        <w:jc w:val="center"/>
        <w:ind w:right="-6"/>
        <w:spacing w:after="0"/>
        <w:rPr>
          <w:sz w:val="20"/>
          <w:szCs w:val="20"/>
          <w:color w:val="auto"/>
        </w:rPr>
      </w:pPr>
      <w:r>
        <w:rPr>
          <w:rFonts w:ascii="Arial" w:cs="Arial" w:eastAsia="Arial" w:hAnsi="Arial"/>
          <w:sz w:val="20"/>
          <w:szCs w:val="20"/>
          <w:i w:val="1"/>
          <w:iCs w:val="1"/>
          <w:color w:val="auto"/>
        </w:rPr>
        <w:t>Joint Bookrunning Managers</w:t>
      </w:r>
    </w:p>
    <w:p>
      <w:pPr>
        <w:sectPr>
          <w:pgSz w:w="11900" w:h="16838" w:orient="portrait"/>
          <w:cols w:equalWidth="0" w:num="1">
            <w:col w:w="9567"/>
          </w:cols>
          <w:pgMar w:left="1173" w:top="238" w:right="1159" w:bottom="1440" w:gutter="0" w:footer="0" w:header="0"/>
        </w:sectPr>
      </w:pPr>
    </w:p>
    <w:p>
      <w:pPr>
        <w:spacing w:after="0" w:line="36" w:lineRule="exact"/>
        <w:rPr>
          <w:sz w:val="24"/>
          <w:szCs w:val="24"/>
          <w:color w:val="auto"/>
        </w:rPr>
      </w:pPr>
    </w:p>
    <w:p>
      <w:pPr>
        <w:ind w:left="1847"/>
        <w:spacing w:after="0"/>
        <w:rPr>
          <w:sz w:val="20"/>
          <w:szCs w:val="20"/>
          <w:color w:val="auto"/>
        </w:rPr>
      </w:pPr>
      <w:r>
        <w:rPr>
          <w:rFonts w:ascii="Arial" w:cs="Arial" w:eastAsia="Arial" w:hAnsi="Arial"/>
          <w:sz w:val="35"/>
          <w:szCs w:val="35"/>
          <w:b w:val="1"/>
          <w:bCs w:val="1"/>
          <w:color w:val="auto"/>
        </w:rPr>
        <w:t>Stifel</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35"/>
          <w:szCs w:val="35"/>
          <w:b w:val="1"/>
          <w:bCs w:val="1"/>
          <w:color w:val="auto"/>
        </w:rPr>
        <w:t>Needham &amp; Company</w:t>
      </w:r>
    </w:p>
    <w:p>
      <w:pPr>
        <w:spacing w:after="0" w:line="196" w:lineRule="exact"/>
        <w:rPr>
          <w:sz w:val="24"/>
          <w:szCs w:val="24"/>
          <w:color w:val="auto"/>
        </w:rPr>
      </w:pPr>
    </w:p>
    <w:p>
      <w:pPr>
        <w:sectPr>
          <w:pgSz w:w="11900" w:h="16838" w:orient="portrait"/>
          <w:cols w:equalWidth="0" w:num="2">
            <w:col w:w="4607" w:space="720"/>
            <w:col w:w="4240"/>
          </w:cols>
          <w:pgMar w:left="1173" w:top="238" w:right="1159" w:bottom="1440" w:gutter="0" w:footer="0" w:header="0"/>
          <w:type w:val="continuous"/>
        </w:sectPr>
      </w:pPr>
    </w:p>
    <w:p>
      <w:pPr>
        <w:jc w:val="center"/>
        <w:ind w:right="13"/>
        <w:spacing w:after="0"/>
        <w:rPr>
          <w:sz w:val="20"/>
          <w:szCs w:val="20"/>
          <w:color w:val="auto"/>
        </w:rPr>
      </w:pPr>
      <w:r>
        <w:rPr>
          <w:rFonts w:ascii="Arial" w:cs="Arial" w:eastAsia="Arial" w:hAnsi="Arial"/>
          <w:sz w:val="18"/>
          <w:szCs w:val="18"/>
          <w:i w:val="1"/>
          <w:iCs w:val="1"/>
          <w:color w:val="auto"/>
        </w:rPr>
        <w:t>Co-Managers</w:t>
      </w:r>
    </w:p>
    <w:p>
      <w:pPr>
        <w:sectPr>
          <w:pgSz w:w="11900" w:h="16838" w:orient="portrait"/>
          <w:cols w:equalWidth="0" w:num="1">
            <w:col w:w="9567"/>
          </w:cols>
          <w:pgMar w:left="1173" w:top="238" w:right="1159" w:bottom="1440" w:gutter="0" w:footer="0" w:header="0"/>
          <w:type w:val="continuous"/>
        </w:sectPr>
      </w:pPr>
    </w:p>
    <w:p>
      <w:pPr>
        <w:spacing w:after="0" w:line="75" w:lineRule="exact"/>
        <w:rPr>
          <w:sz w:val="24"/>
          <w:szCs w:val="24"/>
          <w:color w:val="auto"/>
        </w:rPr>
      </w:pPr>
    </w:p>
    <w:p>
      <w:pPr>
        <w:ind w:left="7"/>
        <w:spacing w:after="0"/>
        <w:rPr>
          <w:sz w:val="20"/>
          <w:szCs w:val="20"/>
          <w:color w:val="auto"/>
        </w:rPr>
      </w:pPr>
      <w:r>
        <w:rPr>
          <w:rFonts w:ascii="Arial" w:cs="Arial" w:eastAsia="Arial" w:hAnsi="Arial"/>
          <w:sz w:val="21"/>
          <w:szCs w:val="21"/>
          <w:b w:val="1"/>
          <w:bCs w:val="1"/>
          <w:color w:val="auto"/>
        </w:rPr>
        <w:t>Roth Capital Partners</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Craig-Hallum Capital Group</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The Benchmark Company</w:t>
      </w:r>
    </w:p>
    <w:p>
      <w:pPr>
        <w:spacing w:after="0" w:line="200" w:lineRule="exact"/>
        <w:rPr>
          <w:sz w:val="24"/>
          <w:szCs w:val="24"/>
          <w:color w:val="auto"/>
        </w:rPr>
      </w:pPr>
    </w:p>
    <w:p>
      <w:pPr>
        <w:sectPr>
          <w:pgSz w:w="11900" w:h="16838" w:orient="portrait"/>
          <w:cols w:equalWidth="0" w:num="3">
            <w:col w:w="2207" w:space="560"/>
            <w:col w:w="2900" w:space="720"/>
            <w:col w:w="3180"/>
          </w:cols>
          <w:pgMar w:left="1173" w:top="238" w:right="1159" w:bottom="1440" w:gutter="0" w:footer="0" w:header="0"/>
          <w:type w:val="continuous"/>
        </w:sectPr>
      </w:pPr>
    </w:p>
    <w:p>
      <w:pPr>
        <w:spacing w:after="0" w:line="47" w:lineRule="exact"/>
        <w:rPr>
          <w:sz w:val="24"/>
          <w:szCs w:val="24"/>
          <w:color w:val="auto"/>
        </w:rPr>
      </w:pPr>
    </w:p>
    <w:p>
      <w:pPr>
        <w:ind w:left="7"/>
        <w:spacing w:after="0"/>
        <w:rPr>
          <w:sz w:val="20"/>
          <w:szCs w:val="20"/>
          <w:color w:val="auto"/>
        </w:rPr>
      </w:pPr>
      <w:r>
        <w:rPr>
          <w:rFonts w:ascii="Arial" w:cs="Arial" w:eastAsia="Arial" w:hAnsi="Arial"/>
          <w:sz w:val="17"/>
          <w:szCs w:val="17"/>
          <w:color w:val="auto"/>
        </w:rPr>
        <w:t>The date of this prospectus supplement is August 14,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323850</wp:posOffset>
            </wp:positionV>
            <wp:extent cx="607187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38" w:right="115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60" w:type="dxa"/>
            <w:vAlign w:val="bottom"/>
            <w:gridSpan w:val="7"/>
          </w:tcPr>
          <w:p>
            <w:pPr>
              <w:jc w:val="right"/>
              <w:ind w:right="382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6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80" w:type="dxa"/>
            <w:vAlign w:val="bottom"/>
            <w:gridSpan w:val="20"/>
            <w:shd w:val="clear" w:color="auto" w:fill="CCEEFF"/>
          </w:tcPr>
          <w:p>
            <w:pPr>
              <w:spacing w:after="0"/>
              <w:rPr>
                <w:sz w:val="20"/>
                <w:szCs w:val="20"/>
                <w:color w:val="auto"/>
              </w:rPr>
            </w:pPr>
            <w:r>
              <w:rPr>
                <w:rFonts w:ascii="Arial" w:cs="Arial" w:eastAsia="Arial" w:hAnsi="Arial"/>
                <w:sz w:val="18"/>
                <w:szCs w:val="18"/>
                <w:b w:val="1"/>
                <w:bCs w:val="1"/>
                <w:color w:val="auto"/>
              </w:rPr>
              <w:t>Prospectus Supplement</w:t>
            </w:r>
          </w:p>
        </w:tc>
        <w:tc>
          <w:tcPr>
            <w:tcW w:w="518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gridSpan w:val="20"/>
          </w:tcPr>
          <w:p>
            <w:pPr>
              <w:spacing w:after="0" w:line="189" w:lineRule="exact"/>
              <w:rPr>
                <w:rFonts w:ascii="Arial" w:cs="Arial" w:eastAsia="Arial" w:hAnsi="Arial"/>
                <w:sz w:val="18"/>
                <w:szCs w:val="18"/>
                <w:color w:val="0000EE"/>
              </w:rPr>
            </w:pPr>
            <w:hyperlink w:anchor="page3">
              <w:r>
                <w:rPr>
                  <w:rFonts w:ascii="Arial" w:cs="Arial" w:eastAsia="Arial" w:hAnsi="Arial"/>
                  <w:sz w:val="18"/>
                  <w:szCs w:val="18"/>
                  <w:color w:val="0000EE"/>
                </w:rPr>
                <w:t>Prospectus Supplement Summary</w:t>
              </w:r>
            </w:hyperlink>
          </w:p>
        </w:tc>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5"/>
          </w:tcPr>
          <w:p>
            <w:pPr>
              <w:jc w:val="right"/>
              <w:ind w:right="100"/>
              <w:spacing w:after="0" w:line="189" w:lineRule="exact"/>
              <w:rPr>
                <w:rFonts w:ascii="Arial" w:cs="Arial" w:eastAsia="Arial" w:hAnsi="Arial"/>
                <w:sz w:val="18"/>
                <w:szCs w:val="18"/>
                <w:color w:val="0000EE"/>
              </w:rPr>
            </w:pPr>
            <w:hyperlink w:anchor="page3">
              <w:r>
                <w:rPr>
                  <w:rFonts w:ascii="Arial" w:cs="Arial" w:eastAsia="Arial" w:hAnsi="Arial"/>
                  <w:sz w:val="18"/>
                  <w:szCs w:val="18"/>
                  <w:color w:val="0000EE"/>
                </w:rPr>
                <w:t>S-1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0" w:type="dxa"/>
            <w:vAlign w:val="bottom"/>
            <w:gridSpan w:val="3"/>
            <w:shd w:val="clear" w:color="auto" w:fill="CCEEFF"/>
          </w:tcPr>
          <w:p>
            <w:pPr>
              <w:spacing w:after="0" w:line="189"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Risk Factors</w:t>
              </w:r>
            </w:hyperlink>
          </w:p>
        </w:tc>
        <w:tc>
          <w:tcPr>
            <w:tcW w:w="2800" w:type="dxa"/>
            <w:vAlign w:val="bottom"/>
            <w:gridSpan w:val="17"/>
            <w:shd w:val="clear" w:color="auto" w:fill="CCEEFF"/>
          </w:tcPr>
          <w:p>
            <w:pPr>
              <w:spacing w:after="0"/>
              <w:rPr>
                <w:sz w:val="16"/>
                <w:szCs w:val="16"/>
                <w:color w:val="auto"/>
              </w:rPr>
            </w:pPr>
          </w:p>
        </w:tc>
        <w:tc>
          <w:tcPr>
            <w:tcW w:w="5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5"/>
            <w:shd w:val="clear" w:color="auto" w:fill="CCEEFF"/>
          </w:tcPr>
          <w:p>
            <w:pPr>
              <w:jc w:val="right"/>
              <w:ind w:right="100"/>
              <w:spacing w:after="0" w:line="189" w:lineRule="exact"/>
              <w:rPr>
                <w:rFonts w:ascii="Arial" w:cs="Arial" w:eastAsia="Arial" w:hAnsi="Arial"/>
                <w:sz w:val="18"/>
                <w:szCs w:val="18"/>
                <w:color w:val="0000EE"/>
              </w:rPr>
            </w:pPr>
            <w:hyperlink w:anchor="page6">
              <w:r>
                <w:rPr>
                  <w:rFonts w:ascii="Arial" w:cs="Arial" w:eastAsia="Arial" w:hAnsi="Arial"/>
                  <w:sz w:val="18"/>
                  <w:szCs w:val="18"/>
                  <w:color w:val="0000EE"/>
                </w:rPr>
                <w:t>S-4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80" w:type="dxa"/>
            <w:vAlign w:val="bottom"/>
            <w:gridSpan w:val="20"/>
          </w:tcPr>
          <w:p>
            <w:pPr>
              <w:spacing w:after="0" w:line="189"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Forward-Looking Statements and Statistical Data</w:t>
              </w:r>
            </w:hyperlink>
          </w:p>
        </w:tc>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5"/>
          </w:tcPr>
          <w:p>
            <w:pPr>
              <w:jc w:val="right"/>
              <w:ind w:right="100"/>
              <w:spacing w:after="0" w:line="189" w:lineRule="exact"/>
              <w:rPr>
                <w:rFonts w:ascii="Arial" w:cs="Arial" w:eastAsia="Arial" w:hAnsi="Arial"/>
                <w:sz w:val="18"/>
                <w:szCs w:val="18"/>
                <w:color w:val="0000EE"/>
              </w:rPr>
            </w:pPr>
            <w:hyperlink w:anchor="page7">
              <w:r>
                <w:rPr>
                  <w:rFonts w:ascii="Arial" w:cs="Arial" w:eastAsia="Arial" w:hAnsi="Arial"/>
                  <w:sz w:val="18"/>
                  <w:szCs w:val="18"/>
                  <w:color w:val="0000EE"/>
                </w:rPr>
                <w:t>S-5</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80" w:type="dxa"/>
            <w:vAlign w:val="bottom"/>
            <w:gridSpan w:val="20"/>
            <w:shd w:val="clear" w:color="auto" w:fill="CCEEFF"/>
          </w:tcPr>
          <w:p>
            <w:pPr>
              <w:spacing w:after="0" w:line="189"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5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5"/>
            <w:shd w:val="clear" w:color="auto" w:fill="CCEEFF"/>
          </w:tcPr>
          <w:p>
            <w:pPr>
              <w:jc w:val="right"/>
              <w:ind w:right="100"/>
              <w:spacing w:after="0" w:line="189" w:lineRule="exact"/>
              <w:rPr>
                <w:rFonts w:ascii="Arial" w:cs="Arial" w:eastAsia="Arial" w:hAnsi="Arial"/>
                <w:sz w:val="18"/>
                <w:szCs w:val="18"/>
                <w:color w:val="0000EE"/>
              </w:rPr>
            </w:pPr>
            <w:hyperlink w:anchor="page8">
              <w:r>
                <w:rPr>
                  <w:rFonts w:ascii="Arial" w:cs="Arial" w:eastAsia="Arial" w:hAnsi="Arial"/>
                  <w:sz w:val="18"/>
                  <w:szCs w:val="18"/>
                  <w:color w:val="0000EE"/>
                </w:rPr>
                <w:t>S-6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80" w:type="dxa"/>
            <w:vAlign w:val="bottom"/>
            <w:gridSpan w:val="20"/>
          </w:tcPr>
          <w:p>
            <w:pPr>
              <w:spacing w:after="0" w:line="189" w:lineRule="exact"/>
              <w:rPr>
                <w:rFonts w:ascii="Arial" w:cs="Arial" w:eastAsia="Arial" w:hAnsi="Arial"/>
                <w:sz w:val="18"/>
                <w:szCs w:val="18"/>
                <w:color w:val="0000EE"/>
              </w:rPr>
            </w:pPr>
            <w:hyperlink w:anchor="page9">
              <w:r>
                <w:rPr>
                  <w:rFonts w:ascii="Arial" w:cs="Arial" w:eastAsia="Arial" w:hAnsi="Arial"/>
                  <w:sz w:val="18"/>
                  <w:szCs w:val="18"/>
                  <w:color w:val="0000EE"/>
                </w:rPr>
                <w:t>Market for Class A Common Stock</w:t>
              </w:r>
            </w:hyperlink>
          </w:p>
        </w:tc>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5"/>
          </w:tcPr>
          <w:p>
            <w:pPr>
              <w:jc w:val="right"/>
              <w:ind w:right="100"/>
              <w:spacing w:after="0" w:line="189" w:lineRule="exact"/>
              <w:rPr>
                <w:rFonts w:ascii="Arial" w:cs="Arial" w:eastAsia="Arial" w:hAnsi="Arial"/>
                <w:sz w:val="18"/>
                <w:szCs w:val="18"/>
                <w:color w:val="0000EE"/>
              </w:rPr>
            </w:pPr>
            <w:hyperlink w:anchor="page9">
              <w:r>
                <w:rPr>
                  <w:rFonts w:ascii="Arial" w:cs="Arial" w:eastAsia="Arial" w:hAnsi="Arial"/>
                  <w:sz w:val="18"/>
                  <w:szCs w:val="18"/>
                  <w:color w:val="0000EE"/>
                </w:rPr>
                <w:t>S-7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80" w:type="dxa"/>
            <w:vAlign w:val="bottom"/>
            <w:gridSpan w:val="20"/>
            <w:shd w:val="clear" w:color="auto" w:fill="CCEEFF"/>
          </w:tcPr>
          <w:p>
            <w:pPr>
              <w:spacing w:after="0" w:line="189" w:lineRule="exact"/>
              <w:rPr>
                <w:rFonts w:ascii="Arial" w:cs="Arial" w:eastAsia="Arial" w:hAnsi="Arial"/>
                <w:sz w:val="18"/>
                <w:szCs w:val="18"/>
                <w:color w:val="0000EE"/>
              </w:rPr>
            </w:pPr>
            <w:hyperlink w:anchor="page9">
              <w:r>
                <w:rPr>
                  <w:rFonts w:ascii="Arial" w:cs="Arial" w:eastAsia="Arial" w:hAnsi="Arial"/>
                  <w:sz w:val="18"/>
                  <w:szCs w:val="18"/>
                  <w:color w:val="0000EE"/>
                </w:rPr>
                <w:t>Dividend Policy</w:t>
              </w:r>
            </w:hyperlink>
          </w:p>
        </w:tc>
        <w:tc>
          <w:tcPr>
            <w:tcW w:w="5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5"/>
            <w:shd w:val="clear" w:color="auto" w:fill="CCEEFF"/>
          </w:tcPr>
          <w:p>
            <w:pPr>
              <w:jc w:val="right"/>
              <w:ind w:right="100"/>
              <w:spacing w:after="0" w:line="189" w:lineRule="exact"/>
              <w:rPr>
                <w:rFonts w:ascii="Arial" w:cs="Arial" w:eastAsia="Arial" w:hAnsi="Arial"/>
                <w:sz w:val="18"/>
                <w:szCs w:val="18"/>
                <w:color w:val="0000EE"/>
              </w:rPr>
            </w:pPr>
            <w:hyperlink w:anchor="page9">
              <w:r>
                <w:rPr>
                  <w:rFonts w:ascii="Arial" w:cs="Arial" w:eastAsia="Arial" w:hAnsi="Arial"/>
                  <w:sz w:val="18"/>
                  <w:szCs w:val="18"/>
                  <w:color w:val="0000EE"/>
                </w:rPr>
                <w:t>S-7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40" w:type="dxa"/>
            <w:vAlign w:val="bottom"/>
            <w:gridSpan w:val="6"/>
          </w:tcPr>
          <w:p>
            <w:pPr>
              <w:spacing w:after="0" w:line="189" w:lineRule="exact"/>
              <w:rPr>
                <w:rFonts w:ascii="Arial" w:cs="Arial" w:eastAsia="Arial" w:hAnsi="Arial"/>
                <w:sz w:val="18"/>
                <w:szCs w:val="18"/>
                <w:color w:val="0000EE"/>
              </w:rPr>
            </w:pPr>
            <w:hyperlink w:anchor="page10">
              <w:r>
                <w:rPr>
                  <w:rFonts w:ascii="Arial" w:cs="Arial" w:eastAsia="Arial" w:hAnsi="Arial"/>
                  <w:sz w:val="18"/>
                  <w:szCs w:val="18"/>
                  <w:color w:val="0000EE"/>
                </w:rPr>
                <w:t>Dilution</w:t>
              </w:r>
            </w:hyperlink>
          </w:p>
        </w:tc>
        <w:tc>
          <w:tcPr>
            <w:tcW w:w="2540" w:type="dxa"/>
            <w:vAlign w:val="bottom"/>
            <w:gridSpan w:val="14"/>
          </w:tcPr>
          <w:p>
            <w:pPr>
              <w:spacing w:after="0"/>
              <w:rPr>
                <w:sz w:val="16"/>
                <w:szCs w:val="16"/>
                <w:color w:val="auto"/>
              </w:rPr>
            </w:pPr>
          </w:p>
        </w:tc>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5"/>
          </w:tcPr>
          <w:p>
            <w:pPr>
              <w:jc w:val="right"/>
              <w:ind w:right="100"/>
              <w:spacing w:after="0" w:line="189" w:lineRule="exact"/>
              <w:rPr>
                <w:rFonts w:ascii="Arial" w:cs="Arial" w:eastAsia="Arial" w:hAnsi="Arial"/>
                <w:sz w:val="18"/>
                <w:szCs w:val="18"/>
                <w:color w:val="0000EE"/>
              </w:rPr>
            </w:pPr>
            <w:hyperlink w:anchor="page10">
              <w:r>
                <w:rPr>
                  <w:rFonts w:ascii="Arial" w:cs="Arial" w:eastAsia="Arial" w:hAnsi="Arial"/>
                  <w:sz w:val="18"/>
                  <w:szCs w:val="18"/>
                  <w:color w:val="0000EE"/>
                </w:rPr>
                <w:t>S-8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60" w:type="dxa"/>
            <w:vAlign w:val="bottom"/>
            <w:gridSpan w:val="19"/>
            <w:shd w:val="clear" w:color="auto" w:fill="CCEEFF"/>
          </w:tcPr>
          <w:p>
            <w:pPr>
              <w:spacing w:after="0" w:line="189"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Material U.S. Federal Income Tax Considerations</w:t>
              </w:r>
            </w:hyperlink>
          </w:p>
        </w:tc>
        <w:tc>
          <w:tcPr>
            <w:tcW w:w="120" w:type="dxa"/>
            <w:vAlign w:val="bottom"/>
            <w:shd w:val="clear" w:color="auto" w:fill="CCEEFF"/>
          </w:tcPr>
          <w:p>
            <w:pPr>
              <w:spacing w:after="0"/>
              <w:rPr>
                <w:sz w:val="16"/>
                <w:szCs w:val="16"/>
                <w:color w:val="auto"/>
              </w:rPr>
            </w:pPr>
          </w:p>
        </w:tc>
        <w:tc>
          <w:tcPr>
            <w:tcW w:w="5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5"/>
            <w:shd w:val="clear" w:color="auto" w:fill="CCEEFF"/>
          </w:tcPr>
          <w:p>
            <w:pPr>
              <w:jc w:val="right"/>
              <w:ind w:right="100"/>
              <w:spacing w:after="0" w:line="189" w:lineRule="exact"/>
              <w:rPr>
                <w:rFonts w:ascii="Arial" w:cs="Arial" w:eastAsia="Arial" w:hAnsi="Arial"/>
                <w:sz w:val="18"/>
                <w:szCs w:val="18"/>
                <w:color w:val="0000EE"/>
              </w:rPr>
            </w:pPr>
            <w:hyperlink w:anchor="page11">
              <w:r>
                <w:rPr>
                  <w:rFonts w:ascii="Arial" w:cs="Arial" w:eastAsia="Arial" w:hAnsi="Arial"/>
                  <w:sz w:val="18"/>
                  <w:szCs w:val="18"/>
                  <w:color w:val="0000EE"/>
                </w:rPr>
                <w:t>S-9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60" w:type="dxa"/>
            <w:vAlign w:val="bottom"/>
            <w:gridSpan w:val="19"/>
          </w:tcPr>
          <w:p>
            <w:pPr>
              <w:spacing w:after="0" w:line="189" w:lineRule="exact"/>
              <w:rPr>
                <w:rFonts w:ascii="Arial" w:cs="Arial" w:eastAsia="Arial" w:hAnsi="Arial"/>
                <w:sz w:val="18"/>
                <w:szCs w:val="18"/>
                <w:color w:val="0000EE"/>
              </w:rPr>
            </w:pPr>
            <w:hyperlink w:anchor="page15">
              <w:r>
                <w:rPr>
                  <w:rFonts w:ascii="Arial" w:cs="Arial" w:eastAsia="Arial" w:hAnsi="Arial"/>
                  <w:sz w:val="18"/>
                  <w:szCs w:val="18"/>
                  <w:color w:val="0000EE"/>
                </w:rPr>
                <w:t>Underwriting</w:t>
              </w:r>
            </w:hyperlink>
          </w:p>
        </w:tc>
        <w:tc>
          <w:tcPr>
            <w:tcW w:w="1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5"/>
          </w:tcPr>
          <w:p>
            <w:pPr>
              <w:jc w:val="right"/>
              <w:ind w:right="100"/>
              <w:spacing w:after="0" w:line="189" w:lineRule="exact"/>
              <w:rPr>
                <w:rFonts w:ascii="Arial" w:cs="Arial" w:eastAsia="Arial" w:hAnsi="Arial"/>
                <w:sz w:val="18"/>
                <w:szCs w:val="18"/>
                <w:color w:val="0000EE"/>
                <w:w w:val="84"/>
              </w:rPr>
            </w:pPr>
            <w:hyperlink w:anchor="page15">
              <w:r>
                <w:rPr>
                  <w:rFonts w:ascii="Arial" w:cs="Arial" w:eastAsia="Arial" w:hAnsi="Arial"/>
                  <w:sz w:val="18"/>
                  <w:szCs w:val="18"/>
                  <w:color w:val="0000EE"/>
                  <w:w w:val="84"/>
                </w:rPr>
                <w:t>S-13</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0" w:type="dxa"/>
            <w:vAlign w:val="bottom"/>
            <w:gridSpan w:val="5"/>
            <w:shd w:val="clear" w:color="auto" w:fill="CCEEFF"/>
          </w:tcPr>
          <w:p>
            <w:pPr>
              <w:spacing w:after="0" w:line="189"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Legal Matters</w:t>
              </w:r>
            </w:hyperlink>
          </w:p>
        </w:tc>
        <w:tc>
          <w:tcPr>
            <w:tcW w:w="2700" w:type="dxa"/>
            <w:vAlign w:val="bottom"/>
            <w:gridSpan w:val="15"/>
            <w:shd w:val="clear" w:color="auto" w:fill="CCEEFF"/>
          </w:tcPr>
          <w:p>
            <w:pPr>
              <w:spacing w:after="0"/>
              <w:rPr>
                <w:sz w:val="16"/>
                <w:szCs w:val="16"/>
                <w:color w:val="auto"/>
              </w:rPr>
            </w:pPr>
          </w:p>
        </w:tc>
        <w:tc>
          <w:tcPr>
            <w:tcW w:w="5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gridSpan w:val="5"/>
            <w:shd w:val="clear" w:color="auto" w:fill="CCEEFF"/>
          </w:tcPr>
          <w:p>
            <w:pPr>
              <w:jc w:val="right"/>
              <w:ind w:right="100"/>
              <w:spacing w:after="0" w:line="189" w:lineRule="exact"/>
              <w:rPr>
                <w:rFonts w:ascii="Arial" w:cs="Arial" w:eastAsia="Arial" w:hAnsi="Arial"/>
                <w:sz w:val="18"/>
                <w:szCs w:val="18"/>
                <w:color w:val="0000EE"/>
                <w:w w:val="84"/>
              </w:rPr>
            </w:pPr>
            <w:hyperlink w:anchor="page22">
              <w:r>
                <w:rPr>
                  <w:rFonts w:ascii="Arial" w:cs="Arial" w:eastAsia="Arial" w:hAnsi="Arial"/>
                  <w:sz w:val="18"/>
                  <w:szCs w:val="18"/>
                  <w:color w:val="0000EE"/>
                  <w:w w:val="84"/>
                </w:rPr>
                <w:t>S-20</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80" w:type="dxa"/>
            <w:vAlign w:val="bottom"/>
            <w:gridSpan w:val="5"/>
          </w:tcPr>
          <w:p>
            <w:pPr>
              <w:spacing w:after="0" w:line="189" w:lineRule="exact"/>
              <w:rPr>
                <w:rFonts w:ascii="Arial" w:cs="Arial" w:eastAsia="Arial" w:hAnsi="Arial"/>
                <w:sz w:val="18"/>
                <w:szCs w:val="18"/>
                <w:color w:val="0000EE"/>
              </w:rPr>
            </w:pPr>
            <w:hyperlink w:anchor="page22">
              <w:r>
                <w:rPr>
                  <w:rFonts w:ascii="Arial" w:cs="Arial" w:eastAsia="Arial" w:hAnsi="Arial"/>
                  <w:sz w:val="18"/>
                  <w:szCs w:val="18"/>
                  <w:color w:val="0000EE"/>
                </w:rPr>
                <w:t>Experts</w:t>
              </w:r>
            </w:hyperlink>
          </w:p>
        </w:tc>
        <w:tc>
          <w:tcPr>
            <w:tcW w:w="2700" w:type="dxa"/>
            <w:vAlign w:val="bottom"/>
            <w:gridSpan w:val="15"/>
          </w:tcPr>
          <w:p>
            <w:pPr>
              <w:spacing w:after="0"/>
              <w:rPr>
                <w:sz w:val="16"/>
                <w:szCs w:val="16"/>
                <w:color w:val="auto"/>
              </w:rPr>
            </w:pPr>
          </w:p>
        </w:tc>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gridSpan w:val="5"/>
          </w:tcPr>
          <w:p>
            <w:pPr>
              <w:jc w:val="right"/>
              <w:ind w:right="100"/>
              <w:spacing w:after="0" w:line="189" w:lineRule="exact"/>
              <w:rPr>
                <w:rFonts w:ascii="Arial" w:cs="Arial" w:eastAsia="Arial" w:hAnsi="Arial"/>
                <w:sz w:val="18"/>
                <w:szCs w:val="18"/>
                <w:color w:val="0000EE"/>
                <w:w w:val="84"/>
              </w:rPr>
            </w:pPr>
            <w:hyperlink w:anchor="page22">
              <w:r>
                <w:rPr>
                  <w:rFonts w:ascii="Arial" w:cs="Arial" w:eastAsia="Arial" w:hAnsi="Arial"/>
                  <w:sz w:val="18"/>
                  <w:szCs w:val="18"/>
                  <w:color w:val="0000EE"/>
                  <w:w w:val="84"/>
                </w:rPr>
                <w:t>S-20</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3680" w:type="dxa"/>
            <w:vAlign w:val="bottom"/>
            <w:gridSpan w:val="20"/>
            <w:shd w:val="clear" w:color="auto" w:fill="CCEEFF"/>
          </w:tcPr>
          <w:p>
            <w:pPr>
              <w:spacing w:after="0" w:line="189" w:lineRule="exact"/>
              <w:rPr>
                <w:rFonts w:ascii="Arial" w:cs="Arial" w:eastAsia="Arial" w:hAnsi="Arial"/>
                <w:sz w:val="18"/>
                <w:szCs w:val="18"/>
                <w:color w:val="0000EE"/>
              </w:rPr>
            </w:pPr>
            <w:hyperlink w:anchor="page23">
              <w:r>
                <w:rPr>
                  <w:rFonts w:ascii="Arial" w:cs="Arial" w:eastAsia="Arial" w:hAnsi="Arial"/>
                  <w:sz w:val="18"/>
                  <w:szCs w:val="18"/>
                  <w:color w:val="0000EE"/>
                </w:rPr>
                <w:t>Where You Can Find More Information</w:t>
              </w:r>
            </w:hyperlink>
          </w:p>
        </w:tc>
        <w:tc>
          <w:tcPr>
            <w:tcW w:w="5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gridSpan w:val="5"/>
            <w:shd w:val="clear" w:color="auto" w:fill="CCEEFF"/>
          </w:tcPr>
          <w:p>
            <w:pPr>
              <w:jc w:val="right"/>
              <w:ind w:right="100"/>
              <w:spacing w:after="0" w:line="189" w:lineRule="exact"/>
              <w:rPr>
                <w:rFonts w:ascii="Arial" w:cs="Arial" w:eastAsia="Arial" w:hAnsi="Arial"/>
                <w:sz w:val="18"/>
                <w:szCs w:val="18"/>
                <w:color w:val="0000EE"/>
                <w:w w:val="84"/>
              </w:rPr>
            </w:pPr>
            <w:hyperlink w:anchor="page23">
              <w:r>
                <w:rPr>
                  <w:rFonts w:ascii="Arial" w:cs="Arial" w:eastAsia="Arial" w:hAnsi="Arial"/>
                  <w:sz w:val="18"/>
                  <w:szCs w:val="18"/>
                  <w:color w:val="0000EE"/>
                  <w:w w:val="84"/>
                </w:rPr>
                <w:t>S-21</w:t>
              </w:r>
            </w:hyperlink>
          </w:p>
        </w:tc>
        <w:tc>
          <w:tcPr>
            <w:tcW w:w="0" w:type="dxa"/>
            <w:vAlign w:val="bottom"/>
          </w:tcPr>
          <w:p>
            <w:pPr>
              <w:spacing w:after="0"/>
              <w:rPr>
                <w:sz w:val="1"/>
                <w:szCs w:val="1"/>
                <w:color w:val="auto"/>
              </w:rPr>
            </w:pPr>
          </w:p>
        </w:tc>
      </w:tr>
      <w:tr>
        <w:trPr>
          <w:trHeight w:val="243"/>
        </w:trPr>
        <w:tc>
          <w:tcPr>
            <w:tcW w:w="20" w:type="dxa"/>
            <w:vAlign w:val="bottom"/>
            <w:tcBorders>
              <w:top w:val="single" w:sz="8" w:color="0000EE"/>
            </w:tcBorders>
            <w:vMerge w:val="restart"/>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320" w:type="dxa"/>
            <w:vAlign w:val="bottom"/>
            <w:tcBorders>
              <w:top w:val="single" w:sz="8" w:color="0000EE"/>
            </w:tcBorders>
          </w:tcPr>
          <w:p>
            <w:pPr>
              <w:spacing w:after="0"/>
              <w:rPr>
                <w:sz w:val="21"/>
                <w:szCs w:val="21"/>
                <w:color w:val="auto"/>
              </w:rPr>
            </w:pPr>
          </w:p>
        </w:tc>
        <w:tc>
          <w:tcPr>
            <w:tcW w:w="7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51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680" w:type="dxa"/>
            <w:vAlign w:val="bottom"/>
            <w:gridSpan w:val="20"/>
            <w:shd w:val="clear" w:color="auto" w:fill="CCEEFF"/>
          </w:tcPr>
          <w:p>
            <w:pPr>
              <w:spacing w:after="0"/>
              <w:rPr>
                <w:sz w:val="20"/>
                <w:szCs w:val="20"/>
                <w:color w:val="auto"/>
              </w:rPr>
            </w:pPr>
            <w:r>
              <w:rPr>
                <w:rFonts w:ascii="Arial" w:cs="Arial" w:eastAsia="Arial" w:hAnsi="Arial"/>
                <w:sz w:val="18"/>
                <w:szCs w:val="18"/>
                <w:b w:val="1"/>
                <w:bCs w:val="1"/>
                <w:color w:val="auto"/>
              </w:rPr>
              <w:t>Prospectus</w:t>
            </w:r>
          </w:p>
        </w:tc>
        <w:tc>
          <w:tcPr>
            <w:tcW w:w="5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gridSpan w:val="20"/>
          </w:tcPr>
          <w:p>
            <w:pPr>
              <w:spacing w:after="0" w:line="189" w:lineRule="exact"/>
              <w:rPr>
                <w:rFonts w:ascii="Arial" w:cs="Arial" w:eastAsia="Arial" w:hAnsi="Arial"/>
                <w:sz w:val="18"/>
                <w:szCs w:val="18"/>
                <w:color w:val="0000EE"/>
              </w:rPr>
            </w:pPr>
            <w:hyperlink w:anchor="page27">
              <w:r>
                <w:rPr>
                  <w:rFonts w:ascii="Arial" w:cs="Arial" w:eastAsia="Arial" w:hAnsi="Arial"/>
                  <w:sz w:val="18"/>
                  <w:szCs w:val="18"/>
                  <w:color w:val="0000EE"/>
                </w:rPr>
                <w:t>About This Prospectus</w:t>
              </w:r>
            </w:hyperlink>
          </w:p>
        </w:tc>
        <w:tc>
          <w:tcPr>
            <w:tcW w:w="5760" w:type="dxa"/>
            <w:vAlign w:val="bottom"/>
            <w:gridSpan w:val="6"/>
          </w:tcPr>
          <w:p>
            <w:pPr>
              <w:jc w:val="right"/>
              <w:spacing w:after="0" w:line="189" w:lineRule="exact"/>
              <w:rPr>
                <w:rFonts w:ascii="Arial" w:cs="Arial" w:eastAsia="Arial" w:hAnsi="Arial"/>
                <w:sz w:val="18"/>
                <w:szCs w:val="18"/>
                <w:color w:val="0000EE"/>
              </w:rPr>
            </w:pPr>
            <w:hyperlink w:anchor="page27">
              <w:r>
                <w:rPr>
                  <w:rFonts w:ascii="Arial" w:cs="Arial" w:eastAsia="Arial" w:hAnsi="Arial"/>
                  <w:sz w:val="18"/>
                  <w:szCs w:val="18"/>
                  <w:color w:val="0000EE"/>
                </w:rPr>
                <w:t>1</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17"/>
            <w:shd w:val="clear" w:color="auto" w:fill="CCEEFF"/>
          </w:tcPr>
          <w:p>
            <w:pPr>
              <w:spacing w:after="0" w:line="189"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Where You Can Find More Information</w:t>
              </w:r>
            </w:hyperlink>
          </w:p>
        </w:tc>
        <w:tc>
          <w:tcPr>
            <w:tcW w:w="840" w:type="dxa"/>
            <w:vAlign w:val="bottom"/>
            <w:gridSpan w:val="3"/>
            <w:shd w:val="clear" w:color="auto" w:fill="CCEEFF"/>
          </w:tcPr>
          <w:p>
            <w:pPr>
              <w:spacing w:after="0"/>
              <w:rPr>
                <w:sz w:val="16"/>
                <w:szCs w:val="16"/>
                <w:color w:val="auto"/>
              </w:rPr>
            </w:pPr>
          </w:p>
        </w:tc>
        <w:tc>
          <w:tcPr>
            <w:tcW w:w="5760" w:type="dxa"/>
            <w:vAlign w:val="bottom"/>
            <w:gridSpan w:val="6"/>
            <w:shd w:val="clear" w:color="auto" w:fill="CCEEFF"/>
          </w:tcPr>
          <w:p>
            <w:pPr>
              <w:jc w:val="right"/>
              <w:spacing w:after="0" w:line="189" w:lineRule="exact"/>
              <w:rPr>
                <w:rFonts w:ascii="Arial" w:cs="Arial" w:eastAsia="Arial" w:hAnsi="Arial"/>
                <w:sz w:val="18"/>
                <w:szCs w:val="18"/>
                <w:color w:val="0000EE"/>
              </w:rPr>
            </w:pPr>
            <w:hyperlink w:anchor="page28">
              <w:r>
                <w:rPr>
                  <w:rFonts w:ascii="Arial" w:cs="Arial" w:eastAsia="Arial" w:hAnsi="Arial"/>
                  <w:sz w:val="18"/>
                  <w:szCs w:val="18"/>
                  <w:color w:val="0000EE"/>
                </w:rPr>
                <w:t>2</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17"/>
          </w:tcPr>
          <w:p>
            <w:pPr>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About Our Company</w:t>
              </w:r>
            </w:hyperlink>
          </w:p>
        </w:tc>
        <w:tc>
          <w:tcPr>
            <w:tcW w:w="840" w:type="dxa"/>
            <w:vAlign w:val="bottom"/>
            <w:gridSpan w:val="3"/>
          </w:tcPr>
          <w:p>
            <w:pPr>
              <w:spacing w:after="0"/>
              <w:rPr>
                <w:sz w:val="16"/>
                <w:szCs w:val="16"/>
                <w:color w:val="auto"/>
              </w:rPr>
            </w:pPr>
          </w:p>
        </w:tc>
        <w:tc>
          <w:tcPr>
            <w:tcW w:w="5760" w:type="dxa"/>
            <w:vAlign w:val="bottom"/>
            <w:gridSpan w:val="6"/>
          </w:tcPr>
          <w:p>
            <w:pPr>
              <w:jc w:val="right"/>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3</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0" w:type="dxa"/>
            <w:vAlign w:val="bottom"/>
            <w:gridSpan w:val="3"/>
            <w:shd w:val="clear" w:color="auto" w:fill="CCEEFF"/>
          </w:tcPr>
          <w:p>
            <w:pPr>
              <w:spacing w:after="0" w:line="189" w:lineRule="exact"/>
              <w:rPr>
                <w:rFonts w:ascii="Arial" w:cs="Arial" w:eastAsia="Arial" w:hAnsi="Arial"/>
                <w:sz w:val="18"/>
                <w:szCs w:val="18"/>
                <w:color w:val="0000EE"/>
                <w:w w:val="85"/>
              </w:rPr>
            </w:pPr>
            <w:hyperlink w:anchor="page29">
              <w:r>
                <w:rPr>
                  <w:rFonts w:ascii="Arial" w:cs="Arial" w:eastAsia="Arial" w:hAnsi="Arial"/>
                  <w:sz w:val="18"/>
                  <w:szCs w:val="18"/>
                  <w:color w:val="0000EE"/>
                  <w:w w:val="85"/>
                </w:rPr>
                <w:t>Risk Factors</w:t>
              </w:r>
            </w:hyperlink>
          </w:p>
        </w:tc>
        <w:tc>
          <w:tcPr>
            <w:tcW w:w="2800" w:type="dxa"/>
            <w:vAlign w:val="bottom"/>
            <w:gridSpan w:val="17"/>
            <w:shd w:val="clear" w:color="auto" w:fill="CCEEFF"/>
          </w:tcPr>
          <w:p>
            <w:pPr>
              <w:spacing w:after="0"/>
              <w:rPr>
                <w:sz w:val="16"/>
                <w:szCs w:val="16"/>
                <w:color w:val="auto"/>
              </w:rPr>
            </w:pPr>
          </w:p>
        </w:tc>
        <w:tc>
          <w:tcPr>
            <w:tcW w:w="5760" w:type="dxa"/>
            <w:vAlign w:val="bottom"/>
            <w:gridSpan w:val="6"/>
            <w:shd w:val="clear" w:color="auto" w:fill="CCEEFF"/>
          </w:tcPr>
          <w:p>
            <w:pPr>
              <w:jc w:val="right"/>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3</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80" w:type="dxa"/>
            <w:vAlign w:val="bottom"/>
            <w:gridSpan w:val="20"/>
          </w:tcPr>
          <w:p>
            <w:pPr>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Use of Proceeds</w:t>
              </w:r>
            </w:hyperlink>
          </w:p>
        </w:tc>
        <w:tc>
          <w:tcPr>
            <w:tcW w:w="5760" w:type="dxa"/>
            <w:vAlign w:val="bottom"/>
            <w:gridSpan w:val="6"/>
          </w:tcPr>
          <w:p>
            <w:pPr>
              <w:jc w:val="right"/>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3</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80" w:type="dxa"/>
            <w:vAlign w:val="bottom"/>
            <w:gridSpan w:val="20"/>
            <w:shd w:val="clear" w:color="auto" w:fill="CCEEFF"/>
          </w:tcPr>
          <w:p>
            <w:pPr>
              <w:spacing w:after="0" w:line="189"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Capital Stock</w:t>
              </w:r>
            </w:hyperlink>
          </w:p>
        </w:tc>
        <w:tc>
          <w:tcPr>
            <w:tcW w:w="5760" w:type="dxa"/>
            <w:vAlign w:val="bottom"/>
            <w:gridSpan w:val="6"/>
            <w:shd w:val="clear" w:color="auto" w:fill="CCEEFF"/>
          </w:tcPr>
          <w:p>
            <w:pPr>
              <w:jc w:val="right"/>
              <w:spacing w:after="0" w:line="189" w:lineRule="exact"/>
              <w:rPr>
                <w:rFonts w:ascii="Arial" w:cs="Arial" w:eastAsia="Arial" w:hAnsi="Arial"/>
                <w:sz w:val="18"/>
                <w:szCs w:val="18"/>
                <w:color w:val="0000EE"/>
              </w:rPr>
            </w:pPr>
            <w:hyperlink w:anchor="page30">
              <w:r>
                <w:rPr>
                  <w:rFonts w:ascii="Arial" w:cs="Arial" w:eastAsia="Arial" w:hAnsi="Arial"/>
                  <w:sz w:val="18"/>
                  <w:szCs w:val="18"/>
                  <w:color w:val="0000EE"/>
                </w:rPr>
                <w:t>4</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5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680" w:type="dxa"/>
            <w:vAlign w:val="bottom"/>
            <w:gridSpan w:val="20"/>
          </w:tcPr>
          <w:p>
            <w:pPr>
              <w:spacing w:after="0" w:line="189" w:lineRule="exact"/>
              <w:rPr>
                <w:rFonts w:ascii="Arial" w:cs="Arial" w:eastAsia="Arial" w:hAnsi="Arial"/>
                <w:sz w:val="18"/>
                <w:szCs w:val="18"/>
                <w:color w:val="0000EE"/>
              </w:rPr>
            </w:pPr>
            <w:hyperlink w:anchor="page35">
              <w:r>
                <w:rPr>
                  <w:rFonts w:ascii="Arial" w:cs="Arial" w:eastAsia="Arial" w:hAnsi="Arial"/>
                  <w:sz w:val="18"/>
                  <w:szCs w:val="18"/>
                  <w:color w:val="0000EE"/>
                </w:rPr>
                <w:t>Description of Debt Securities</w:t>
              </w:r>
            </w:hyperlink>
          </w:p>
        </w:tc>
        <w:tc>
          <w:tcPr>
            <w:tcW w:w="5760" w:type="dxa"/>
            <w:vAlign w:val="bottom"/>
            <w:gridSpan w:val="6"/>
          </w:tcPr>
          <w:p>
            <w:pPr>
              <w:jc w:val="right"/>
              <w:spacing w:after="0" w:line="189" w:lineRule="exact"/>
              <w:rPr>
                <w:rFonts w:ascii="Arial" w:cs="Arial" w:eastAsia="Arial" w:hAnsi="Arial"/>
                <w:sz w:val="18"/>
                <w:szCs w:val="18"/>
                <w:color w:val="0000EE"/>
              </w:rPr>
            </w:pPr>
            <w:hyperlink w:anchor="page35">
              <w:r>
                <w:rPr>
                  <w:rFonts w:ascii="Arial" w:cs="Arial" w:eastAsia="Arial" w:hAnsi="Arial"/>
                  <w:sz w:val="18"/>
                  <w:szCs w:val="18"/>
                  <w:color w:val="0000EE"/>
                </w:rPr>
                <w:t>9</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1700" w:type="dxa"/>
            <w:vAlign w:val="bottom"/>
            <w:tcBorders>
              <w:bottom w:val="single" w:sz="8" w:color="0000EE"/>
            </w:tcBorders>
            <w:gridSpan w:val="12"/>
            <w:shd w:val="clear" w:color="auto" w:fill="CCEEFF"/>
          </w:tcPr>
          <w:p>
            <w:pPr>
              <w:spacing w:after="0" w:line="189"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Description of Warrants</w:t>
              </w:r>
            </w:hyperlink>
          </w:p>
        </w:tc>
        <w:tc>
          <w:tcPr>
            <w:tcW w:w="1980" w:type="dxa"/>
            <w:vAlign w:val="bottom"/>
            <w:tcBorders>
              <w:bottom w:val="single" w:sz="8" w:color="CCEEFF"/>
            </w:tcBorders>
            <w:gridSpan w:val="8"/>
            <w:shd w:val="clear" w:color="auto" w:fill="CCEEFF"/>
          </w:tcPr>
          <w:p>
            <w:pPr>
              <w:spacing w:after="0"/>
              <w:rPr>
                <w:sz w:val="19"/>
                <w:szCs w:val="19"/>
                <w:color w:val="auto"/>
              </w:rPr>
            </w:pPr>
          </w:p>
        </w:tc>
        <w:tc>
          <w:tcPr>
            <w:tcW w:w="5580" w:type="dxa"/>
            <w:vAlign w:val="bottom"/>
            <w:tcBorders>
              <w:bottom w:val="single" w:sz="8" w:color="CCEEFF"/>
            </w:tcBorders>
            <w:gridSpan w:val="4"/>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18</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gridSpan w:val="20"/>
          </w:tcPr>
          <w:p>
            <w:pPr>
              <w:spacing w:after="0" w:line="189"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Units</w:t>
              </w:r>
            </w:hyperlink>
          </w:p>
        </w:tc>
        <w:tc>
          <w:tcPr>
            <w:tcW w:w="5760" w:type="dxa"/>
            <w:vAlign w:val="bottom"/>
            <w:gridSpan w:val="6"/>
          </w:tcPr>
          <w:p>
            <w:pPr>
              <w:jc w:val="right"/>
              <w:spacing w:after="0" w:line="189" w:lineRule="exact"/>
              <w:rPr>
                <w:rFonts w:ascii="Arial" w:cs="Arial" w:eastAsia="Arial" w:hAnsi="Arial"/>
                <w:sz w:val="18"/>
                <w:szCs w:val="18"/>
                <w:color w:val="0000EE"/>
              </w:rPr>
            </w:pPr>
            <w:hyperlink w:anchor="page45">
              <w:r>
                <w:rPr>
                  <w:rFonts w:ascii="Arial" w:cs="Arial" w:eastAsia="Arial" w:hAnsi="Arial"/>
                  <w:sz w:val="18"/>
                  <w:szCs w:val="18"/>
                  <w:color w:val="0000EE"/>
                </w:rPr>
                <w:t>19</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1220" w:type="dxa"/>
            <w:vAlign w:val="bottom"/>
            <w:tcBorders>
              <w:bottom w:val="single" w:sz="8" w:color="0000EE"/>
            </w:tcBorders>
            <w:gridSpan w:val="7"/>
            <w:shd w:val="clear" w:color="auto" w:fill="CCEEFF"/>
          </w:tcPr>
          <w:p>
            <w:pPr>
              <w:spacing w:after="0" w:line="189"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Global Securities</w:t>
              </w:r>
            </w:hyperlink>
          </w:p>
        </w:tc>
        <w:tc>
          <w:tcPr>
            <w:tcW w:w="2460" w:type="dxa"/>
            <w:vAlign w:val="bottom"/>
            <w:tcBorders>
              <w:bottom w:val="single" w:sz="8" w:color="CCEEFF"/>
            </w:tcBorders>
            <w:gridSpan w:val="13"/>
            <w:shd w:val="clear" w:color="auto" w:fill="CCEEFF"/>
          </w:tcPr>
          <w:p>
            <w:pPr>
              <w:spacing w:after="0"/>
              <w:rPr>
                <w:sz w:val="19"/>
                <w:szCs w:val="19"/>
                <w:color w:val="auto"/>
              </w:rPr>
            </w:pPr>
          </w:p>
        </w:tc>
        <w:tc>
          <w:tcPr>
            <w:tcW w:w="5580" w:type="dxa"/>
            <w:vAlign w:val="bottom"/>
            <w:tcBorders>
              <w:bottom w:val="single" w:sz="8" w:color="CCEEFF"/>
            </w:tcBorders>
            <w:gridSpan w:val="4"/>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20</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gridSpan w:val="20"/>
          </w:tcPr>
          <w:p>
            <w:pPr>
              <w:spacing w:after="0" w:line="189" w:lineRule="exact"/>
              <w:rPr>
                <w:rFonts w:ascii="Arial" w:cs="Arial" w:eastAsia="Arial" w:hAnsi="Arial"/>
                <w:sz w:val="18"/>
                <w:szCs w:val="18"/>
                <w:color w:val="0000EE"/>
              </w:rPr>
            </w:pPr>
            <w:hyperlink w:anchor="page50">
              <w:r>
                <w:rPr>
                  <w:rFonts w:ascii="Arial" w:cs="Arial" w:eastAsia="Arial" w:hAnsi="Arial"/>
                  <w:sz w:val="18"/>
                  <w:szCs w:val="18"/>
                  <w:color w:val="0000EE"/>
                </w:rPr>
                <w:t>Plan of Distribution</w:t>
              </w:r>
            </w:hyperlink>
          </w:p>
        </w:tc>
        <w:tc>
          <w:tcPr>
            <w:tcW w:w="5760" w:type="dxa"/>
            <w:vAlign w:val="bottom"/>
            <w:gridSpan w:val="6"/>
          </w:tcPr>
          <w:p>
            <w:pPr>
              <w:jc w:val="right"/>
              <w:spacing w:after="0" w:line="189" w:lineRule="exact"/>
              <w:rPr>
                <w:rFonts w:ascii="Arial" w:cs="Arial" w:eastAsia="Arial" w:hAnsi="Arial"/>
                <w:sz w:val="18"/>
                <w:szCs w:val="18"/>
                <w:color w:val="0000EE"/>
              </w:rPr>
            </w:pPr>
            <w:hyperlink w:anchor="page50">
              <w:r>
                <w:rPr>
                  <w:rFonts w:ascii="Arial" w:cs="Arial" w:eastAsia="Arial" w:hAnsi="Arial"/>
                  <w:sz w:val="18"/>
                  <w:szCs w:val="18"/>
                  <w:color w:val="0000EE"/>
                </w:rPr>
                <w:t>24</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980" w:type="dxa"/>
            <w:vAlign w:val="bottom"/>
            <w:tcBorders>
              <w:bottom w:val="single" w:sz="8" w:color="0000EE"/>
            </w:tcBorders>
            <w:gridSpan w:val="5"/>
            <w:shd w:val="clear" w:color="auto" w:fill="CCEEFF"/>
          </w:tcPr>
          <w:p>
            <w:pPr>
              <w:spacing w:after="0" w:line="189" w:lineRule="exact"/>
              <w:rPr>
                <w:rFonts w:ascii="Arial" w:cs="Arial" w:eastAsia="Arial" w:hAnsi="Arial"/>
                <w:sz w:val="18"/>
                <w:szCs w:val="18"/>
                <w:color w:val="0000EE"/>
                <w:w w:val="87"/>
              </w:rPr>
            </w:pPr>
            <w:hyperlink w:anchor="page51">
              <w:r>
                <w:rPr>
                  <w:rFonts w:ascii="Arial" w:cs="Arial" w:eastAsia="Arial" w:hAnsi="Arial"/>
                  <w:sz w:val="18"/>
                  <w:szCs w:val="18"/>
                  <w:color w:val="0000EE"/>
                  <w:w w:val="87"/>
                </w:rPr>
                <w:t>Legal Matters</w:t>
              </w:r>
            </w:hyperlink>
          </w:p>
        </w:tc>
        <w:tc>
          <w:tcPr>
            <w:tcW w:w="2700" w:type="dxa"/>
            <w:vAlign w:val="bottom"/>
            <w:tcBorders>
              <w:bottom w:val="single" w:sz="8" w:color="CCEEFF"/>
            </w:tcBorders>
            <w:gridSpan w:val="15"/>
            <w:shd w:val="clear" w:color="auto" w:fill="CCEEFF"/>
          </w:tcPr>
          <w:p>
            <w:pPr>
              <w:spacing w:after="0"/>
              <w:rPr>
                <w:sz w:val="19"/>
                <w:szCs w:val="19"/>
                <w:color w:val="auto"/>
              </w:rPr>
            </w:pPr>
          </w:p>
        </w:tc>
        <w:tc>
          <w:tcPr>
            <w:tcW w:w="5580" w:type="dxa"/>
            <w:vAlign w:val="bottom"/>
            <w:tcBorders>
              <w:bottom w:val="single" w:sz="8" w:color="CCEEFF"/>
            </w:tcBorders>
            <w:gridSpan w:val="4"/>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25</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80" w:type="dxa"/>
            <w:vAlign w:val="bottom"/>
            <w:gridSpan w:val="20"/>
          </w:tcPr>
          <w:p>
            <w:pPr>
              <w:spacing w:after="0" w:line="189" w:lineRule="exact"/>
              <w:rPr>
                <w:rFonts w:ascii="Arial" w:cs="Arial" w:eastAsia="Arial" w:hAnsi="Arial"/>
                <w:sz w:val="18"/>
                <w:szCs w:val="18"/>
                <w:color w:val="0000EE"/>
              </w:rPr>
            </w:pPr>
            <w:hyperlink w:anchor="page51">
              <w:r>
                <w:rPr>
                  <w:rFonts w:ascii="Arial" w:cs="Arial" w:eastAsia="Arial" w:hAnsi="Arial"/>
                  <w:sz w:val="18"/>
                  <w:szCs w:val="18"/>
                  <w:color w:val="0000EE"/>
                </w:rPr>
                <w:t>Experts</w:t>
              </w:r>
            </w:hyperlink>
          </w:p>
        </w:tc>
        <w:tc>
          <w:tcPr>
            <w:tcW w:w="5760" w:type="dxa"/>
            <w:vAlign w:val="bottom"/>
            <w:gridSpan w:val="6"/>
          </w:tcPr>
          <w:p>
            <w:pPr>
              <w:jc w:val="right"/>
              <w:spacing w:after="0" w:line="189" w:lineRule="exact"/>
              <w:rPr>
                <w:rFonts w:ascii="Arial" w:cs="Arial" w:eastAsia="Arial" w:hAnsi="Arial"/>
                <w:sz w:val="18"/>
                <w:szCs w:val="18"/>
                <w:color w:val="0000EE"/>
              </w:rPr>
            </w:pPr>
            <w:hyperlink w:anchor="page51">
              <w:r>
                <w:rPr>
                  <w:rFonts w:ascii="Arial" w:cs="Arial" w:eastAsia="Arial" w:hAnsi="Arial"/>
                  <w:sz w:val="18"/>
                  <w:szCs w:val="18"/>
                  <w:color w:val="0000EE"/>
                </w:rPr>
                <w:t>25</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154305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4"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This document is in two parts. The first part is this prospectus supplement, which describes the terms of this offering of Class A common stock and related matters. The second part is the accompanying prospectus, which gives more general information, some of which does not apply to this offering. To the extent the information set forth in this prospectus supplement differs or varies from the information set forth in the accompanying prospectus or any document incorporated by reference, the information in this prospectus supplement shall control.</w:t>
      </w:r>
    </w:p>
    <w:p>
      <w:pPr>
        <w:spacing w:after="0" w:line="80"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You should rely only on the information contained or incorporated by reference in this prospectus supplement and the accompanying prospectus. We have not authorized anyone to provide you with information different from that contained in this prospectus supplement and the accompanying prospectus. We are offering to sell shares of Class A common stock and seeking offers to buy shares of Class A common stock only in jurisdictions where offers and sales are permitted. The information contained in this prospectus supplement and the accompanying prospectus is accurate only as of the date it is presented.</w:t>
      </w:r>
    </w:p>
    <w:p>
      <w:pPr>
        <w:spacing w:after="0" w:line="5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Unless the context otherwise requires, references to “we,” “our” and similar terms refer to ACM Research, Inc. and its subsidiaries. References to “ACM Research” refer to ACM Research, Inc., and references to “ACM Shanghai” are to ACM Research (Shanghai), Inc.</w:t>
      </w:r>
    </w:p>
    <w:p>
      <w:pPr>
        <w:spacing w:after="0" w:line="73"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Our logo design, SAPS and TEBO are our trademarks. This prospectus supplement and the accompanying prospectus include trademarks, tradenames and service marks that are the property of other organizations. For convenience, our logo design, SAPS and TEBO appear in this prospectus supplement and the accompanying prospectus without the ™ symbol, but those uses are not intended to indicate that we will not assert, to the fullest extent under applicable law, our rights to these trademarks.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6503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92825" cy="6650355"/>
                    </a:xfrm>
                    <a:prstGeom prst="rect">
                      <a:avLst/>
                    </a:prstGeom>
                    <a:noFill/>
                  </pic:spPr>
                </pic:pic>
              </a:graphicData>
            </a:graphic>
          </wp:anchor>
        </w:drawing>
      </w:r>
    </w:p>
    <w:p>
      <w:pPr>
        <w:spacing w:after="0" w:line="3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SUPPLEMENT SUMMARY</w:t>
      </w:r>
    </w:p>
    <w:p>
      <w:pPr>
        <w:spacing w:after="0" w:line="121" w:lineRule="exact"/>
        <w:rPr>
          <w:sz w:val="20"/>
          <w:szCs w:val="20"/>
          <w:color w:val="auto"/>
        </w:rPr>
      </w:pPr>
    </w:p>
    <w:p>
      <w:pPr>
        <w:jc w:val="both"/>
        <w:ind w:left="100" w:right="20" w:firstLine="360"/>
        <w:spacing w:after="0" w:line="276" w:lineRule="auto"/>
        <w:rPr>
          <w:sz w:val="20"/>
          <w:szCs w:val="20"/>
          <w:color w:val="auto"/>
        </w:rPr>
      </w:pPr>
      <w:r>
        <w:rPr>
          <w:rFonts w:ascii="Arial" w:cs="Arial" w:eastAsia="Arial" w:hAnsi="Arial"/>
          <w:sz w:val="17"/>
          <w:szCs w:val="17"/>
          <w:i w:val="1"/>
          <w:iCs w:val="1"/>
          <w:color w:val="auto"/>
        </w:rPr>
        <w:t>The following summary highlights selected information contained or incorporated by reference in this prospectus supplement and the accompanying prospectus. Because the following is only a summary, it does not contain all of the information you should consider before investing in Class A common stock. Before making an investment decision, you should carefully read all of the information, including the risks factors and the financial statements and related notes, contained and incorporated by reference in this prospectus supplement and the accompanying prospectus.</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jc w:val="both"/>
        <w:ind w:left="100" w:firstLine="360"/>
        <w:spacing w:after="0" w:line="276" w:lineRule="auto"/>
        <w:rPr>
          <w:sz w:val="20"/>
          <w:szCs w:val="20"/>
          <w:color w:val="auto"/>
        </w:rPr>
      </w:pPr>
      <w:r>
        <w:rPr>
          <w:rFonts w:ascii="Arial" w:cs="Arial" w:eastAsia="Arial" w:hAnsi="Arial"/>
          <w:sz w:val="17"/>
          <w:szCs w:val="17"/>
          <w:color w:val="auto"/>
        </w:rPr>
        <w:t>We supply advanced, innovative capital equipment developed for the global semiconductor industry. Fabricators of advanced integrated circuits, or chips, can use our single-wafer wet-cleaning tools in numerous steps to improve product yield, even at increasingly advanced process nodes. We have designed these tools for use in fabricating foundry, logic and memory chips, including dynamic random-access memory (or DRAM) and 3D NAND-flash memory chips. We also develop, manufacture and sell a range of advanced packaging tools to wafer assembly and packaging customers.</w:t>
      </w:r>
    </w:p>
    <w:p>
      <w:pPr>
        <w:spacing w:after="0" w:line="64" w:lineRule="exact"/>
        <w:rPr>
          <w:sz w:val="20"/>
          <w:szCs w:val="20"/>
          <w:color w:val="auto"/>
        </w:rPr>
      </w:pPr>
    </w:p>
    <w:p>
      <w:pPr>
        <w:jc w:val="both"/>
        <w:ind w:left="100" w:firstLine="360"/>
        <w:spacing w:after="0" w:line="255" w:lineRule="auto"/>
        <w:rPr>
          <w:sz w:val="20"/>
          <w:szCs w:val="20"/>
          <w:color w:val="auto"/>
        </w:rPr>
      </w:pPr>
      <w:r>
        <w:rPr>
          <w:rFonts w:ascii="Arial" w:cs="Arial" w:eastAsia="Arial" w:hAnsi="Arial"/>
          <w:sz w:val="18"/>
          <w:szCs w:val="18"/>
          <w:color w:val="auto"/>
        </w:rPr>
        <w:t>Selling prices for our single-wafer wet-cleaning tools range from $2 million to more than $5 million. Our customers for single-wafer wet-cleaning tools have included Semiconductor Manufacturing International Corporation, Shanghai Huali Microelectronics Corporation, SK Hynix Inc. and Yangtze Memory Technologies Co., Ltd. Revenue from single-wafer wet-cleaning tools was $41.7 million, or 84% of total revenue, for the first six months of 2019 compared to $28.7 million, or 94% of total revenue, for the first six months of 2018 and totaled $68.5 million, or 92% of total revenue, in 2018 compared to $27.1 million, or 74% of total revenue, in 2017.</w:t>
      </w:r>
    </w:p>
    <w:p>
      <w:pPr>
        <w:spacing w:after="0" w:line="85" w:lineRule="exact"/>
        <w:rPr>
          <w:sz w:val="20"/>
          <w:szCs w:val="20"/>
          <w:color w:val="auto"/>
        </w:rPr>
      </w:pPr>
    </w:p>
    <w:p>
      <w:pPr>
        <w:jc w:val="both"/>
        <w:ind w:left="100" w:firstLine="360"/>
        <w:spacing w:after="0" w:line="293" w:lineRule="auto"/>
        <w:rPr>
          <w:sz w:val="20"/>
          <w:szCs w:val="20"/>
          <w:color w:val="auto"/>
        </w:rPr>
      </w:pPr>
      <w:r>
        <w:rPr>
          <w:rFonts w:ascii="Arial" w:cs="Arial" w:eastAsia="Arial" w:hAnsi="Arial"/>
          <w:sz w:val="16"/>
          <w:szCs w:val="16"/>
          <w:color w:val="auto"/>
        </w:rPr>
        <w:t>We focus our selling efforts on establishing a referenceable base of leading foundry, logic and memory chip makers, whose use of our products can influence decisions by other manufacturers. We believe this customer base will help us penetrate the mature chip manufacturing markets and build credibility with additional industry leaders. Using a “demo-to-sales” process, we have placed evaluation equipment, or “first tools,” with a number of selected customers. Since 2009 we have delivered more than 65 single-wafer wet cleaning tools, more than 55 of which have been accepted by customers and thereby generated revenue to us and the balance of which are awaiting customer acceptance should contractual conditions be met.</w:t>
      </w:r>
    </w:p>
    <w:p>
      <w:pPr>
        <w:spacing w:after="0" w:line="57" w:lineRule="exact"/>
        <w:rPr>
          <w:sz w:val="20"/>
          <w:szCs w:val="20"/>
          <w:color w:val="auto"/>
        </w:rPr>
      </w:pPr>
    </w:p>
    <w:p>
      <w:pPr>
        <w:jc w:val="both"/>
        <w:ind w:left="100" w:right="20" w:firstLine="360"/>
        <w:spacing w:after="0" w:line="308" w:lineRule="auto"/>
        <w:rPr>
          <w:sz w:val="20"/>
          <w:szCs w:val="20"/>
          <w:color w:val="auto"/>
        </w:rPr>
      </w:pPr>
      <w:r>
        <w:rPr>
          <w:rFonts w:ascii="Arial" w:cs="Arial" w:eastAsia="Arial" w:hAnsi="Arial"/>
          <w:sz w:val="17"/>
          <w:szCs w:val="17"/>
          <w:color w:val="auto"/>
        </w:rPr>
        <w:t>Since our formation in 1998, we have focused on building a strategic portfolio of intellectual property to support and protect our key innovations. Our wet-cleaning equipment has been developed using our key proprietary technologies:</w:t>
      </w:r>
    </w:p>
    <w:p>
      <w:pPr>
        <w:spacing w:after="0" w:line="38" w:lineRule="exact"/>
        <w:rPr>
          <w:sz w:val="20"/>
          <w:szCs w:val="20"/>
          <w:color w:val="auto"/>
        </w:rPr>
      </w:pPr>
    </w:p>
    <w:p>
      <w:pPr>
        <w:ind w:left="800" w:right="20" w:hanging="342"/>
        <w:spacing w:after="0" w:line="342"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Space Alternated Phase Shift</w:t>
      </w:r>
      <w:r>
        <w:rPr>
          <w:rFonts w:ascii="Arial" w:cs="Arial" w:eastAsia="Arial" w:hAnsi="Arial"/>
          <w:sz w:val="16"/>
          <w:szCs w:val="16"/>
          <w:color w:val="auto"/>
        </w:rPr>
        <w:t>, or SAPS, technology for flat and patterned wafer surfaces, which employs alternating</w:t>
      </w:r>
      <w:r>
        <w:rPr>
          <w:rFonts w:ascii="Arial" w:cs="Arial" w:eastAsia="Arial" w:hAnsi="Arial"/>
          <w:sz w:val="16"/>
          <w:szCs w:val="16"/>
          <w:i w:val="1"/>
          <w:iCs w:val="1"/>
          <w:color w:val="auto"/>
        </w:rPr>
        <w:t xml:space="preserve"> </w:t>
      </w:r>
      <w:r>
        <w:rPr>
          <w:rFonts w:ascii="Arial" w:cs="Arial" w:eastAsia="Arial" w:hAnsi="Arial"/>
          <w:sz w:val="16"/>
          <w:szCs w:val="16"/>
          <w:color w:val="auto"/>
        </w:rPr>
        <w:t>phases of megasonic waves to deliver megasonic energy in a highly uniform manner on a microscopic level;</w:t>
      </w:r>
    </w:p>
    <w:p>
      <w:pPr>
        <w:spacing w:after="0" w:line="15" w:lineRule="exact"/>
        <w:rPr>
          <w:rFonts w:ascii="Arial" w:cs="Arial" w:eastAsia="Arial" w:hAnsi="Arial"/>
          <w:sz w:val="16"/>
          <w:szCs w:val="16"/>
          <w:color w:val="auto"/>
        </w:rPr>
      </w:pPr>
    </w:p>
    <w:p>
      <w:pPr>
        <w:ind w:left="800" w:right="20" w:hanging="342"/>
        <w:spacing w:after="0" w:line="308" w:lineRule="auto"/>
        <w:tabs>
          <w:tab w:leader="none" w:pos="80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Timely Energized Bubble Oscillation</w:t>
      </w:r>
      <w:r>
        <w:rPr>
          <w:rFonts w:ascii="Arial" w:cs="Arial" w:eastAsia="Arial" w:hAnsi="Arial"/>
          <w:sz w:val="17"/>
          <w:szCs w:val="17"/>
          <w:color w:val="auto"/>
        </w:rPr>
        <w:t>, or TEBO, technology for patterned wafer surfaces at advanced process nodes,</w:t>
      </w:r>
      <w:r>
        <w:rPr>
          <w:rFonts w:ascii="Arial" w:cs="Arial" w:eastAsia="Arial" w:hAnsi="Arial"/>
          <w:sz w:val="17"/>
          <w:szCs w:val="17"/>
          <w:i w:val="1"/>
          <w:iCs w:val="1"/>
          <w:color w:val="auto"/>
        </w:rPr>
        <w:t xml:space="preserve"> </w:t>
      </w:r>
      <w:r>
        <w:rPr>
          <w:rFonts w:ascii="Arial" w:cs="Arial" w:eastAsia="Arial" w:hAnsi="Arial"/>
          <w:sz w:val="17"/>
          <w:szCs w:val="17"/>
          <w:color w:val="auto"/>
        </w:rPr>
        <w:t>which provides effective, damage-free cleaning for 2D and 3D patterned wafers with fine feature sizes; and</w:t>
      </w:r>
    </w:p>
    <w:p>
      <w:pPr>
        <w:spacing w:after="0" w:line="38" w:lineRule="exact"/>
        <w:rPr>
          <w:rFonts w:ascii="Arial" w:cs="Arial" w:eastAsia="Arial" w:hAnsi="Arial"/>
          <w:sz w:val="17"/>
          <w:szCs w:val="17"/>
          <w:color w:val="auto"/>
        </w:rPr>
      </w:pPr>
    </w:p>
    <w:p>
      <w:pPr>
        <w:jc w:val="both"/>
        <w:ind w:left="800" w:right="20" w:hanging="342"/>
        <w:spacing w:after="0" w:line="264" w:lineRule="auto"/>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Tahoe </w:t>
      </w:r>
      <w:r>
        <w:rPr>
          <w:rFonts w:ascii="Arial" w:cs="Arial" w:eastAsia="Arial" w:hAnsi="Arial"/>
          <w:sz w:val="18"/>
          <w:szCs w:val="18"/>
          <w:color w:val="auto"/>
        </w:rPr>
        <w:t>technology for cost and environmental savings, which delivers high cleaning performance using significantly less</w:t>
      </w:r>
      <w:r>
        <w:rPr>
          <w:rFonts w:ascii="Arial" w:cs="Arial" w:eastAsia="Arial" w:hAnsi="Arial"/>
          <w:sz w:val="18"/>
          <w:szCs w:val="18"/>
          <w:i w:val="1"/>
          <w:iCs w:val="1"/>
          <w:color w:val="auto"/>
        </w:rPr>
        <w:t xml:space="preserve"> </w:t>
      </w:r>
      <w:r>
        <w:rPr>
          <w:rFonts w:ascii="Arial" w:cs="Arial" w:eastAsia="Arial" w:hAnsi="Arial"/>
          <w:sz w:val="18"/>
          <w:szCs w:val="18"/>
          <w:color w:val="auto"/>
        </w:rPr>
        <w:t>sulfuric acid and hydrogen peroxide than is typically consumed by conventional high-temperature single-wafer cleaning tools.</w:t>
      </w:r>
    </w:p>
    <w:p>
      <w:pPr>
        <w:spacing w:after="0" w:line="73" w:lineRule="exact"/>
        <w:rPr>
          <w:sz w:val="20"/>
          <w:szCs w:val="20"/>
          <w:color w:val="auto"/>
        </w:rPr>
      </w:pPr>
    </w:p>
    <w:p>
      <w:pPr>
        <w:jc w:val="both"/>
        <w:ind w:left="100" w:right="20" w:firstLine="360"/>
        <w:spacing w:after="0" w:line="277" w:lineRule="auto"/>
        <w:rPr>
          <w:sz w:val="20"/>
          <w:szCs w:val="20"/>
          <w:color w:val="auto"/>
        </w:rPr>
      </w:pPr>
      <w:r>
        <w:rPr>
          <w:rFonts w:ascii="Arial" w:cs="Arial" w:eastAsia="Arial" w:hAnsi="Arial"/>
          <w:sz w:val="18"/>
          <w:szCs w:val="18"/>
          <w:color w:val="auto"/>
        </w:rPr>
        <w:t>We have been issued more than 220 patents in the United States, the People’s Republic of China or PRC, Japan, Korea, Singapore and Taiwan.</w:t>
      </w:r>
    </w:p>
    <w:p>
      <w:pPr>
        <w:spacing w:after="0" w:line="62" w:lineRule="exact"/>
        <w:rPr>
          <w:sz w:val="20"/>
          <w:szCs w:val="20"/>
          <w:color w:val="auto"/>
        </w:rPr>
      </w:pPr>
    </w:p>
    <w:p>
      <w:pPr>
        <w:jc w:val="both"/>
        <w:ind w:left="100" w:firstLine="360"/>
        <w:spacing w:after="0" w:line="257" w:lineRule="auto"/>
        <w:rPr>
          <w:sz w:val="20"/>
          <w:szCs w:val="20"/>
          <w:color w:val="auto"/>
        </w:rPr>
      </w:pPr>
      <w:r>
        <w:rPr>
          <w:rFonts w:ascii="Arial" w:cs="Arial" w:eastAsia="Arial" w:hAnsi="Arial"/>
          <w:sz w:val="18"/>
          <w:szCs w:val="18"/>
          <w:color w:val="auto"/>
        </w:rPr>
        <w:t>We conduct substantially all of our product development, manufacturing, support and services in the PRC. All of our tools are built to order at our manufacturing facilities in Shanghai, which encompass 86,000 square feet of floor space for production capacity. Our experience has shown that chip manufacturers in the PRC and throughout Asia demand equipment meeting their specific technical requirements and prefer building relationships with local suppliers. We will continue to seek to leverage our local presence to address the</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238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92825" cy="6238875"/>
                    </a:xfrm>
                    <a:prstGeom prst="rect">
                      <a:avLst/>
                    </a:prstGeom>
                    <a:noFill/>
                  </pic:spPr>
                </pic:pic>
              </a:graphicData>
            </a:graphic>
          </wp:anchor>
        </w:drawing>
      </w:r>
    </w:p>
    <w:p>
      <w:pPr>
        <w:spacing w:after="0" w:line="138" w:lineRule="exact"/>
        <w:rPr>
          <w:sz w:val="20"/>
          <w:szCs w:val="20"/>
          <w:color w:val="auto"/>
        </w:rPr>
      </w:pPr>
    </w:p>
    <w:p>
      <w:pPr>
        <w:jc w:val="both"/>
        <w:ind w:left="100" w:right="20"/>
        <w:spacing w:after="0" w:line="264" w:lineRule="auto"/>
        <w:rPr>
          <w:sz w:val="20"/>
          <w:szCs w:val="20"/>
          <w:color w:val="auto"/>
        </w:rPr>
      </w:pPr>
      <w:r>
        <w:rPr>
          <w:rFonts w:ascii="Arial" w:cs="Arial" w:eastAsia="Arial" w:hAnsi="Arial"/>
          <w:sz w:val="18"/>
          <w:szCs w:val="18"/>
          <w:color w:val="auto"/>
        </w:rPr>
        <w:t>growing market for semiconductor manufacturing equipment in the region by working closely with regional chip manufacturers to understand their specific requirements, encourage them to adopt our SAPS, TEBO and Tahoe technologies, and enable us to design innovative products and solutions to address their needs.</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left="100" w:firstLine="360"/>
        <w:spacing w:after="0" w:line="286" w:lineRule="auto"/>
        <w:rPr>
          <w:sz w:val="20"/>
          <w:szCs w:val="20"/>
          <w:color w:val="auto"/>
        </w:rPr>
      </w:pPr>
      <w:r>
        <w:rPr>
          <w:rFonts w:ascii="Arial" w:cs="Arial" w:eastAsia="Arial" w:hAnsi="Arial"/>
          <w:sz w:val="17"/>
          <w:szCs w:val="17"/>
          <w:i w:val="1"/>
          <w:iCs w:val="1"/>
          <w:color w:val="auto"/>
        </w:rPr>
        <w:t>For purposes of the following description, amounts in Renminbi, or RMB, have been translated into U.S. dollars solely for the convenience of the reader. The translations have been made at the conversion rate of RMB 6.8937 to U.S. $1.00 effective as of June 12, 2019 (source: State Administration of Foreign Exchange of the People’s Republic of China).</w:t>
      </w:r>
    </w:p>
    <w:p>
      <w:pPr>
        <w:spacing w:after="0" w:line="57" w:lineRule="exact"/>
        <w:rPr>
          <w:sz w:val="20"/>
          <w:szCs w:val="20"/>
          <w:color w:val="auto"/>
        </w:rPr>
      </w:pPr>
    </w:p>
    <w:p>
      <w:pPr>
        <w:jc w:val="both"/>
        <w:ind w:left="100" w:firstLine="360"/>
        <w:spacing w:after="0" w:line="259" w:lineRule="auto"/>
        <w:rPr>
          <w:sz w:val="20"/>
          <w:szCs w:val="20"/>
          <w:color w:val="auto"/>
        </w:rPr>
      </w:pPr>
      <w:r>
        <w:rPr>
          <w:rFonts w:ascii="Arial" w:cs="Arial" w:eastAsia="Arial" w:hAnsi="Arial"/>
          <w:sz w:val="18"/>
          <w:szCs w:val="18"/>
          <w:color w:val="auto"/>
        </w:rPr>
        <w:t>On June 17, 2019 we announced our plans to complete, over the next three years, a listing, which we refer to as the Listing, of shares of ACM Shanghai on the Shanghai Stock Exchange’s new Sci-Tech innovAtion boaRd, known as the STAR Market, and a concurrent initial public offering of ACM Shanghai shares in the PRC. ACM Shanghai currently is our principal operating company and a wholly owned subsidiary of ACM Research.</w:t>
      </w:r>
    </w:p>
    <w:p>
      <w:pPr>
        <w:spacing w:after="0" w:line="79" w:lineRule="exact"/>
        <w:rPr>
          <w:sz w:val="20"/>
          <w:szCs w:val="20"/>
          <w:color w:val="auto"/>
        </w:rPr>
      </w:pPr>
    </w:p>
    <w:p>
      <w:pPr>
        <w:jc w:val="both"/>
        <w:ind w:left="100" w:firstLine="360"/>
        <w:spacing w:after="0" w:line="255" w:lineRule="auto"/>
        <w:rPr>
          <w:sz w:val="20"/>
          <w:szCs w:val="20"/>
          <w:color w:val="auto"/>
        </w:rPr>
      </w:pPr>
      <w:r>
        <w:rPr>
          <w:rFonts w:ascii="Arial" w:cs="Arial" w:eastAsia="Arial" w:hAnsi="Arial"/>
          <w:sz w:val="18"/>
          <w:szCs w:val="18"/>
          <w:color w:val="auto"/>
        </w:rPr>
        <w:t>To qualify for the Listing, ACM Shanghai must have multiple independent shareholders in the PRC. As an initial step in qualifying for the Listing, on June 12, 2019 ACM Shanghai entered into agreements with seven investors pursuant to which those investors agreed to pay a purchase price totaling RMB 187.9 million ($27.3 million) to ACM Shanghai for shares representing 4.2% of the then-outstanding ACM Shanghai shares. In accordance with these agreements, in July 2019 ACM Shanghai made required filings for the capital increase with the local agency of the PRC Ministry of Commerce and the investors then became obligated to fund their purchases. As of August 13, 2019:</w:t>
      </w:r>
    </w:p>
    <w:p>
      <w:pPr>
        <w:spacing w:after="0" w:line="85" w:lineRule="exact"/>
        <w:rPr>
          <w:sz w:val="20"/>
          <w:szCs w:val="20"/>
          <w:color w:val="auto"/>
        </w:rPr>
      </w:pPr>
    </w:p>
    <w:p>
      <w:pPr>
        <w:jc w:val="both"/>
        <w:ind w:left="800" w:right="20" w:hanging="342"/>
        <w:spacing w:after="0" w:line="264"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Four private equity funds and other entities based in the PRC had paid to ACM Shanghai a total of RMB 141.8 million ($20.6 million) to be applied to purchase 3.1% of ACM Shanghai’s shares at a purchase price based on a pre-investment enterprise valuation of ACM Shanghai of RMB 4.65 billion ($674.5 million).</w:t>
      </w:r>
    </w:p>
    <w:p>
      <w:pPr>
        <w:spacing w:after="0" w:line="73" w:lineRule="exact"/>
        <w:rPr>
          <w:rFonts w:ascii="Arial" w:cs="Arial" w:eastAsia="Arial" w:hAnsi="Arial"/>
          <w:sz w:val="18"/>
          <w:szCs w:val="18"/>
          <w:color w:val="auto"/>
        </w:rPr>
      </w:pPr>
    </w:p>
    <w:p>
      <w:pPr>
        <w:jc w:val="both"/>
        <w:ind w:left="800" w:right="20" w:hanging="342"/>
        <w:spacing w:after="0" w:line="259"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Two entities owned by certain employees of ACM Shanghai had paid to ACM Shanghai a total of RMB 26.1 million ($3.8 million) to purchase 0.7% of ACM Shanghai’s shares at a purchase price based on a pre-investment enterprise valuation of ACM Shanghai of RMB 3.72 billion ($539.6 million), a discount of 20% from the purchase price paid by the other investors.</w:t>
      </w:r>
    </w:p>
    <w:p>
      <w:pPr>
        <w:spacing w:after="0" w:line="78" w:lineRule="exact"/>
        <w:rPr>
          <w:rFonts w:ascii="Arial" w:cs="Arial" w:eastAsia="Arial" w:hAnsi="Arial"/>
          <w:sz w:val="18"/>
          <w:szCs w:val="18"/>
          <w:color w:val="auto"/>
        </w:rPr>
      </w:pPr>
    </w:p>
    <w:p>
      <w:pPr>
        <w:jc w:val="both"/>
        <w:ind w:left="800" w:right="20" w:hanging="342"/>
        <w:spacing w:after="0" w:line="257"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private equity fund based in Hong Kong had agreed to pay RMB 20.0 million ($2.9 million) to purchase 0.4% of ACM Shanghai’s shares at a purchase price based on a pre-investment enterprise valuation of ACM Shanghai of RMB 4.65 billion ($674.5 million). We expect this investor will, consistent with its contractual obligations, fund its investment in August 2019, but ACM Shanghai’s receipt of those funds is not necessary for ACM Shanghai to satisfy STAR Market listing requirements.</w:t>
      </w:r>
    </w:p>
    <w:p>
      <w:pPr>
        <w:spacing w:after="0" w:line="80" w:lineRule="exact"/>
        <w:rPr>
          <w:sz w:val="20"/>
          <w:szCs w:val="20"/>
          <w:color w:val="auto"/>
        </w:rPr>
      </w:pPr>
    </w:p>
    <w:p>
      <w:pPr>
        <w:jc w:val="both"/>
        <w:ind w:left="100" w:firstLine="360"/>
        <w:spacing w:after="0" w:line="286" w:lineRule="auto"/>
        <w:rPr>
          <w:sz w:val="20"/>
          <w:szCs w:val="20"/>
          <w:color w:val="auto"/>
        </w:rPr>
      </w:pPr>
      <w:r>
        <w:rPr>
          <w:rFonts w:ascii="Arial" w:cs="Arial" w:eastAsia="Arial" w:hAnsi="Arial"/>
          <w:sz w:val="17"/>
          <w:szCs w:val="17"/>
          <w:color w:val="auto"/>
        </w:rPr>
        <w:t>Once it has received payment of all of the purchase prices, ACM Shanghai is to process necessary PRC governmental registrations for the capital increase with the local branch of the PRC State Administration for Market Regulation. Upon completion of those registrations, the investors will be regarded as the owners of their subscribed shares.</w:t>
      </w:r>
    </w:p>
    <w:p>
      <w:pPr>
        <w:spacing w:after="0" w:line="57" w:lineRule="exact"/>
        <w:rPr>
          <w:sz w:val="20"/>
          <w:szCs w:val="20"/>
          <w:color w:val="auto"/>
        </w:rPr>
      </w:pPr>
    </w:p>
    <w:p>
      <w:pPr>
        <w:jc w:val="both"/>
        <w:ind w:left="100" w:firstLine="360"/>
        <w:spacing w:after="0" w:line="272" w:lineRule="auto"/>
        <w:rPr>
          <w:sz w:val="20"/>
          <w:szCs w:val="20"/>
          <w:color w:val="auto"/>
        </w:rPr>
      </w:pPr>
      <w:r>
        <w:rPr>
          <w:rFonts w:ascii="Arial" w:cs="Arial" w:eastAsia="Arial" w:hAnsi="Arial"/>
          <w:sz w:val="17"/>
          <w:szCs w:val="17"/>
          <w:color w:val="auto"/>
        </w:rPr>
        <w:t>ACM Shanghai and the investors have agreed to use their respective best efforts to facilitate the completion, within three years from the date on which the ACM Shanghai shares are issued to the investors, of the Listing as well as a related PRC initial public offering at a pre-offering valuation of not less than RMB 5.15 billion ($747.1 million). If, by the end of such three-year period, the Listing and the PRC initial public offering have not been completed and the China Securities Regulatory Commission has not otherwise approved the registration of ACM Shanghai’s listing application, each investor will have the right to require that ACM Shanghai repurchase, and ACM Shanghai will have the right to purchase, the investor’s ACM Shanghai shares for a price equal to the initial purchase price paid by the investor, without interest.</w:t>
      </w: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5895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92825" cy="5895975"/>
                    </a:xfrm>
                    <a:prstGeom prst="rect">
                      <a:avLst/>
                    </a:prstGeom>
                    <a:noFill/>
                  </pic:spPr>
                </pic:pic>
              </a:graphicData>
            </a:graphic>
          </wp:anchor>
        </w:drawing>
      </w:r>
    </w:p>
    <w:p>
      <w:pPr>
        <w:spacing w:after="0" w:line="246" w:lineRule="exact"/>
        <w:rPr>
          <w:sz w:val="20"/>
          <w:szCs w:val="20"/>
          <w:color w:val="auto"/>
        </w:rPr>
      </w:pPr>
    </w:p>
    <w:p>
      <w:pPr>
        <w:jc w:val="both"/>
        <w:ind w:left="100" w:firstLine="360"/>
        <w:spacing w:after="0" w:line="286" w:lineRule="auto"/>
        <w:rPr>
          <w:sz w:val="20"/>
          <w:szCs w:val="20"/>
          <w:color w:val="auto"/>
        </w:rPr>
      </w:pPr>
      <w:r>
        <w:rPr>
          <w:rFonts w:ascii="Arial" w:cs="Arial" w:eastAsia="Arial" w:hAnsi="Arial"/>
          <w:sz w:val="17"/>
          <w:szCs w:val="17"/>
          <w:color w:val="auto"/>
        </w:rPr>
        <w:t>We have determined, voluntarily and not pursuant to any contractual or legal obligation, that ACM Shanghai will deposit, and hold in reserve, the proceeds from the share sales in segregated cash and cash-equivalent accounts pending either (a) completion of the Listing and PRC initial public offering or (b) application to repurchase the shares from the investors.</w:t>
      </w:r>
    </w:p>
    <w:p>
      <w:pPr>
        <w:spacing w:after="0" w:line="57" w:lineRule="exact"/>
        <w:rPr>
          <w:sz w:val="20"/>
          <w:szCs w:val="20"/>
          <w:color w:val="auto"/>
        </w:rPr>
      </w:pPr>
    </w:p>
    <w:p>
      <w:pPr>
        <w:jc w:val="both"/>
        <w:ind w:left="100" w:firstLine="360"/>
        <w:spacing w:after="0" w:line="302" w:lineRule="auto"/>
        <w:rPr>
          <w:sz w:val="20"/>
          <w:szCs w:val="20"/>
          <w:color w:val="auto"/>
        </w:rPr>
      </w:pPr>
      <w:r>
        <w:rPr>
          <w:rFonts w:ascii="Arial" w:cs="Arial" w:eastAsia="Arial" w:hAnsi="Arial"/>
          <w:sz w:val="16"/>
          <w:szCs w:val="16"/>
          <w:color w:val="auto"/>
        </w:rPr>
        <w:t>We may determine to enter into agreements later in 2019 pursuant to which certain existing ACM Research stockholders could purchase additional shares of ACM Shanghai for an aggregate purchase price of approximately $42 million. We expect that, if we were to enter any such agreements, the purchase price and other terms of those agreements would be substantially similar to those under the agreements entered into in June 2019 with the investors other than the employee entities.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100" w:firstLine="360"/>
        <w:spacing w:after="0" w:line="257" w:lineRule="auto"/>
        <w:rPr>
          <w:sz w:val="20"/>
          <w:szCs w:val="20"/>
          <w:color w:val="auto"/>
        </w:rPr>
      </w:pPr>
      <w:r>
        <w:rPr>
          <w:rFonts w:ascii="Arial" w:cs="Arial" w:eastAsia="Arial" w:hAnsi="Arial"/>
          <w:sz w:val="18"/>
          <w:szCs w:val="18"/>
          <w:color w:val="auto"/>
        </w:rPr>
        <w:t xml:space="preserve">ACM Research was incorporated in California in January 1998 and redomesticated in Delaware in November 2016. Our headquarters are located at 42307 Osgood Road, Suite I, Fremont, California 94539, where our telephone number is (510) 445-3700. Our website address is </w:t>
      </w:r>
      <w:r>
        <w:rPr>
          <w:rFonts w:ascii="Arial" w:cs="Arial" w:eastAsia="Arial" w:hAnsi="Arial"/>
          <w:sz w:val="18"/>
          <w:szCs w:val="18"/>
          <w:i w:val="1"/>
          <w:iCs w:val="1"/>
          <w:color w:val="auto"/>
        </w:rPr>
        <w:t>www.acmrcsh.com</w:t>
      </w:r>
      <w:r>
        <w:rPr>
          <w:rFonts w:ascii="Arial" w:cs="Arial" w:eastAsia="Arial" w:hAnsi="Arial"/>
          <w:sz w:val="18"/>
          <w:szCs w:val="18"/>
          <w:color w:val="auto"/>
        </w:rPr>
        <w:t>. The information contained in, or accessible through, our website is not part of, and is not incorporated into, this prospectus supplement, and investors should not rely on any such information in deciding whether to invest in Class A common stock.</w:t>
      </w:r>
    </w:p>
    <w:p>
      <w:pPr>
        <w:spacing w:after="0" w:line="184"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6100" w:type="dxa"/>
            <w:vAlign w:val="bottom"/>
          </w:tcPr>
          <w:p>
            <w:pPr>
              <w:ind w:left="900"/>
              <w:spacing w:after="0"/>
              <w:rPr>
                <w:sz w:val="20"/>
                <w:szCs w:val="20"/>
                <w:color w:val="auto"/>
              </w:rPr>
            </w:pPr>
            <w:r>
              <w:rPr>
                <w:rFonts w:ascii="Arial" w:cs="Arial" w:eastAsia="Arial" w:hAnsi="Arial"/>
                <w:sz w:val="18"/>
                <w:szCs w:val="18"/>
                <w:b w:val="1"/>
                <w:bCs w:val="1"/>
                <w:color w:val="auto"/>
              </w:rPr>
              <w:t>The Offering</w:t>
            </w:r>
          </w:p>
        </w:tc>
        <w:tc>
          <w:tcPr>
            <w:tcW w:w="0" w:type="dxa"/>
            <w:vAlign w:val="bottom"/>
          </w:tcPr>
          <w:p>
            <w:pPr>
              <w:spacing w:after="0"/>
              <w:rPr>
                <w:sz w:val="1"/>
                <w:szCs w:val="1"/>
                <w:color w:val="auto"/>
              </w:rPr>
            </w:pPr>
          </w:p>
        </w:tc>
      </w:tr>
      <w:tr>
        <w:trPr>
          <w:trHeight w:val="324"/>
        </w:trPr>
        <w:tc>
          <w:tcPr>
            <w:tcW w:w="3280" w:type="dxa"/>
            <w:vAlign w:val="bottom"/>
          </w:tcPr>
          <w:p>
            <w:pPr>
              <w:spacing w:after="0"/>
              <w:rPr>
                <w:sz w:val="20"/>
                <w:szCs w:val="20"/>
                <w:color w:val="auto"/>
              </w:rPr>
            </w:pPr>
            <w:r>
              <w:rPr>
                <w:rFonts w:ascii="Arial" w:cs="Arial" w:eastAsia="Arial" w:hAnsi="Arial"/>
                <w:sz w:val="18"/>
                <w:szCs w:val="18"/>
                <w:b w:val="1"/>
                <w:bCs w:val="1"/>
                <w:color w:val="auto"/>
              </w:rPr>
              <w:t>Shares offered by us</w:t>
            </w:r>
          </w:p>
        </w:tc>
        <w:tc>
          <w:tcPr>
            <w:tcW w:w="6100" w:type="dxa"/>
            <w:vAlign w:val="bottom"/>
          </w:tcPr>
          <w:p>
            <w:pPr>
              <w:ind w:left="620"/>
              <w:spacing w:after="0"/>
              <w:rPr>
                <w:sz w:val="20"/>
                <w:szCs w:val="20"/>
                <w:color w:val="auto"/>
              </w:rPr>
            </w:pPr>
            <w:r>
              <w:rPr>
                <w:rFonts w:ascii="Arial" w:cs="Arial" w:eastAsia="Arial" w:hAnsi="Arial"/>
                <w:sz w:val="18"/>
                <w:szCs w:val="18"/>
                <w:color w:val="auto"/>
              </w:rPr>
              <w:t>1,785,715 shares of Class A common stock</w:t>
            </w:r>
          </w:p>
        </w:tc>
        <w:tc>
          <w:tcPr>
            <w:tcW w:w="0" w:type="dxa"/>
            <w:vAlign w:val="bottom"/>
          </w:tcPr>
          <w:p>
            <w:pPr>
              <w:spacing w:after="0"/>
              <w:rPr>
                <w:sz w:val="1"/>
                <w:szCs w:val="1"/>
                <w:color w:val="auto"/>
              </w:rPr>
            </w:pPr>
          </w:p>
        </w:tc>
      </w:tr>
      <w:tr>
        <w:trPr>
          <w:trHeight w:val="306"/>
        </w:trPr>
        <w:tc>
          <w:tcPr>
            <w:tcW w:w="3280" w:type="dxa"/>
            <w:vAlign w:val="bottom"/>
          </w:tcPr>
          <w:p>
            <w:pPr>
              <w:spacing w:after="0"/>
              <w:rPr>
                <w:sz w:val="20"/>
                <w:szCs w:val="20"/>
                <w:color w:val="auto"/>
              </w:rPr>
            </w:pPr>
            <w:r>
              <w:rPr>
                <w:rFonts w:ascii="Arial" w:cs="Arial" w:eastAsia="Arial" w:hAnsi="Arial"/>
                <w:sz w:val="18"/>
                <w:szCs w:val="18"/>
                <w:b w:val="1"/>
                <w:bCs w:val="1"/>
                <w:color w:val="auto"/>
              </w:rPr>
              <w:t>Common stock to be outstanding</w:t>
            </w:r>
          </w:p>
        </w:tc>
        <w:tc>
          <w:tcPr>
            <w:tcW w:w="6100" w:type="dxa"/>
            <w:vAlign w:val="bottom"/>
          </w:tcPr>
          <w:p>
            <w:pPr>
              <w:ind w:left="620"/>
              <w:spacing w:after="0"/>
              <w:rPr>
                <w:sz w:val="20"/>
                <w:szCs w:val="20"/>
                <w:color w:val="auto"/>
              </w:rPr>
            </w:pPr>
            <w:r>
              <w:rPr>
                <w:rFonts w:ascii="Arial" w:cs="Arial" w:eastAsia="Arial" w:hAnsi="Arial"/>
                <w:sz w:val="18"/>
                <w:szCs w:val="18"/>
                <w:color w:val="auto"/>
              </w:rPr>
              <w:t>17,899,080 shares, comprised of:</w:t>
            </w: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Arial" w:cs="Arial" w:eastAsia="Arial" w:hAnsi="Arial"/>
                <w:sz w:val="18"/>
                <w:szCs w:val="18"/>
                <w:b w:val="1"/>
                <w:bCs w:val="1"/>
                <w:color w:val="auto"/>
              </w:rPr>
              <w:t>after this offering</w:t>
            </w:r>
          </w:p>
        </w:tc>
        <w:tc>
          <w:tcPr>
            <w:tcW w:w="6100" w:type="dxa"/>
            <w:vAlign w:val="bottom"/>
            <w:vMerge w:val="restart"/>
          </w:tcPr>
          <w:p>
            <w:pPr>
              <w:ind w:left="620"/>
              <w:spacing w:after="0"/>
              <w:rPr>
                <w:sz w:val="20"/>
                <w:szCs w:val="20"/>
                <w:color w:val="auto"/>
              </w:rPr>
            </w:pPr>
            <w:r>
              <w:rPr>
                <w:rFonts w:ascii="Arial" w:cs="Arial" w:eastAsia="Arial" w:hAnsi="Arial"/>
                <w:sz w:val="18"/>
                <w:szCs w:val="18"/>
                <w:color w:val="auto"/>
              </w:rPr>
              <w:t>•   16,015,657 shares of Class A common stock; and</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280" w:type="dxa"/>
            <w:vAlign w:val="bottom"/>
          </w:tcPr>
          <w:p>
            <w:pPr>
              <w:spacing w:after="0"/>
              <w:rPr>
                <w:sz w:val="24"/>
                <w:szCs w:val="24"/>
                <w:color w:val="auto"/>
              </w:rPr>
            </w:pPr>
          </w:p>
        </w:tc>
        <w:tc>
          <w:tcPr>
            <w:tcW w:w="6100" w:type="dxa"/>
            <w:vAlign w:val="bottom"/>
          </w:tcPr>
          <w:p>
            <w:pPr>
              <w:ind w:left="620"/>
              <w:spacing w:after="0"/>
              <w:rPr>
                <w:sz w:val="20"/>
                <w:szCs w:val="20"/>
                <w:color w:val="auto"/>
              </w:rPr>
            </w:pPr>
            <w:r>
              <w:rPr>
                <w:rFonts w:ascii="Arial" w:cs="Arial" w:eastAsia="Arial" w:hAnsi="Arial"/>
                <w:sz w:val="18"/>
                <w:szCs w:val="18"/>
                <w:color w:val="auto"/>
              </w:rPr>
              <w:t>•   1,883,423 shares of Class B common stock.</w:t>
            </w:r>
          </w:p>
        </w:tc>
        <w:tc>
          <w:tcPr>
            <w:tcW w:w="0" w:type="dxa"/>
            <w:vAlign w:val="bottom"/>
          </w:tcPr>
          <w:p>
            <w:pPr>
              <w:spacing w:after="0"/>
              <w:rPr>
                <w:sz w:val="1"/>
                <w:szCs w:val="1"/>
                <w:color w:val="auto"/>
              </w:rPr>
            </w:pPr>
          </w:p>
        </w:tc>
      </w:tr>
      <w:tr>
        <w:trPr>
          <w:trHeight w:val="324"/>
        </w:trPr>
        <w:tc>
          <w:tcPr>
            <w:tcW w:w="3280" w:type="dxa"/>
            <w:vAlign w:val="bottom"/>
          </w:tcPr>
          <w:p>
            <w:pPr>
              <w:spacing w:after="0"/>
              <w:rPr>
                <w:sz w:val="20"/>
                <w:szCs w:val="20"/>
                <w:color w:val="auto"/>
              </w:rPr>
            </w:pPr>
            <w:r>
              <w:rPr>
                <w:rFonts w:ascii="Arial" w:cs="Arial" w:eastAsia="Arial" w:hAnsi="Arial"/>
                <w:sz w:val="18"/>
                <w:szCs w:val="18"/>
                <w:b w:val="1"/>
                <w:bCs w:val="1"/>
                <w:color w:val="auto"/>
              </w:rPr>
              <w:t>Over-allotment option</w:t>
            </w:r>
          </w:p>
        </w:tc>
        <w:tc>
          <w:tcPr>
            <w:tcW w:w="6100" w:type="dxa"/>
            <w:vAlign w:val="bottom"/>
          </w:tcPr>
          <w:p>
            <w:pPr>
              <w:ind w:left="620"/>
              <w:spacing w:after="0"/>
              <w:rPr>
                <w:sz w:val="20"/>
                <w:szCs w:val="20"/>
                <w:color w:val="auto"/>
              </w:rPr>
            </w:pPr>
            <w:r>
              <w:rPr>
                <w:rFonts w:ascii="Arial" w:cs="Arial" w:eastAsia="Arial" w:hAnsi="Arial"/>
                <w:sz w:val="18"/>
                <w:szCs w:val="18"/>
                <w:color w:val="auto"/>
              </w:rPr>
              <w:t>267,857 shares of Class A common stock</w:t>
            </w:r>
          </w:p>
        </w:tc>
        <w:tc>
          <w:tcPr>
            <w:tcW w:w="0" w:type="dxa"/>
            <w:vAlign w:val="bottom"/>
          </w:tcPr>
          <w:p>
            <w:pPr>
              <w:spacing w:after="0"/>
              <w:rPr>
                <w:sz w:val="1"/>
                <w:szCs w:val="1"/>
                <w:color w:val="auto"/>
              </w:rPr>
            </w:pPr>
          </w:p>
        </w:tc>
      </w:tr>
      <w:tr>
        <w:trPr>
          <w:trHeight w:val="310"/>
        </w:trPr>
        <w:tc>
          <w:tcPr>
            <w:tcW w:w="3280" w:type="dxa"/>
            <w:vAlign w:val="bottom"/>
          </w:tcPr>
          <w:p>
            <w:pPr>
              <w:spacing w:after="0"/>
              <w:rPr>
                <w:sz w:val="20"/>
                <w:szCs w:val="20"/>
                <w:color w:val="auto"/>
              </w:rPr>
            </w:pPr>
            <w:r>
              <w:rPr>
                <w:rFonts w:ascii="Arial" w:cs="Arial" w:eastAsia="Arial" w:hAnsi="Arial"/>
                <w:sz w:val="18"/>
                <w:szCs w:val="18"/>
                <w:b w:val="1"/>
                <w:bCs w:val="1"/>
                <w:color w:val="auto"/>
              </w:rPr>
              <w:t>Use of proceeds</w:t>
            </w:r>
          </w:p>
        </w:tc>
        <w:tc>
          <w:tcPr>
            <w:tcW w:w="6100" w:type="dxa"/>
            <w:vAlign w:val="bottom"/>
          </w:tcPr>
          <w:p>
            <w:pPr>
              <w:ind w:left="620"/>
              <w:spacing w:after="0"/>
              <w:rPr>
                <w:sz w:val="20"/>
                <w:szCs w:val="20"/>
                <w:color w:val="auto"/>
              </w:rPr>
            </w:pPr>
            <w:r>
              <w:rPr>
                <w:rFonts w:ascii="Arial" w:cs="Arial" w:eastAsia="Arial" w:hAnsi="Arial"/>
                <w:sz w:val="18"/>
                <w:szCs w:val="18"/>
                <w:color w:val="auto"/>
                <w:w w:val="91"/>
              </w:rPr>
              <w:t>We intend to use the net proceeds from this offering for working capital and</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100" w:type="dxa"/>
            <w:vAlign w:val="bottom"/>
          </w:tcPr>
          <w:p>
            <w:pPr>
              <w:ind w:left="620"/>
              <w:spacing w:after="0"/>
              <w:rPr>
                <w:sz w:val="20"/>
                <w:szCs w:val="20"/>
                <w:color w:val="auto"/>
              </w:rPr>
            </w:pPr>
            <w:r>
              <w:rPr>
                <w:rFonts w:ascii="Arial" w:cs="Arial" w:eastAsia="Arial" w:hAnsi="Arial"/>
                <w:sz w:val="18"/>
                <w:szCs w:val="18"/>
                <w:color w:val="auto"/>
                <w:w w:val="93"/>
              </w:rPr>
              <w:t>other general corporate purposes, including to pay a contractual bonus to</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100" w:type="dxa"/>
            <w:vAlign w:val="bottom"/>
          </w:tcPr>
          <w:p>
            <w:pPr>
              <w:ind w:left="620"/>
              <w:spacing w:after="0"/>
              <w:rPr>
                <w:sz w:val="20"/>
                <w:szCs w:val="20"/>
                <w:color w:val="auto"/>
              </w:rPr>
            </w:pPr>
            <w:r>
              <w:rPr>
                <w:rFonts w:ascii="Arial" w:cs="Arial" w:eastAsia="Arial" w:hAnsi="Arial"/>
                <w:sz w:val="18"/>
                <w:szCs w:val="18"/>
                <w:color w:val="auto"/>
              </w:rPr>
              <w:t>one of our executives and, if the underwriters exercise their option to</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100" w:type="dxa"/>
            <w:vAlign w:val="bottom"/>
          </w:tcPr>
          <w:p>
            <w:pPr>
              <w:ind w:left="620"/>
              <w:spacing w:after="0"/>
              <w:rPr>
                <w:sz w:val="20"/>
                <w:szCs w:val="20"/>
                <w:color w:val="auto"/>
              </w:rPr>
            </w:pPr>
            <w:r>
              <w:rPr>
                <w:rFonts w:ascii="Arial" w:cs="Arial" w:eastAsia="Arial" w:hAnsi="Arial"/>
                <w:sz w:val="18"/>
                <w:szCs w:val="18"/>
                <w:color w:val="auto"/>
                <w:w w:val="91"/>
              </w:rPr>
              <w:t>purchase additional shares, to repurchase Class A common stock pursuant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6100" w:type="dxa"/>
            <w:vAlign w:val="bottom"/>
          </w:tcPr>
          <w:p>
            <w:pPr>
              <w:ind w:left="620"/>
              <w:spacing w:after="0"/>
              <w:rPr>
                <w:sz w:val="20"/>
                <w:szCs w:val="20"/>
                <w:color w:val="auto"/>
              </w:rPr>
            </w:pPr>
            <w:r>
              <w:rPr>
                <w:rFonts w:ascii="Arial" w:cs="Arial" w:eastAsia="Arial" w:hAnsi="Arial"/>
                <w:sz w:val="18"/>
                <w:szCs w:val="18"/>
                <w:color w:val="auto"/>
                <w:w w:val="95"/>
              </w:rPr>
              <w:t>to an equity purchase agreement with certain stockholders. See “Use of</w:t>
            </w: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p>
        </w:tc>
        <w:tc>
          <w:tcPr>
            <w:tcW w:w="6100" w:type="dxa"/>
            <w:vAlign w:val="bottom"/>
          </w:tcPr>
          <w:p>
            <w:pPr>
              <w:ind w:left="620"/>
              <w:spacing w:after="0"/>
              <w:rPr>
                <w:sz w:val="20"/>
                <w:szCs w:val="20"/>
                <w:color w:val="auto"/>
              </w:rPr>
            </w:pPr>
            <w:r>
              <w:rPr>
                <w:rFonts w:ascii="Arial" w:cs="Arial" w:eastAsia="Arial" w:hAnsi="Arial"/>
                <w:sz w:val="18"/>
                <w:szCs w:val="18"/>
                <w:color w:val="auto"/>
              </w:rPr>
              <w:t>Proceeds.”</w:t>
            </w:r>
          </w:p>
        </w:tc>
        <w:tc>
          <w:tcPr>
            <w:tcW w:w="0" w:type="dxa"/>
            <w:vAlign w:val="bottom"/>
          </w:tcPr>
          <w:p>
            <w:pPr>
              <w:spacing w:after="0"/>
              <w:rPr>
                <w:sz w:val="1"/>
                <w:szCs w:val="1"/>
                <w:color w:val="auto"/>
              </w:rPr>
            </w:pPr>
          </w:p>
        </w:tc>
      </w:tr>
      <w:tr>
        <w:trPr>
          <w:trHeight w:val="306"/>
        </w:trPr>
        <w:tc>
          <w:tcPr>
            <w:tcW w:w="3280" w:type="dxa"/>
            <w:vAlign w:val="bottom"/>
          </w:tcPr>
          <w:p>
            <w:pPr>
              <w:spacing w:after="0"/>
              <w:rPr>
                <w:sz w:val="20"/>
                <w:szCs w:val="20"/>
                <w:color w:val="auto"/>
              </w:rPr>
            </w:pPr>
            <w:r>
              <w:rPr>
                <w:rFonts w:ascii="Arial" w:cs="Arial" w:eastAsia="Arial" w:hAnsi="Arial"/>
                <w:sz w:val="18"/>
                <w:szCs w:val="18"/>
                <w:b w:val="1"/>
                <w:bCs w:val="1"/>
                <w:color w:val="auto"/>
              </w:rPr>
              <w:t>Nasdaq Global Market symbol for</w:t>
            </w:r>
          </w:p>
        </w:tc>
        <w:tc>
          <w:tcPr>
            <w:tcW w:w="6100" w:type="dxa"/>
            <w:vAlign w:val="bottom"/>
          </w:tcPr>
          <w:p>
            <w:pPr>
              <w:ind w:left="620"/>
              <w:spacing w:after="0"/>
              <w:rPr>
                <w:sz w:val="20"/>
                <w:szCs w:val="20"/>
                <w:color w:val="auto"/>
              </w:rPr>
            </w:pPr>
            <w:r>
              <w:rPr>
                <w:rFonts w:ascii="Arial" w:cs="Arial" w:eastAsia="Arial" w:hAnsi="Arial"/>
                <w:sz w:val="18"/>
                <w:szCs w:val="18"/>
                <w:color w:val="auto"/>
              </w:rPr>
              <w:t>“ACMR”</w:t>
            </w: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Arial" w:cs="Arial" w:eastAsia="Arial" w:hAnsi="Arial"/>
                <w:sz w:val="18"/>
                <w:szCs w:val="18"/>
                <w:b w:val="1"/>
                <w:bCs w:val="1"/>
                <w:color w:val="auto"/>
              </w:rPr>
              <w:t>Class A common stock</w:t>
            </w:r>
          </w:p>
        </w:tc>
        <w:tc>
          <w:tcPr>
            <w:tcW w:w="6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100" w:firstLine="360"/>
        <w:spacing w:after="0" w:line="279" w:lineRule="auto"/>
        <w:rPr>
          <w:sz w:val="20"/>
          <w:szCs w:val="20"/>
          <w:color w:val="auto"/>
        </w:rPr>
      </w:pPr>
      <w:r>
        <w:rPr>
          <w:rFonts w:ascii="Arial" w:cs="Arial" w:eastAsia="Arial" w:hAnsi="Arial"/>
          <w:sz w:val="17"/>
          <w:szCs w:val="17"/>
          <w:color w:val="auto"/>
        </w:rPr>
        <w:t>The above information is based upon 14,229,942 shares of Class A common stock and 1,883,423 shares of Class B common stock outstanding as of June 30, 2019. This information does not include 1,142,580 shares of Class A common stock subject to outstanding options, 82,190 shares of Class A common stock subject to outstanding warrants and 888,335 shares of Class A common stock reserved for future issuance under our equity incentive plan as of June 30, 2019.</w:t>
      </w:r>
    </w:p>
    <w:p>
      <w:pPr>
        <w:spacing w:after="0" w:line="63" w:lineRule="exact"/>
        <w:rPr>
          <w:sz w:val="20"/>
          <w:szCs w:val="20"/>
          <w:color w:val="auto"/>
        </w:rPr>
      </w:pPr>
    </w:p>
    <w:p>
      <w:pPr>
        <w:jc w:val="both"/>
        <w:ind w:left="100" w:firstLine="360"/>
        <w:spacing w:after="0" w:line="277" w:lineRule="auto"/>
        <w:rPr>
          <w:sz w:val="20"/>
          <w:szCs w:val="20"/>
          <w:color w:val="auto"/>
        </w:rPr>
      </w:pPr>
      <w:r>
        <w:rPr>
          <w:rFonts w:ascii="Arial" w:cs="Arial" w:eastAsia="Arial" w:hAnsi="Arial"/>
          <w:sz w:val="18"/>
          <w:szCs w:val="18"/>
          <w:color w:val="auto"/>
        </w:rPr>
        <w:t>Unless otherwise indicated, this prospectus supplement reflects and assumes no exercise of the underwriters’ over-allotment option.</w:t>
      </w:r>
    </w:p>
    <w:p>
      <w:pPr>
        <w:spacing w:after="0" w:line="200" w:lineRule="exact"/>
        <w:rPr>
          <w:sz w:val="20"/>
          <w:szCs w:val="20"/>
          <w:color w:val="auto"/>
        </w:rPr>
      </w:pP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i w:val="1"/>
          <w:iCs w:val="1"/>
          <w:color w:val="auto"/>
        </w:rPr>
        <w:t>Investing in Class A common stock involves risks. Before making an investment decision, you should carefully consider the risks described below and discussed under the section captioned “Risk Factors” contained in our Annual Report on Form 10-K/A for the year ended December 31, 2018, as filed with the SEC on May 24, 2019, in our Quarterly Report on Form 10-Q for the six months ended June 30, 2019, as filed with the SEC on August 12, 2019, and in our other filings that are incorporated by reference in this prospectus supplement and the accompanying prospectus in their entirety, together with the other information in this prospectus supplement, the accompanying prospectus and documents incorporated by reference herein and therein, and in any free writing prospectus that we have authorized for use in connection with this offering. Our business, financial condition or results of operations could be materially adversely affected by any of these risks. The trading price of Class A common stock could decline due to any of these risks, and you may lose all or part of your investment. The risks described below, or incorporated by reference herein, are not the only ones that we face. Additional risks not presently known to us or that we currently deem immaterial may also affect our business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broad discretion in the use of the net proceeds from this offering and may not use them effectively.</w:t>
      </w:r>
    </w:p>
    <w:p>
      <w:pPr>
        <w:spacing w:after="0" w:line="121" w:lineRule="exact"/>
        <w:rPr>
          <w:sz w:val="20"/>
          <w:szCs w:val="20"/>
          <w:color w:val="auto"/>
        </w:rPr>
      </w:pPr>
    </w:p>
    <w:p>
      <w:pPr>
        <w:jc w:val="both"/>
        <w:ind w:right="20" w:firstLine="360"/>
        <w:spacing w:after="0" w:line="276" w:lineRule="auto"/>
        <w:rPr>
          <w:sz w:val="20"/>
          <w:szCs w:val="20"/>
          <w:color w:val="auto"/>
        </w:rPr>
      </w:pPr>
      <w:r>
        <w:rPr>
          <w:rFonts w:ascii="Arial" w:cs="Arial" w:eastAsia="Arial" w:hAnsi="Arial"/>
          <w:sz w:val="17"/>
          <w:szCs w:val="17"/>
          <w:color w:val="auto"/>
        </w:rPr>
        <w:t>We cannot specify with any certainty the particular uses of the net proceeds that we will receive from this offering. Our management will have broad discretion in the application of the net proceeds, including working capital and other general corporate purposes, and we may spend or invest these proceeds in a way with which our stockholders disagree. The failure by our management to apply these funds effectively could harm our business and financial condition. Pending their use, we may invest the net proceeds in a manner that does not produce income or that loses value.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you purchase shares of Class A common stock in this offering, you will experience substantial and immediate dilution.</w:t>
      </w:r>
    </w:p>
    <w:p>
      <w:pPr>
        <w:spacing w:after="0" w:line="131"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Investors purchasing Class A common stock in this offering will pay a price per share that substantially exceeds the net tangible book value per share. As a result, investors purchasing Class A common stock in this offering will incur immediate dilution of $9.39 per share, based on net tangible book value as of June 30, 2019. This dilution is due in large part to the fact that some of our earlier investors paid substantially less than the public offering price when they purchased their shares of our capital stock. You may experience additional dilution upon exercise of outstanding options and warrants to purchase Class A common stock or if we issue restricted stock to our employees under our equity incentive plan, and you may experience additional dilution in the future if we otherwise issue additional shares of Class A common stock.</w:t>
      </w:r>
    </w:p>
    <w:p>
      <w:pPr>
        <w:spacing w:after="0" w:line="174"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Substantial future sales of shares by existing stockholders, or the perception that such sales may occur, could cause our stock price to decline.</w:t>
      </w:r>
    </w:p>
    <w:p>
      <w:pPr>
        <w:spacing w:after="0" w:line="5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Sales of a substantial number of shares of Class A common stock in the public market following this offering could cause the market price of Class A common stock to decline. A substantial majority of the outstanding shares of Class A common stock are, and the shares of Class A common stock sold in this offering upon issuance will be, freely tradable without restriction or further registration under the Securities Act of 1933, as amended, or the Securities Act.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 AND STATISTICAL DATA</w:t>
      </w:r>
    </w:p>
    <w:p>
      <w:pPr>
        <w:spacing w:after="0" w:line="121"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into this prospectus supplement and the accompanying prospectus contain or incorporate by reference “forward-looking statements” within the meaning of the Private Securities Litigation Reform Act of 1995. These forward-looking statements are generally identified through the inclusion of words such as “anticipate,” “believe,” “contemplate,” “estimate,” “expect,” “forecast,” “intend,” “may,” “objective,” “outlook,” “plan,” “potential,” “project,” “seek,” “should,” “strategy,” “target” or “will” or variations of such words or similar expressions. All statements addressing our future operating performance, and statements addressing events and developments that we expect or anticipate will occur in the future, are forward-looking statements within the meaning of the Private Securities Litigation Reform Act of 1995. Forward-looking statements are based upon currently available information, operating plans, and projections about future events and trends. This prospectus supplement, the accompanying prospectus, and the documents incorporated by reference into this prospectus supplement and the accompanying prospectus also contain statistical data and estimates based on independent industry publications or other publicly available information, as well as other information based on our internal sources. Forward-looking statements and statistical estimates inherently involve risks and uncertainties that could cause actual results to differ materially from those predicted or expressed in this prospectus supplement, the accompanying prospectus, and the documents incorporated by reference into this prospectus supplement and the accompanying prospectus. These risks and uncertainties include those set forth under the heading “Risk Factors” and elsewhere in this prospectus supplement, the accompanying prospectus and the documents incorporated by reference into this prospectus supplement and the accompanying prospectus. Investors are cautioned not to place undue reliance on any forward-looking statements or statistical estimates, which speak only as of the date they are made. We undertake no obligation to update any forward-looking statement or statistical estimate, whether as a result of new information, future events or otherwise.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We estimate that we will receive net proceeds from this offering of $23.2 million, (or $26.7 million if the underwriters’ option to purchase additional shares in this offering is exercised in full) after deducting the underwriting discount and estimated offering expenses.</w:t>
      </w:r>
    </w:p>
    <w:p>
      <w:pPr>
        <w:spacing w:after="0" w:line="73"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We intend to use the net proceeds from this offering for working capital and other general corporate purposes, which may include financing our global growth and developing new products and which will include payment of a cash bonus in the amount of 0.5% of the aggregate of our gross proceeds from this offering (excluding any proceeds from the exercise of the underwriters’ over-allotment option) pursuant to an existing agreement with Mark A. McKechnie, our Vice President of Finance.</w:t>
      </w:r>
    </w:p>
    <w:p>
      <w:pPr>
        <w:spacing w:after="0" w:line="63"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We may use a portion of our net proceeds to acquire businesses, technologies and products that will help us expand the breadth and features of our product offerings, provide access to new markets or customers, or otherwise complement our existing operations. We assess acquisition opportunities on an ongoing basis. We do not currently have any agreement with respect to an acquisition, and we cannot assure you that we will make any acquisitions in the future.</w:t>
      </w:r>
    </w:p>
    <w:p>
      <w:pPr>
        <w:spacing w:after="0" w:line="63"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will apply any and all net proceeds received upon the exercise of the underwriters’ over-allotment to repurchase, at a price per share equal to the net proceeds per share we receive in this offering, shares of Class A common stock from certain individuals and entities in accordance with an equity purchase agreement entered into as of August 4, 2019. Under the equity purchase agreement, we would pay to each of the following stockholders the indicated percentage of any net proceeds we receive upon exercise of the underwriters’ over-allotment option:</w:t>
      </w:r>
    </w:p>
    <w:p>
      <w:pPr>
        <w:spacing w:after="0" w:line="80" w:lineRule="exact"/>
        <w:rPr>
          <w:sz w:val="20"/>
          <w:szCs w:val="20"/>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Sotheara Cheav, Vice President, Manufacturing of ACM Shanghai, 5.0%</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Fuping Chen, Vice President, Sales—China of ACM Shanghai, 6.7%</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Haiping Dun, Director, 10.7%</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Chenming Hu, Director, 8.3%</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Tracy Liu, Director, 0.8%</w:t>
      </w:r>
    </w:p>
    <w:p>
      <w:pPr>
        <w:spacing w:after="0" w:line="117" w:lineRule="exact"/>
        <w:rPr>
          <w:rFonts w:ascii="Arial" w:cs="Arial" w:eastAsia="Arial" w:hAnsi="Arial"/>
          <w:sz w:val="18"/>
          <w:szCs w:val="18"/>
          <w:color w:val="auto"/>
        </w:rPr>
      </w:pPr>
    </w:p>
    <w:p>
      <w:pPr>
        <w:ind w:left="700" w:right="20" w:hanging="356"/>
        <w:spacing w:after="0" w:line="342" w:lineRule="auto"/>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Shengxin (Shanghai) Management Consulting Limited Partnership, a PRC limited partnership owned by Jian Wang (Vice President, Research and Development, and brother of David H. Wang) and other employees of ACM Shanghai, 57.8%</w:t>
      </w:r>
    </w:p>
    <w:p>
      <w:pPr>
        <w:spacing w:after="0" w:line="15" w:lineRule="exact"/>
        <w:rPr>
          <w:rFonts w:ascii="Arial" w:cs="Arial" w:eastAsia="Arial" w:hAnsi="Arial"/>
          <w:sz w:val="16"/>
          <w:szCs w:val="16"/>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David H. Wang, Chair of the Board, Chief Executive Officer and President, 10.7%</w:t>
      </w:r>
    </w:p>
    <w:p>
      <w:pPr>
        <w:spacing w:after="0" w:line="117"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The repurchase price paid to each stockholder would be applied to purchase a number of shares of Class A common stock equal to the net proceeds per share we receive in this offering. Any shares that we repurchase would be retired and returned to the status of authorized but unissued shares.</w:t>
      </w:r>
    </w:p>
    <w:p>
      <w:pPr>
        <w:spacing w:after="0" w:line="73"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Other than as described above with respect to our payment of the cash bonus and our potential repurchase of Class A common stock, our expected use of the net proceeds of this offering represents our current intentions based upon our present plans and business conditions. The amounts and timing of our actual expenditures may vary significantly from our expectations depending upon numerous factors, including our operating costs and capital expenditures and the factors described under “Risk Factors” in this prospectus supplement, the accompanying prospectus and the documents incorporated by reference in this prospectus supplement and the accompanying prospectus. Because we cannot currently specify with any certainty the particular uses of our net proceeds, our management will have broad discretion in the application of the net proceeds.</w:t>
      </w:r>
    </w:p>
    <w:p>
      <w:pPr>
        <w:spacing w:after="0" w:line="7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Pending use of our net proceeds, we intend to invest the net proceeds in short-term, investment-grade, interest-bearing instruments, certificates of deposit, or direct or guaranteed obligations of the U.S. government.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FOR CLASS A COMMON STOCK</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The Class A common stock is traded on the Nasdaq Global Market under the symbol “ACMR.” As of June 30, 2019, there were 14,229,942 shares of Class A common stock outstanding, held of record by 85 stockholders. The actual number of holders of Class A common stock is substantially greater and includes stockholders who are beneficial owners and whose shares are held of record by banks, brokers and other financial institutions. On August 14, 2019, the last reported sale price of Class A common stock on the Nasdaq Global Market was $14.51 per share.</w:t>
      </w:r>
    </w:p>
    <w:p>
      <w:pPr>
        <w:spacing w:after="0" w:line="80"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The Class B common stock is not listed or traded on any stock exchange. As of June 30, 2019, there were 1,883,423 shares of Class B common stock outstanding, held of record by 30 stockholders.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available funds and any future earnings for use in the operation of our business and do not anticipate paying any cash dividends in the foreseeable future. Any future determination to pay dividends on Class A and Class B common stock is subject to the discretion of the board of directors and will depend upon various factors, including our results of operations, financial condition, liquidity requirements, capital requirements, level of indebtedness, contractual restrictions with respect to payment of dividends, restrictions imposed by applicable law, general business conditions and other factors that the board may deem relevant.</w:t>
      </w:r>
    </w:p>
    <w:p>
      <w:pPr>
        <w:spacing w:after="0" w:line="70"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Our ability to pay dividends on Class A and Class B common stock depends significantly on our receiving distributions of funds from our subsidiaries in the PRC, including ACM Shanghai. PRC statutory laws and regulations permit payments of dividends by those subsidiaries only out of their retained earnings, which are determined in accordance with PRC accounting standards and regulations that differ from U.S. generally accepted accounting principles. The PRC regulations and our subsidiaries’ articles of association require annual appropriations of 10% of net after-tax profits to be set aside, prior to payment of dividends, as a reserve or surplus fund, which restricts our subsidiaries’ ability to transfer a portion of their net assets to us. As of June 30, 2019, no cash was restricted under those PRC regulations or our subsidiaries’ articles because our subsidiaries had never generated net after-tax profits. In addition, our subsidiaries’ short-term bank loans restrict their ability to pay dividends to 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If you invest in Class A common stock in this offering, you will experience dilution to the extent of the difference between the price per share you pay in this offering and the pro forma net tangible book value per share of Class A common stock immediately after this offering.</w:t>
      </w:r>
    </w:p>
    <w:p>
      <w:pPr>
        <w:spacing w:after="0" w:line="73"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The net tangible book value of Class A and Class B common stock as of June 30, 2019 was $59.4 million, or $3.69 per share. Net tangible book value per share is equal (a) total tangible assets less total liabilities, divided by (b) the total number of shares of common stock outstanding.</w:t>
      </w:r>
    </w:p>
    <w:p>
      <w:pPr>
        <w:spacing w:after="0" w:line="73"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The pro forma net tangible book value of Class A and Class B common stock as of June 30, 2019 was $82.6 million, or $4.61 per share. Pro forma net tangible book value assumes and gives effect to our sale of 1,785,715 shares in this offering at an offering price of $14.00 per share, after deducting the underwriting discount and estimated offering expenses. This represents an immediate increase in pro forma net tangible book value of $0.92 per share to our existing stockholders and an immediate dilution of $9.39 per share to investors in this offering.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36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21"/>
                <w:szCs w:val="21"/>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Net tangible book value per share as of June 30, 2019</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3.69</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net tangible book value attributable to this offering</w:t>
            </w:r>
          </w:p>
        </w:tc>
        <w:tc>
          <w:tcPr>
            <w:tcW w:w="3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Pro forma net tangible book value per share after this offering</w:t>
            </w: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0"/>
                <w:szCs w:val="20"/>
                <w:color w:val="auto"/>
              </w:rPr>
            </w:pPr>
          </w:p>
        </w:tc>
      </w:tr>
      <w:tr>
        <w:trPr>
          <w:trHeight w:val="277"/>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per share to purchasers of Class A common stock in this offering</w:t>
            </w:r>
          </w:p>
        </w:tc>
        <w:tc>
          <w:tcPr>
            <w:tcW w:w="3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94"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information above assumes that the underwriters will not exercise their option to purchase additional shares. It excludes outstanding options and warrants as well as shares of Class A common stock reserved for future issuance under our equity incentive plan.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21"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6"/>
          <w:szCs w:val="16"/>
          <w:color w:val="auto"/>
        </w:rPr>
        <w:t>The following discussion is a summary of the material U.S. federal income tax consequences to Non-U.S. Holders (as defined below) of the purchase, ownership and disposition of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Class A common stock.</w:t>
      </w:r>
    </w:p>
    <w:p>
      <w:pPr>
        <w:spacing w:after="0" w:line="6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This discussion is limited to Non-U.S. Holders that hold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tax rules, including:</w:t>
      </w:r>
    </w:p>
    <w:p>
      <w:pPr>
        <w:spacing w:after="0" w:line="80" w:lineRule="exact"/>
        <w:rPr>
          <w:sz w:val="20"/>
          <w:szCs w:val="20"/>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holding Class A common stock as part of a hedge, straddle or other risk reduction strategy or as part of a conversion transaction or other integrated investment;</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62"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deemed to sell Class A common stock under the constructive sale provisions of the Code;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62" w:lineRule="exact"/>
        <w:rPr>
          <w:sz w:val="20"/>
          <w:szCs w:val="20"/>
          <w:color w:val="auto"/>
        </w:rPr>
      </w:pPr>
    </w:p>
    <w:p>
      <w:pPr>
        <w:jc w:val="both"/>
        <w:ind w:right="20" w:firstLine="360"/>
        <w:spacing w:after="0" w:line="279" w:lineRule="auto"/>
        <w:rPr>
          <w:sz w:val="20"/>
          <w:szCs w:val="20"/>
          <w:color w:val="auto"/>
        </w:rPr>
      </w:pPr>
      <w:r>
        <w:rPr>
          <w:rFonts w:ascii="Arial" w:cs="Arial" w:eastAsia="Arial" w:hAnsi="Arial"/>
          <w:sz w:val="17"/>
          <w:szCs w:val="17"/>
          <w:color w:val="auto"/>
        </w:rPr>
        <w:t>If an entity treated as a partnership for U.S. federal income tax purposes holds Class A common stock, the tax treatment of a partner in the partnership will depend on the status of the partner, the activities of the partnership and certain determinations made at the partner level. Accordingly, partnerships holding Class A common stock and the partners in such partnerships should consult their tax advisors regarding the U.S. federal income tax consequences to them.</w:t>
      </w:r>
    </w:p>
    <w:p>
      <w:pPr>
        <w:spacing w:after="0" w:line="63"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THIS DISCUSSION IS NOT TAX ADVICE. INVESTORS SHOULD CONSULT THEIR TAX ADVISORS WITH RESPECT TO THE APPLICATION OF THE U.S. FEDERAL INCOME TAX LAWS TO THEIR PARTICULAR SITUATIONS AS WELL AS ANY TAX CONSEQUENCES OF THE PURCHASE, OWNERSHIP AND DISPOSITION OF CLASS A COMMON STOCK ARISING UNDER THE U.S. FEDERAL ESTATE OR GIFT TAX LAWS OR UNDER THE LAWS OF ANY STATE, LOCAL OR NON-U.S. TAXING JURISDICTION OR UNDER ANY APPLICABLE INCOME TAX TREATY.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 of Non-U.S. Holder</w:t>
      </w:r>
    </w:p>
    <w:p>
      <w:pPr>
        <w:spacing w:after="0" w:line="121"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For purposes of this discussion, a “Non-U.S. Holder” is any beneficial owner of Class A common stock that is neither a “U.S. person” nor an entity treated as a partnership for U.S. federal income tax purposes. A U.S. person is any person that, for U.S. federal income tax purposes, is or is treated as any of the following:</w:t>
      </w:r>
    </w:p>
    <w:p>
      <w:pPr>
        <w:spacing w:after="0" w:line="73" w:lineRule="exact"/>
        <w:rPr>
          <w:sz w:val="20"/>
          <w:szCs w:val="20"/>
          <w:color w:val="auto"/>
        </w:rPr>
      </w:pPr>
    </w:p>
    <w:p>
      <w:pPr>
        <w:ind w:left="700" w:hanging="35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corporation created or organized under the laws of the United States, any state thereof, or the District of Columbia;</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jc w:val="both"/>
        <w:ind w:left="700" w:hanging="356"/>
        <w:spacing w:after="0" w:line="286" w:lineRule="auto"/>
        <w:tabs>
          <w:tab w:leader="none" w:pos="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As described in the section titled “Dividend Policy,” we do not anticipate paying any cash dividends in the foreseeable future. However, if we do make distributions of cash or property on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57"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tax treaties.</w:t>
      </w:r>
    </w:p>
    <w:p>
      <w:pPr>
        <w:spacing w:after="0" w:line="81"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85"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Any such effectively connected dividends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 or Other Taxable Disposition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Subject to the discussions below regarding backup withholding and FATCA, a Non-U.S. Holder will not be subject to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on any gain realized upon the sale or other taxable disposition of Class A common stock unless:</w:t>
      </w:r>
    </w:p>
    <w:p>
      <w:pPr>
        <w:spacing w:after="0" w:line="103" w:lineRule="exact"/>
        <w:rPr>
          <w:sz w:val="20"/>
          <w:szCs w:val="20"/>
          <w:color w:val="auto"/>
        </w:rPr>
      </w:pPr>
    </w:p>
    <w:p>
      <w:pPr>
        <w:jc w:val="both"/>
        <w:ind w:left="700" w:hanging="356"/>
        <w:spacing w:after="0" w:line="264"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73"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62"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Class A common stock constitutes a U.S. real property interest, or USRPI, by reason of our status as a U.S. real property holding corporation, or USRPHC, for U.S. federal income tax purposes.</w:t>
      </w:r>
    </w:p>
    <w:p>
      <w:pPr>
        <w:spacing w:after="0" w:line="62" w:lineRule="exact"/>
        <w:rPr>
          <w:sz w:val="20"/>
          <w:szCs w:val="20"/>
          <w:color w:val="auto"/>
        </w:rPr>
      </w:pPr>
    </w:p>
    <w:p>
      <w:pPr>
        <w:jc w:val="both"/>
        <w:ind w:right="20" w:firstLine="360"/>
        <w:spacing w:after="0" w:line="312" w:lineRule="auto"/>
        <w:rPr>
          <w:sz w:val="20"/>
          <w:szCs w:val="20"/>
          <w:color w:val="auto"/>
        </w:rPr>
      </w:pPr>
      <w:r>
        <w:rPr>
          <w:rFonts w:ascii="Arial" w:cs="Arial" w:eastAsia="Arial" w:hAnsi="Arial"/>
          <w:sz w:val="16"/>
          <w:szCs w:val="16"/>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3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Gain described in the second bullet point above will be subject to U.S. federal income tax at a rate of 30% (or such lower rate specified by an applicable income tax treaty),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79"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will not be subject to U.S. federal income tax if Class A common stock is “regularly traded,” as defined by applicable Treasury Regulations, on an established securities market, and such Non-U.S. Holder owned, actually and constructively, 5% or less of Class A common stock throughout the shorter of the five-year period ending on the date of the sale or other taxable disposition or the Non-U.S. Holder’s holding period.</w:t>
      </w:r>
    </w:p>
    <w:p>
      <w:pPr>
        <w:spacing w:after="0" w:line="7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Non-U.S. Holders should consult their tax advisors regarding any applicable tax treaties that may provide for different rules.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Payments of dividends on Class A common stock will not be subject to backup withholding, provided the Non-U.S. Holder certifies its non-U.S. status, such as by furnishing a valid IRS Form W-8BEN, W-8BEN-E or W-8ECI, or otherwise establishes an exemption. However, information returns are required to be filed with the IRS in connection with any dividends on Class A common stock paid to the Non-U.S. Holder, regardless of whether any tax was actually withheld. In addition, proceeds of the sale or other taxable disposition of Class A common stock within the United States or conducted through certain U.S.-related brokers generally will not be subject to backup withholding or information reporting if the applicable withholding agent receives the certification described above or the Non-U.S. Holder otherwise establishes an exemption. Proceeds of a disposition of Class A common stock conducted through a non-U.S. office of a non-U.S. broker that does not have certain enumerated relationships with the United States generally will not be subject to backup withholding or information reporting.</w:t>
      </w:r>
    </w:p>
    <w:p>
      <w:pPr>
        <w:spacing w:after="0" w:line="74" w:lineRule="exact"/>
        <w:rPr>
          <w:sz w:val="20"/>
          <w:szCs w:val="20"/>
          <w:color w:val="auto"/>
        </w:rPr>
      </w:pPr>
    </w:p>
    <w:p>
      <w:pPr>
        <w:jc w:val="both"/>
        <w:ind w:right="20" w:firstLine="360"/>
        <w:spacing w:after="0" w:line="308" w:lineRule="auto"/>
        <w:rPr>
          <w:sz w:val="20"/>
          <w:szCs w:val="20"/>
          <w:color w:val="auto"/>
        </w:rPr>
      </w:pPr>
      <w:r>
        <w:rPr>
          <w:rFonts w:ascii="Arial" w:cs="Arial" w:eastAsia="Arial" w:hAnsi="Arial"/>
          <w:sz w:val="17"/>
          <w:szCs w:val="17"/>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38"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121"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6"/>
          <w:szCs w:val="16"/>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67"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to payments of dividends on Class A common stock. Recently issued proposed regulations would eliminate the application of the withholding tax to payments of gross proceeds from the sale or other disposition of such stock that was previously scheduled to begin in 2019.</w:t>
      </w:r>
    </w:p>
    <w:p>
      <w:pPr>
        <w:spacing w:after="0" w:line="79"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Class A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jc w:val="both"/>
        <w:ind w:right="20" w:firstLine="360"/>
        <w:spacing w:after="0" w:line="329" w:lineRule="auto"/>
        <w:rPr>
          <w:sz w:val="20"/>
          <w:szCs w:val="20"/>
          <w:color w:val="auto"/>
        </w:rPr>
      </w:pPr>
      <w:r>
        <w:rPr>
          <w:rFonts w:ascii="Arial" w:cs="Arial" w:eastAsia="Arial" w:hAnsi="Arial"/>
          <w:sz w:val="16"/>
          <w:szCs w:val="16"/>
          <w:color w:val="auto"/>
        </w:rPr>
        <w:t>Subject to the terms and conditions set forth in an underwriting agreement, each of the underwriters named below has severally agreed to purchase from us the aggregate number of shares of Class A common stock set forth opposite its name below:</w:t>
      </w:r>
    </w:p>
    <w:tbl>
      <w:tblPr>
        <w:tblLayout w:type="fixed"/>
        <w:tblInd w:w="0" w:type="dxa"/>
        <w:tblCellMar>
          <w:top w:w="0" w:type="dxa"/>
          <w:left w:w="0" w:type="dxa"/>
          <w:bottom w:w="0" w:type="dxa"/>
          <w:right w:w="0" w:type="dxa"/>
        </w:tblCellMar>
      </w:tblPr>
      <w:tr>
        <w:trPr>
          <w:trHeight w:val="178"/>
        </w:trPr>
        <w:tc>
          <w:tcPr>
            <w:tcW w:w="776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160" w:type="dxa"/>
            <w:vAlign w:val="bottom"/>
          </w:tcPr>
          <w:p>
            <w:pPr>
              <w:spacing w:after="0"/>
              <w:rPr>
                <w:sz w:val="15"/>
                <w:szCs w:val="15"/>
                <w:color w:val="auto"/>
              </w:rPr>
            </w:pPr>
          </w:p>
        </w:tc>
        <w:tc>
          <w:tcPr>
            <w:tcW w:w="164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 of Shares</w:t>
            </w:r>
          </w:p>
        </w:tc>
      </w:tr>
      <w:tr>
        <w:trPr>
          <w:trHeight w:val="243"/>
        </w:trPr>
        <w:tc>
          <w:tcPr>
            <w:tcW w:w="20" w:type="dxa"/>
            <w:vAlign w:val="bottom"/>
          </w:tcPr>
          <w:p>
            <w:pPr>
              <w:spacing w:after="0"/>
              <w:rPr>
                <w:sz w:val="21"/>
                <w:szCs w:val="21"/>
                <w:color w:val="auto"/>
              </w:rPr>
            </w:pPr>
          </w:p>
        </w:tc>
        <w:tc>
          <w:tcPr>
            <w:tcW w:w="7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160" w:type="dxa"/>
            <w:vAlign w:val="bottom"/>
            <w:shd w:val="clear" w:color="auto" w:fill="CCEEFF"/>
          </w:tcPr>
          <w:p>
            <w:pPr>
              <w:spacing w:after="0"/>
              <w:rPr>
                <w:sz w:val="21"/>
                <w:szCs w:val="21"/>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785,715</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Needham &amp; Company, LLC</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491,072</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Roth Capital Partners, LLC</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Craig-Hallum Capital Group LLC</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205,357</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 Benchmark Company, LLC</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53,571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1,785,715</w:t>
            </w:r>
          </w:p>
        </w:tc>
        <w:tc>
          <w:tcPr>
            <w:tcW w:w="1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underwriting agreement provides that the obligations of the underwriters are subject to various conditions, including approval of legal matters by counsel. The nature of the underwriters’ obligations commits them to purchase and pay for all of the shares of Class A common stock listed above if any are purchased.</w:t>
      </w:r>
    </w:p>
    <w:p>
      <w:pPr>
        <w:spacing w:after="0" w:line="73"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The underwriting agreement provides that we will indemnify the underwriters against liabilities specified in the underwriting agreement under the Securities Act, or will contribute to payments that the underwriters may be required to make relating to these liabilities.</w:t>
      </w:r>
    </w:p>
    <w:p>
      <w:pPr>
        <w:spacing w:after="0" w:line="73"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Stifel, Nicolaus &amp; Company, Incorporated is acting as representative of the underwriters, and expects to deliver the shares of Class A common stock to purchasers on or about August 19, 2019.</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Over-Allotment Option</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have granted a 30-day over-allotment option to the underwriters to purchase up to 267,857 of additional shares of Class A common stock from us at the public offering price, less the underwriting discount payable by us, as set forth on the cover page of this prospectus supplement. If the underwriters exercise this option in whole or in part, then the underwriters will be committed, subject to the conditions described in the underwriting agreement, to purchase the additional shares of Class A common stock in proportion to their respective commitments set forth in the table above.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The underwriters propose to offer the shares of Class A common stock directly to the public at the public offering price set forth on the cover page of this prospectus supplement, and to dealers at that price less a concession not in excess of $0.483 per share. After this offering, the offering price, concession and other selling terms may be changed by the underwriters. The Class A common stock is offered subject to receipt and acceptance by the underwriters and to the other conditions, including the right to reject orders in whole or in part.</w:t>
      </w:r>
    </w:p>
    <w:p>
      <w:pPr>
        <w:spacing w:after="0" w:line="8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following table summarizes the compensation to be paid to the underwriters by us and the proceeds, before expenses, payable to us: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37"/>
              <w:spacing w:after="0"/>
              <w:rPr>
                <w:sz w:val="20"/>
                <w:szCs w:val="20"/>
                <w:color w:val="auto"/>
              </w:rPr>
            </w:pPr>
            <w:r>
              <w:rPr>
                <w:rFonts w:ascii="Arial" w:cs="Arial" w:eastAsia="Arial" w:hAnsi="Arial"/>
                <w:sz w:val="14"/>
                <w:szCs w:val="14"/>
                <w:b w:val="1"/>
                <w:bCs w:val="1"/>
                <w:color w:val="auto"/>
              </w:rPr>
              <w:t>Without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ind w:left="340"/>
              <w:spacing w:after="0"/>
              <w:rPr>
                <w:sz w:val="20"/>
                <w:szCs w:val="20"/>
                <w:color w:val="auto"/>
              </w:rPr>
            </w:pPr>
            <w:r>
              <w:rPr>
                <w:rFonts w:ascii="Arial" w:cs="Arial" w:eastAsia="Arial" w:hAnsi="Arial"/>
                <w:sz w:val="14"/>
                <w:szCs w:val="14"/>
                <w:b w:val="1"/>
                <w:bCs w:val="1"/>
                <w:color w:val="auto"/>
              </w:rPr>
              <w:t>With</w:t>
            </w:r>
          </w:p>
        </w:tc>
      </w:tr>
      <w:tr>
        <w:trPr>
          <w:trHeight w:val="178"/>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8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Over-Allotment</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Over-Allotment</w:t>
            </w: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28,750,008</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Underwriting discount</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0.805</w:t>
            </w:r>
          </w:p>
        </w:tc>
        <w:tc>
          <w:tcPr>
            <w:tcW w:w="18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1,437,501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1,653,125</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13.195</w:t>
            </w:r>
          </w:p>
        </w:tc>
        <w:tc>
          <w:tcPr>
            <w:tcW w:w="1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23,562,509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26,721,883</w:t>
            </w:r>
          </w:p>
        </w:tc>
        <w:tc>
          <w:tcPr>
            <w:tcW w:w="100" w:type="dxa"/>
            <w:vAlign w:val="bottom"/>
            <w:shd w:val="clear" w:color="auto" w:fill="CCEEFF"/>
          </w:tcPr>
          <w:p>
            <w:pPr>
              <w:spacing w:after="0"/>
              <w:rPr>
                <w:sz w:val="22"/>
                <w:szCs w:val="22"/>
                <w:color w:val="auto"/>
              </w:rPr>
            </w:pPr>
          </w:p>
        </w:tc>
      </w:tr>
    </w:tbl>
    <w:p>
      <w:pPr>
        <w:spacing w:after="0" w:line="94" w:lineRule="exact"/>
        <w:rPr>
          <w:sz w:val="20"/>
          <w:szCs w:val="20"/>
          <w:color w:val="auto"/>
        </w:rPr>
      </w:pPr>
    </w:p>
    <w:p>
      <w:pPr>
        <w:jc w:val="both"/>
        <w:ind w:right="20" w:firstLine="360"/>
        <w:spacing w:after="0" w:line="308" w:lineRule="auto"/>
        <w:rPr>
          <w:sz w:val="20"/>
          <w:szCs w:val="20"/>
          <w:color w:val="auto"/>
        </w:rPr>
      </w:pPr>
      <w:r>
        <w:rPr>
          <w:rFonts w:ascii="Arial" w:cs="Arial" w:eastAsia="Arial" w:hAnsi="Arial"/>
          <w:sz w:val="17"/>
          <w:szCs w:val="17"/>
          <w:color w:val="auto"/>
        </w:rPr>
        <w:t>We have agreed to reimburse the underwriters for costs and expenses incident to the performance of their obligations under the underwriting agreement, including up to $75,000 of the fees and expenses of the underwriters’ outside counsel.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of Underwriters</w:t>
      </w:r>
    </w:p>
    <w:p>
      <w:pPr>
        <w:spacing w:after="0" w:line="121" w:lineRule="exact"/>
        <w:rPr>
          <w:sz w:val="20"/>
          <w:szCs w:val="20"/>
          <w:color w:val="auto"/>
        </w:rPr>
      </w:pPr>
    </w:p>
    <w:p>
      <w:pPr>
        <w:jc w:val="both"/>
        <w:ind w:right="20" w:firstLine="360"/>
        <w:spacing w:after="0" w:line="312" w:lineRule="auto"/>
        <w:rPr>
          <w:sz w:val="20"/>
          <w:szCs w:val="20"/>
          <w:color w:val="auto"/>
        </w:rPr>
      </w:pPr>
      <w:r>
        <w:rPr>
          <w:rFonts w:ascii="Arial" w:cs="Arial" w:eastAsia="Arial" w:hAnsi="Arial"/>
          <w:sz w:val="16"/>
          <w:szCs w:val="16"/>
          <w:color w:val="auto"/>
        </w:rPr>
        <w:t>We will indemnify the underwriters against some civil liabilities, including liabilities under the Securities Act and liabilities arising from breaches of our representations and warranties contained in the underwriting agreement. If we are unable to provide this indemnification, we will contribute to payments the underwriters may be required to make in respect of those liabilities.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All of our officers and directors, and all of the individuals and entities identified as parties to the equity purchase agreement described under “Use of Proceeds” above, have agreed not to offer, sell, agree to sell, directly or indirectly, or otherwise dispose of any shares of Class A common stock or any securities convertible into or exchangeable for shares of Class A common stock, except for the shares of Class A common stock offered in this offering and shares of Class A common stock to be repurchased by us pursuant to an equity purchase agreement with certain stockholders if the underwriters exercise their option to purchase additional shares, without the prior written consent of Stifel, Nicolaus &amp; Company, Incorporated for a period of 90 days after the date of this prospectus supplement.</w:t>
      </w:r>
    </w:p>
    <w:p>
      <w:pPr>
        <w:spacing w:after="0" w:line="8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have agreed that for a period of 90 days after the date of this prospectus supplement, we will not, without the prior written consent of Stifel, Nicolaus &amp; Company, Incorporated, offer, sell or otherwise dispose of any shares of Class A common stock, except for the shares of Class A common stock offered in this offering, the shares of Class A common stock issuable upon exercise of outstanding options on the date of this prospectus supplement, and the shares of Class A common stock that are issued under our equity incentive plan.</w:t>
      </w:r>
    </w:p>
    <w:p>
      <w:pPr>
        <w:spacing w:after="0" w:line="18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Nasdaq Global Market Listing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Class A common stock is quoted on the Nasdaq Global Market under the symbol “ACMR.”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Short Sales, Stabilizing Transactions, and Penalty Bids</w:t>
      </w:r>
    </w:p>
    <w:p>
      <w:pPr>
        <w:spacing w:after="0" w:line="121"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In order to facilitate this offering, persons participating in this offering may engage in transactions that stabilize, maintain, or otherwise affect the price of Class A common stock during and after this offering. Specifically, the underwriters may engage in the following activities in accordance with the rules of the Securities and Exchange Commission.</w:t>
      </w:r>
    </w:p>
    <w:p>
      <w:pPr>
        <w:spacing w:after="0" w:line="57"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i w:val="1"/>
          <w:iCs w:val="1"/>
          <w:color w:val="auto"/>
        </w:rPr>
        <w:t>Short sales</w:t>
      </w:r>
      <w:r>
        <w:rPr>
          <w:rFonts w:ascii="Arial" w:cs="Arial" w:eastAsia="Arial" w:hAnsi="Arial"/>
          <w:sz w:val="17"/>
          <w:szCs w:val="17"/>
          <w:color w:val="auto"/>
        </w:rPr>
        <w:t>. Short sales involve the sales by the underwriters of a greater number of shares than it is required to purchase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Covered short sales are short sales made in an amount not greater than the underwriters’ over-allotment option to purchase additional shares from us in this offering. The underwriters may close out any covered short position by either exercising their over-allotment option to purchase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 Naked short sales are any short sales in excess of such over-allotment option.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w:t>
      </w:r>
    </w:p>
    <w:p>
      <w:pPr>
        <w:spacing w:after="0" w:line="70"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i w:val="1"/>
          <w:iCs w:val="1"/>
          <w:color w:val="auto"/>
        </w:rPr>
        <w:t xml:space="preserve">Stabilizing transactions. </w:t>
      </w:r>
      <w:r>
        <w:rPr>
          <w:rFonts w:ascii="Arial" w:cs="Arial" w:eastAsia="Arial" w:hAnsi="Arial"/>
          <w:sz w:val="18"/>
          <w:szCs w:val="18"/>
          <w:color w:val="auto"/>
        </w:rPr>
        <w:t>The underwriters may make bids for or purchases of the shares for the purpose of pegging, fixing or</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maintaining the price of the shares, so long as stabilizing bids do not exceed a specified maximum.</w:t>
      </w:r>
    </w:p>
    <w:p>
      <w:pPr>
        <w:spacing w:after="0" w:line="62"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i w:val="1"/>
          <w:iCs w:val="1"/>
          <w:color w:val="auto"/>
        </w:rPr>
        <w:t>Penalty bids</w:t>
      </w:r>
      <w:r>
        <w:rPr>
          <w:rFonts w:ascii="Arial" w:cs="Arial" w:eastAsia="Arial" w:hAnsi="Arial"/>
          <w:sz w:val="18"/>
          <w:szCs w:val="18"/>
          <w:color w:val="auto"/>
        </w:rPr>
        <w:t>. If the underwriters purchase shares in the open market in a stabilizing transaction or syndicate covering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they may reclaim a selling concession from the underwriters and selling group members who sold those shares as part of this offering. Stabilization and syndicate covering transactions may cause the price of the shares to be higher than it would be in the absence of these transactions. The imposition of a penalty bid might also have an effect on the price of the shares if it discourages presales of the shares.</w:t>
      </w:r>
    </w:p>
    <w:p>
      <w:pPr>
        <w:spacing w:after="0" w:line="8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transactions above may occur on the Nasdaq Global Market or otherwise. Neither we nor the underwriters make any representation or prediction as to the effect that the transactions described above may have on the price of the shares. If these transactions are commenced, they may be discontinued without notice at any time.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affiliates have provided in the past to us and our affiliates, and may in the future provide, various commercial banking, financial advisory, investment banking and other services for us and such affiliates in the ordinary course of their business, for which they have received and may continue to receive customary fees and commissions.</w:t>
      </w:r>
    </w:p>
    <w:p>
      <w:pPr>
        <w:spacing w:after="0" w:line="85" w:lineRule="exact"/>
        <w:rPr>
          <w:sz w:val="20"/>
          <w:szCs w:val="20"/>
          <w:color w:val="auto"/>
        </w:rPr>
      </w:pPr>
    </w:p>
    <w:p>
      <w:pPr>
        <w:jc w:val="both"/>
        <w:ind w:right="20" w:firstLine="360"/>
        <w:spacing w:after="0" w:line="290" w:lineRule="auto"/>
        <w:rPr>
          <w:sz w:val="20"/>
          <w:szCs w:val="20"/>
          <w:color w:val="auto"/>
        </w:rPr>
      </w:pPr>
      <w:r>
        <w:rPr>
          <w:rFonts w:ascii="Arial" w:cs="Arial" w:eastAsia="Arial" w:hAnsi="Arial"/>
          <w:sz w:val="16"/>
          <w:szCs w:val="16"/>
          <w:color w:val="auto"/>
        </w:rPr>
        <w:t>In addition, 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and relate to our assets, securities or instruments (directly, as collateral securing other obligations or otherwise) or persons and entities with relationships with us. The underwriters and their respective affiliates may also communicate independent investment recommendations, market color or trading ideas and publish or express independent research views in respect of such assets, securities or instruments and may at any time hold, or recommend to clients that they should acquire, long or short positions in such assets, securities and instruments.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supplement in any jurisdiction where action for that purpose is required.</w:t>
      </w:r>
    </w:p>
    <w:p>
      <w:pPr>
        <w:spacing w:after="0" w:line="38"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The shares of Class A common stock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121"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no offer of shares described in this prospectus supplement may be made to the public in that Relevant Member State other than under the following exemptions in the Prospectus Directive:</w:t>
      </w:r>
    </w:p>
    <w:p>
      <w:pPr>
        <w:spacing w:after="0" w:line="63" w:lineRule="exact"/>
        <w:rPr>
          <w:sz w:val="20"/>
          <w:szCs w:val="20"/>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in such Relevant Member State, subject to obtaining the prior consent of the underwriters; or</w:t>
      </w:r>
    </w:p>
    <w:p>
      <w:pPr>
        <w:spacing w:after="0" w:line="62" w:lineRule="exact"/>
        <w:rPr>
          <w:rFonts w:ascii="Arial" w:cs="Arial" w:eastAsia="Arial" w:hAnsi="Arial"/>
          <w:sz w:val="18"/>
          <w:szCs w:val="18"/>
          <w:color w:val="auto"/>
        </w:rPr>
      </w:pPr>
    </w:p>
    <w:p>
      <w:pPr>
        <w:jc w:val="both"/>
        <w:ind w:left="700" w:hanging="356"/>
        <w:spacing w:after="0" w:line="255"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shall require us or any underwriter to publish a prospectus pursuant to Article 3 of the Prospectus Directive or supplement a prospectus pursuant to Article 16 of the Prospectus Directive and each person who initially acquires any shares or to whom any offer is made will be deemed to have represented, acknowledged and agreed to and with us and each of the underwriters that it is a “qualified investor” within the meaning of the law in that Relevant Member State implementing Article 2(1)(e) of the Prospectus Directive.</w:t>
      </w:r>
    </w:p>
    <w:p>
      <w:pPr>
        <w:spacing w:after="0" w:line="85"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3(2) of the Prospectus Directive, each such financial intermediary will be deemed to have represented, acknowledged and agreed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their representative has been obtained to each such proposed offer or resale.</w:t>
      </w:r>
    </w:p>
    <w:p>
      <w:pPr>
        <w:spacing w:after="0" w:line="63"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means of sufficient information on the terms of the offer and the shares to be offered so as to enable an investor to decide to purchase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121"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7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121"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81"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Dubai International Financial Centre</w:t>
      </w:r>
    </w:p>
    <w:p>
      <w:pPr>
        <w:spacing w:after="0" w:line="121"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This prospectus supplement relates to an Exempt Offer in accordance with the Offered Securities Rules of the Dubai Financial Services Authority, or the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18" w:name="page19"/>
    <w:bookmarkEnd w:id="18"/>
    <w:p>
      <w:pPr>
        <w:ind w:left="7"/>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Australia</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This prospectus supplement:</w:t>
      </w:r>
    </w:p>
    <w:p>
      <w:pPr>
        <w:spacing w:after="0" w:line="117" w:lineRule="exact"/>
        <w:rPr>
          <w:sz w:val="20"/>
          <w:szCs w:val="20"/>
          <w:color w:val="auto"/>
        </w:rPr>
      </w:pPr>
    </w:p>
    <w:p>
      <w:pPr>
        <w:ind w:left="707" w:right="20" w:hanging="356"/>
        <w:spacing w:after="0" w:line="277" w:lineRule="auto"/>
        <w:tabs>
          <w:tab w:leader="none" w:pos="707" w:val="left"/>
        </w:tabs>
        <w:numPr>
          <w:ilvl w:val="0"/>
          <w:numId w:val="9"/>
        </w:numPr>
        <w:rPr>
          <w:rFonts w:ascii="Arial" w:cs="Arial" w:eastAsia="Arial" w:hAnsi="Arial"/>
          <w:sz w:val="18"/>
          <w:szCs w:val="18"/>
          <w:color w:val="auto"/>
        </w:rPr>
      </w:pPr>
      <w:r>
        <w:rPr>
          <w:rFonts w:ascii="Arial" w:cs="Arial" w:eastAsia="Arial" w:hAnsi="Arial"/>
          <w:sz w:val="18"/>
          <w:szCs w:val="18"/>
          <w:color w:val="auto"/>
        </w:rPr>
        <w:t>does not constitute a product disclosure document or a prospectus under Chapter 6D.2 of the Corporations Act 2001 (Cth) (the “Corporations Act”);</w:t>
      </w:r>
    </w:p>
    <w:p>
      <w:pPr>
        <w:spacing w:after="0" w:line="62" w:lineRule="exact"/>
        <w:rPr>
          <w:rFonts w:ascii="Arial" w:cs="Arial" w:eastAsia="Arial" w:hAnsi="Arial"/>
          <w:sz w:val="18"/>
          <w:szCs w:val="18"/>
          <w:color w:val="auto"/>
        </w:rPr>
      </w:pPr>
    </w:p>
    <w:p>
      <w:pPr>
        <w:jc w:val="both"/>
        <w:ind w:left="707" w:hanging="356"/>
        <w:spacing w:after="0" w:line="264" w:lineRule="auto"/>
        <w:tabs>
          <w:tab w:leader="none" w:pos="707" w:val="left"/>
        </w:tabs>
        <w:numPr>
          <w:ilvl w:val="0"/>
          <w:numId w:val="9"/>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w:t>
      </w:r>
    </w:p>
    <w:p>
      <w:pPr>
        <w:spacing w:after="0" w:line="73" w:lineRule="exact"/>
        <w:rPr>
          <w:rFonts w:ascii="Arial" w:cs="Arial" w:eastAsia="Arial" w:hAnsi="Arial"/>
          <w:sz w:val="18"/>
          <w:szCs w:val="18"/>
          <w:color w:val="auto"/>
        </w:rPr>
      </w:pPr>
    </w:p>
    <w:p>
      <w:pPr>
        <w:jc w:val="both"/>
        <w:ind w:left="707" w:hanging="356"/>
        <w:spacing w:after="0" w:line="264" w:lineRule="auto"/>
        <w:tabs>
          <w:tab w:leader="none" w:pos="707" w:val="left"/>
        </w:tabs>
        <w:numPr>
          <w:ilvl w:val="0"/>
          <w:numId w:val="9"/>
        </w:numPr>
        <w:rPr>
          <w:rFonts w:ascii="Arial" w:cs="Arial" w:eastAsia="Arial" w:hAnsi="Arial"/>
          <w:sz w:val="18"/>
          <w:szCs w:val="18"/>
          <w:color w:val="auto"/>
        </w:rPr>
      </w:pPr>
      <w:r>
        <w:rPr>
          <w:rFonts w:ascii="Arial" w:cs="Arial" w:eastAsia="Arial" w:hAnsi="Arial"/>
          <w:sz w:val="18"/>
          <w:szCs w:val="18"/>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73" w:lineRule="exact"/>
        <w:rPr>
          <w:rFonts w:ascii="Arial" w:cs="Arial" w:eastAsia="Arial" w:hAnsi="Arial"/>
          <w:sz w:val="18"/>
          <w:szCs w:val="18"/>
          <w:color w:val="auto"/>
        </w:rPr>
      </w:pPr>
    </w:p>
    <w:p>
      <w:pPr>
        <w:ind w:left="707" w:hanging="356"/>
        <w:spacing w:after="0" w:line="277" w:lineRule="auto"/>
        <w:tabs>
          <w:tab w:leader="none" w:pos="707" w:val="left"/>
        </w:tabs>
        <w:numPr>
          <w:ilvl w:val="0"/>
          <w:numId w:val="9"/>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62" w:lineRule="exact"/>
        <w:rPr>
          <w:sz w:val="20"/>
          <w:szCs w:val="20"/>
          <w:color w:val="auto"/>
        </w:rPr>
      </w:pPr>
    </w:p>
    <w:p>
      <w:pPr>
        <w:jc w:val="both"/>
        <w:ind w:left="7" w:firstLine="360"/>
        <w:spacing w:after="0" w:line="276" w:lineRule="auto"/>
        <w:rPr>
          <w:sz w:val="20"/>
          <w:szCs w:val="20"/>
          <w:color w:val="auto"/>
        </w:rPr>
      </w:pPr>
      <w:r>
        <w:rPr>
          <w:rFonts w:ascii="Arial" w:cs="Arial" w:eastAsia="Arial" w:hAnsi="Arial"/>
          <w:sz w:val="17"/>
          <w:szCs w:val="17"/>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64" w:lineRule="exact"/>
        <w:rPr>
          <w:sz w:val="20"/>
          <w:szCs w:val="20"/>
          <w:color w:val="auto"/>
        </w:rPr>
      </w:pPr>
    </w:p>
    <w:p>
      <w:pPr>
        <w:jc w:val="both"/>
        <w:ind w:left="7" w:firstLine="360"/>
        <w:spacing w:after="0" w:line="293" w:lineRule="auto"/>
        <w:rPr>
          <w:sz w:val="20"/>
          <w:szCs w:val="20"/>
          <w:color w:val="auto"/>
        </w:rPr>
      </w:pPr>
      <w:r>
        <w:rPr>
          <w:rFonts w:ascii="Arial" w:cs="Arial" w:eastAsia="Arial" w:hAnsi="Arial"/>
          <w:sz w:val="16"/>
          <w:szCs w:val="16"/>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Hong Kong</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w:t>
      </w:r>
    </w:p>
    <w:p>
      <w:pPr>
        <w:spacing w:after="0" w:line="46" w:lineRule="exact"/>
        <w:rPr>
          <w:sz w:val="20"/>
          <w:szCs w:val="20"/>
          <w:color w:val="auto"/>
        </w:rPr>
      </w:pPr>
    </w:p>
    <w:p>
      <w:pPr>
        <w:jc w:val="both"/>
        <w:ind w:left="7" w:hanging="7"/>
        <w:spacing w:after="0" w:line="268" w:lineRule="auto"/>
        <w:tabs>
          <w:tab w:leader="none" w:pos="27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7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Japan</w:t>
      </w:r>
    </w:p>
    <w:p>
      <w:pPr>
        <w:spacing w:after="0" w:line="121" w:lineRule="exact"/>
        <w:rPr>
          <w:sz w:val="20"/>
          <w:szCs w:val="20"/>
          <w:color w:val="auto"/>
        </w:rPr>
      </w:pPr>
    </w:p>
    <w:p>
      <w:pPr>
        <w:jc w:val="both"/>
        <w:ind w:left="7" w:firstLine="360"/>
        <w:spacing w:after="0" w:line="255"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8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121"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17" w:lineRule="exact"/>
        <w:rPr>
          <w:sz w:val="20"/>
          <w:szCs w:val="20"/>
          <w:color w:val="auto"/>
        </w:rPr>
      </w:pPr>
    </w:p>
    <w:p>
      <w:pPr>
        <w:jc w:val="both"/>
        <w:ind w:left="700" w:right="20" w:hanging="356"/>
        <w:spacing w:after="0" w:line="264"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3" w:lineRule="exact"/>
        <w:rPr>
          <w:rFonts w:ascii="Arial" w:cs="Arial" w:eastAsia="Arial" w:hAnsi="Arial"/>
          <w:sz w:val="18"/>
          <w:szCs w:val="18"/>
          <w:color w:val="auto"/>
        </w:rPr>
      </w:pPr>
    </w:p>
    <w:p>
      <w:pPr>
        <w:jc w:val="both"/>
        <w:ind w:left="700" w:hanging="356"/>
        <w:spacing w:after="0" w:line="25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80" w:lineRule="exact"/>
        <w:rPr>
          <w:rFonts w:ascii="Arial" w:cs="Arial" w:eastAsia="Arial" w:hAnsi="Arial"/>
          <w:sz w:val="18"/>
          <w:szCs w:val="18"/>
          <w:color w:val="auto"/>
        </w:rPr>
      </w:pPr>
    </w:p>
    <w:p>
      <w:pPr>
        <w:ind w:left="1060" w:hanging="351"/>
        <w:spacing w:after="0" w:line="277" w:lineRule="auto"/>
        <w:tabs>
          <w:tab w:leader="none" w:pos="10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62" w:lineRule="exact"/>
        <w:rPr>
          <w:rFonts w:ascii="Arial" w:cs="Arial" w:eastAsia="Arial" w:hAnsi="Arial"/>
          <w:sz w:val="18"/>
          <w:szCs w:val="18"/>
          <w:color w:val="auto"/>
        </w:rPr>
      </w:pPr>
    </w:p>
    <w:p>
      <w:pPr>
        <w:ind w:left="1060" w:hanging="351"/>
        <w:spacing w:after="0"/>
        <w:tabs>
          <w:tab w:leader="none" w:pos="10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1060" w:hanging="351"/>
        <w:spacing w:after="0"/>
        <w:tabs>
          <w:tab w:leader="none" w:pos="10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1060" w:hanging="351"/>
        <w:spacing w:after="0"/>
        <w:tabs>
          <w:tab w:leader="none" w:pos="10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1060" w:right="20" w:hanging="351"/>
        <w:spacing w:after="0" w:line="277" w:lineRule="auto"/>
        <w:tabs>
          <w:tab w:leader="none" w:pos="10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w:t>
      </w:r>
    </w:p>
    <w:p>
      <w:pPr>
        <w:spacing w:after="0" w:line="121" w:lineRule="exact"/>
        <w:rPr>
          <w:sz w:val="20"/>
          <w:szCs w:val="20"/>
          <w:color w:val="auto"/>
        </w:rPr>
      </w:pPr>
    </w:p>
    <w:p>
      <w:pPr>
        <w:jc w:val="both"/>
        <w:ind w:right="20" w:firstLine="360"/>
        <w:spacing w:after="0" w:line="342" w:lineRule="auto"/>
        <w:rPr>
          <w:sz w:val="20"/>
          <w:szCs w:val="20"/>
          <w:color w:val="auto"/>
        </w:rPr>
      </w:pPr>
      <w:r>
        <w:rPr>
          <w:rFonts w:ascii="Arial" w:cs="Arial" w:eastAsia="Arial" w:hAnsi="Arial"/>
          <w:sz w:val="16"/>
          <w:szCs w:val="16"/>
          <w:color w:val="auto"/>
        </w:rPr>
        <w:t>This prospectus supplement does not constitute a public offer of the shares, whether by sale or subscription, in the PRC. The shares are not being offered or sold directly or indirectly in the PRC to or for the benefit of, legal or natural persons of the PRC.</w:t>
      </w:r>
    </w:p>
    <w:p>
      <w:pPr>
        <w:spacing w:after="0" w:line="16" w:lineRule="exact"/>
        <w:rPr>
          <w:sz w:val="20"/>
          <w:szCs w:val="20"/>
          <w:color w:val="auto"/>
        </w:rPr>
      </w:pPr>
    </w:p>
    <w:p>
      <w:pPr>
        <w:jc w:val="both"/>
        <w:ind w:right="20" w:firstLine="360"/>
        <w:spacing w:after="0" w:line="312" w:lineRule="auto"/>
        <w:rPr>
          <w:sz w:val="20"/>
          <w:szCs w:val="20"/>
          <w:color w:val="auto"/>
        </w:rPr>
      </w:pPr>
      <w:r>
        <w:rPr>
          <w:rFonts w:ascii="Arial" w:cs="Arial" w:eastAsia="Arial" w:hAnsi="Arial"/>
          <w:sz w:val="16"/>
          <w:szCs w:val="16"/>
          <w:color w:val="auto"/>
        </w:rPr>
        <w:t>Further, no legal or natural persons of the PRC may directly or indirectly purchase any of the shares or any beneficial interest therein without obtaining all prior PRC’s governmental approvals that are required, whether statutorily or otherwise. Persons who come into possession of this document are required by the issuer and its representatives to observe these restrictions.</w:t>
      </w:r>
    </w:p>
    <w:p>
      <w:pPr>
        <w:spacing w:after="0" w:line="39"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Certain of the underwriters and their respective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respective affiliates may effect transactions for their own account or the account of customers, and hold on behalf of themselves or their customers, long or short positions in our debt or equity securities or loans, and may do so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121" w:lineRule="exact"/>
        <w:rPr>
          <w:sz w:val="20"/>
          <w:szCs w:val="20"/>
          <w:color w:val="auto"/>
        </w:rPr>
      </w:pPr>
    </w:p>
    <w:p>
      <w:pPr>
        <w:jc w:val="both"/>
        <w:ind w:right="20" w:firstLine="360"/>
        <w:spacing w:after="0" w:line="279" w:lineRule="auto"/>
        <w:rPr>
          <w:sz w:val="20"/>
          <w:szCs w:val="20"/>
          <w:color w:val="auto"/>
        </w:rPr>
      </w:pPr>
      <w:r>
        <w:rPr>
          <w:rFonts w:ascii="Arial" w:cs="Arial" w:eastAsia="Arial" w:hAnsi="Arial"/>
          <w:sz w:val="17"/>
          <w:szCs w:val="17"/>
          <w:color w:val="auto"/>
        </w:rPr>
        <w:t>This prospectus constitutes an “exempt offering document” for the purposes of applicable Canadian securities laws. No prospectus has been filed with any securities commission or similar regulatory authority in Canada in connection with the offer and sale of the shares. No securities commission or similar regulatory authority in Canada has reviewed or in any way passed upon this prospectus or on the merits of the shares and any representation to the contrary is an offence.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 xml:space="preserve">Canadian investors are advised that this prospectus has been prepared in reliance on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Pursuant to section 3A.3 of NI 33-105, this prospectus is exempt from the requirement that the company and the underwriters provide Canadian investors with certain conflicts of interest disclosure pertaining to “connected issuer” and/or “related issuer” relationships that may exist between the company and the underwriters as would otherwise be required pursuant to subsection 2.1(1) of NI 33-105.</w:t>
      </w:r>
    </w:p>
    <w:p>
      <w:pPr>
        <w:spacing w:after="0" w:line="80"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The offer and sale of the shares in Canada is being made on a private placement basis only and is exempt from the requirement that the company prepares and files a prospectus under applicable Canadian securities laws. Any resale of shares acquired by a Canadian investor in this offering must be made in accordance with applicable Canadian securities laws, which may vary depending on the relevant jurisdiction, and which may require resales to be made in accordance with Canadian prospectus requirements, pursuant to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shares outside of Canada.</w:t>
      </w:r>
    </w:p>
    <w:p>
      <w:pPr>
        <w:spacing w:after="0" w:line="59"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 xml:space="preserve">Each Canadian investor who purchases shares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for investment only and not with a view to resale or redistribution; (ii) an “accredited investor” as such term is defined in section 1.1 of National Instrument 45-106 </w:t>
      </w:r>
      <w:r>
        <w:rPr>
          <w:rFonts w:ascii="Arial" w:cs="Arial" w:eastAsia="Arial" w:hAnsi="Arial"/>
          <w:sz w:val="18"/>
          <w:szCs w:val="18"/>
          <w:i w:val="1"/>
          <w:iCs w:val="1"/>
          <w:color w:val="auto"/>
        </w:rPr>
        <w:t xml:space="preserve">Prospectus Exemptions </w:t>
      </w:r>
      <w:r>
        <w:rPr>
          <w:rFonts w:ascii="Arial" w:cs="Arial" w:eastAsia="Arial" w:hAnsi="Arial"/>
          <w:sz w:val="18"/>
          <w:szCs w:val="18"/>
          <w:color w:val="auto"/>
        </w:rPr>
        <w:t>or, in Ontario, as such term is defined in section 73.3(1) of the</w:t>
      </w:r>
      <w:r>
        <w:rPr>
          <w:rFonts w:ascii="Arial" w:cs="Arial" w:eastAsia="Arial" w:hAnsi="Arial"/>
          <w:sz w:val="18"/>
          <w:szCs w:val="18"/>
          <w:i w:val="1"/>
          <w:iCs w:val="1"/>
          <w:color w:val="auto"/>
        </w:rPr>
        <w:t xml:space="preserve"> Securities Act </w:t>
      </w:r>
      <w:r>
        <w:rPr>
          <w:rFonts w:ascii="Arial" w:cs="Arial" w:eastAsia="Arial" w:hAnsi="Arial"/>
          <w:sz w:val="18"/>
          <w:szCs w:val="18"/>
          <w:color w:val="auto"/>
        </w:rPr>
        <w:t>(Ontario); and (iii) is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“permitted client” as such term is defined in section 1.1 of National Instrument 31-103 </w:t>
      </w:r>
      <w:r>
        <w:rPr>
          <w:rFonts w:ascii="Arial" w:cs="Arial" w:eastAsia="Arial" w:hAnsi="Arial"/>
          <w:sz w:val="18"/>
          <w:szCs w:val="18"/>
          <w:i w:val="1"/>
          <w:iCs w:val="1"/>
          <w:color w:val="auto"/>
        </w:rPr>
        <w:t>Registration Requirements, Exemptions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Ongoing Registrant Obligations.</w:t>
      </w:r>
    </w:p>
    <w:p>
      <w:pPr>
        <w:spacing w:after="0" w:line="81"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Any discussion of taxation and related matters contained in this prospectus does not purport to be a comprehensive description of all of the tax considerations that may be relevant to a Canadian investor when deciding to purchase the shares and, in particular, does not address any Canadian tax considerations. No representation or warranty is hereby made as to the tax consequences to a resident, or deemed resident, of Canada of an investment in the shares or with respect to the eligibility of the shares for investment by such investor under relevant Canadian federal and provincial legislation and regulations.</w:t>
      </w:r>
    </w:p>
    <w:p>
      <w:pPr>
        <w:spacing w:after="0" w:line="64"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 xml:space="preserve">Securities legislation in certain of the Canadian jurisdictions provides certain purchasers of securities pursuant to an offering memorandum (such as this prospectus), including where the distribution involves an “eligible foreign security” as such term is defined in Ontario Securities Commission Rule 45-501 </w:t>
      </w:r>
      <w:r>
        <w:rPr>
          <w:rFonts w:ascii="Arial" w:cs="Arial" w:eastAsia="Arial" w:hAnsi="Arial"/>
          <w:sz w:val="17"/>
          <w:szCs w:val="17"/>
          <w:i w:val="1"/>
          <w:iCs w:val="1"/>
          <w:color w:val="auto"/>
        </w:rPr>
        <w:t>Ontario Prospectus and Registration Exemptions</w:t>
      </w:r>
      <w:r>
        <w:rPr>
          <w:rFonts w:ascii="Arial" w:cs="Arial" w:eastAsia="Arial" w:hAnsi="Arial"/>
          <w:sz w:val="17"/>
          <w:szCs w:val="17"/>
          <w:color w:val="auto"/>
        </w:rPr>
        <w:t xml:space="preserve"> and in Multilateral Instrument 45-107 </w:t>
      </w:r>
      <w:r>
        <w:rPr>
          <w:rFonts w:ascii="Arial" w:cs="Arial" w:eastAsia="Arial" w:hAnsi="Arial"/>
          <w:sz w:val="17"/>
          <w:szCs w:val="17"/>
          <w:i w:val="1"/>
          <w:iCs w:val="1"/>
          <w:color w:val="auto"/>
        </w:rPr>
        <w:t>Listing Representation and Statutory Rights of Action Disclosure Exemptions</w:t>
      </w:r>
      <w:r>
        <w:rPr>
          <w:rFonts w:ascii="Arial" w:cs="Arial" w:eastAsia="Arial" w:hAnsi="Arial"/>
          <w:sz w:val="17"/>
          <w:szCs w:val="17"/>
          <w:color w:val="auto"/>
        </w:rPr>
        <w:t>, as applicable, 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70"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Arial" w:cs="Arial" w:eastAsia="Arial" w:hAnsi="Arial"/>
          <w:sz w:val="18"/>
          <w:szCs w:val="18"/>
          <w:i w:val="1"/>
          <w:iCs w:val="1"/>
          <w:color w:val="auto"/>
        </w:rPr>
        <w:t>Par la réception de ce document, chaque investisseur</w:t>
      </w:r>
      <w:r>
        <w:rPr>
          <w:rFonts w:ascii="Arial" w:cs="Arial" w:eastAsia="Arial" w:hAnsi="Arial"/>
          <w:sz w:val="18"/>
          <w:szCs w:val="18"/>
          <w:color w:val="auto"/>
        </w:rPr>
        <w:t xml:space="preserve"> </w:t>
      </w:r>
      <w:r>
        <w:rPr>
          <w:rFonts w:ascii="Arial" w:cs="Arial" w:eastAsia="Arial" w:hAnsi="Arial"/>
          <w:sz w:val="18"/>
          <w:szCs w:val="18"/>
          <w:i w:val="1"/>
          <w:iCs w:val="1"/>
          <w:color w:val="auto"/>
        </w:rPr>
        <w:t>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r>
        <w:rPr>
          <w:rFonts w:ascii="Arial" w:cs="Arial" w:eastAsia="Arial" w:hAnsi="Arial"/>
          <w:sz w:val="18"/>
          <w:szCs w:val="18"/>
          <w:color w:val="auto"/>
        </w:rPr>
        <w: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Zealand</w:t>
      </w:r>
    </w:p>
    <w:p>
      <w:pPr>
        <w:spacing w:after="0" w:line="12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shares of Class A common stock offered hereby have not been offered or sold, and will not be offered or sold, directly or indirectly in New Zealand and no offering materials or advertisements have been or will be distributed in relation to any offer of shares in New Zealand, in each case other than:</w:t>
      </w:r>
    </w:p>
    <w:p>
      <w:pPr>
        <w:spacing w:after="0" w:line="73" w:lineRule="exact"/>
        <w:rPr>
          <w:sz w:val="20"/>
          <w:szCs w:val="20"/>
          <w:color w:val="auto"/>
        </w:rPr>
      </w:pPr>
    </w:p>
    <w:p>
      <w:pPr>
        <w:ind w:left="700" w:right="20" w:hanging="356"/>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persons whose principal business is the investment of money or who, in the course of and for the purposes of their business, habitually invest money;</w:t>
      </w:r>
    </w:p>
    <w:p>
      <w:pPr>
        <w:spacing w:after="0" w:line="62"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persons who in all the circumstances can properly be regarded as having been selected otherwise than as members of the public;</w:t>
      </w:r>
    </w:p>
    <w:p>
      <w:pPr>
        <w:spacing w:after="0" w:line="62" w:lineRule="exact"/>
        <w:rPr>
          <w:rFonts w:ascii="Arial" w:cs="Arial" w:eastAsia="Arial" w:hAnsi="Arial"/>
          <w:sz w:val="18"/>
          <w:szCs w:val="18"/>
          <w:color w:val="auto"/>
        </w:rPr>
      </w:pPr>
    </w:p>
    <w:p>
      <w:pPr>
        <w:jc w:val="both"/>
        <w:ind w:left="700" w:right="20" w:hanging="356"/>
        <w:spacing w:after="0" w:line="264"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persons who are each required to pay a minimum subscription price of at least NZ$500,000 for the shares before the allotment of those shares (disregarding any amounts payable, or paid, out of money lent by the issuer or any associated person of the issuer); or</w:t>
      </w:r>
    </w:p>
    <w:p>
      <w:pPr>
        <w:spacing w:after="0" w:line="73"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other circumstances where there is no contravention of the Securities Act 1978 of New Zealand (or any statutory modification or reenactment of, or statutory substitution for, the Securities Act 1978 of New Zealand).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K&amp;L Gates LLP, Boston, Massachusetts, will pass upon certain legal matters relating to the issuance and sale of the Class A common stock offered hereby on our behalf. Certain legal matters will be passed upon for the underwriters by Goodwin Procter LLP, New York, New York.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BDO China Shu Lun Pan Certified Public Accountants LLP, our independent registered public accounting firm in the People’s Republic of China, has audited our consolidated financial statements at, and for the years ended, December 31, 2018 and 2017 appearing in our Annual Report on Form 10-K for the year ended December 31, 2018 (as amended by Amendment No. 1 on Form 10-K/A), as set forth in their report thereon included therein and incorporated by reference herein. We have incorporated by reference herein such consolidated financial statements in reliance on said firm’s report, given on their authority as experts in accounting and auditing.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 xml:space="preserve">We file reports, proxy statements and other information with the SEC. Information filed with the SEC by us can be inspected and copied at the Public Reference Room maintained by the SEC at 100 F Street, N.E., Washington, D.C. 20549. You may also obtain copies of this information by mail from the Public Reference Room of the SEC at prescribed rates. Further information on the operation of the SEC’s Public Reference Room in Washington, D.C. can be obtained by calling the SEC at 1-800-SEC-0330. The SEC also maintains a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that contains reports, proxy and information statements and other information about issuers, such as us, who file electronically with the SEC.</w:t>
      </w:r>
    </w:p>
    <w:p>
      <w:pPr>
        <w:spacing w:after="0" w:line="7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www.acmrcsh.com</w:t>
      </w:r>
      <w:r>
        <w:rPr>
          <w:rFonts w:ascii="Arial" w:cs="Arial" w:eastAsia="Arial" w:hAnsi="Arial"/>
          <w:sz w:val="18"/>
          <w:szCs w:val="18"/>
          <w:color w:val="auto"/>
        </w:rPr>
        <w:t>. The information on our website, however, is not, and should not be deemed to be, a part of this prospectus supplement or the accompanying prospectus, as amended. We have included our website address as an inactive textual reference only.</w:t>
      </w:r>
    </w:p>
    <w:p>
      <w:pPr>
        <w:spacing w:after="0" w:line="73"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This prospectus supplement and the accompanying prospectus are part of a registration statement that we filed with the SEC and do not contain all of the information in the registration statement. The full registration statement may be obtained from the SEC or us, as provided below. You may inspect a copy of the registration statement at the SEC’s Public Reference Room in Washington, D.C. or through the SEC’s website, as provided above.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the accompanying prospectus, and subsequent information that we file with the SEC will automatically update and supersede that information. Any statement contained in this prospectus supplement, the accompanying prospectus or a previously filed document incorporated by reference will be deemed to be modified or superseded for purposes of this prospectus supplement to the extent that a statement contained in this prospectus supplement or a subsequently filed document incorporated by reference modifies or replaces that statement.</w:t>
      </w:r>
    </w:p>
    <w:p>
      <w:pPr>
        <w:spacing w:after="0" w:line="59"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We incorporate by reference our documents listed below and any future filings made by us with the SEC under Section 13(a), 13(c), 14 or 15(d) of the Securities Exchange Act of 1934, or the Exchange Act, between the date of this prospectus supplement and the termination of the offering of the securities described in this prospectus supplement. We are not, however, incorporating by reference any documents or portions thereof, whether specifically listed below or filed in the future, that are not deemed “filed” with the SEC, including any Compensation Committee report and performance graph or any information furnished pursuant to Item 2.02 or 7.01 of Form 8-K or related exhibits furnished pursuant to Item 9.01 of Form 8-K.</w:t>
      </w:r>
    </w:p>
    <w:p>
      <w:pPr>
        <w:spacing w:after="0" w:line="7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This prospectus supplement and the accompanying prospectus incorporate by reference the documents set forth below that have previously been filed with the SEC:</w:t>
      </w:r>
    </w:p>
    <w:p>
      <w:pPr>
        <w:spacing w:after="0" w:line="62" w:lineRule="exact"/>
        <w:rPr>
          <w:sz w:val="20"/>
          <w:szCs w:val="20"/>
          <w:color w:val="auto"/>
        </w:rPr>
      </w:pPr>
    </w:p>
    <w:p>
      <w:pPr>
        <w:ind w:left="700" w:hanging="356"/>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year ended December 31, 2018, filed with the SEC on </w:t>
      </w:r>
      <w:hyperlink r:id="rId40">
        <w:r>
          <w:rPr>
            <w:rFonts w:ascii="Arial" w:cs="Arial" w:eastAsia="Arial" w:hAnsi="Arial"/>
            <w:sz w:val="18"/>
            <w:szCs w:val="18"/>
            <w:u w:val="single" w:color="auto"/>
            <w:color w:val="0000EE"/>
          </w:rPr>
          <w:t>March 14,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(as amended on </w:t>
      </w:r>
      <w:hyperlink r:id="rId41">
        <w:r>
          <w:rPr>
            <w:rFonts w:ascii="Arial" w:cs="Arial" w:eastAsia="Arial" w:hAnsi="Arial"/>
            <w:sz w:val="18"/>
            <w:szCs w:val="18"/>
            <w:u w:val="single" w:color="auto"/>
            <w:color w:val="0000EE"/>
          </w:rPr>
          <w:t>May 24, 2019</w:t>
        </w:r>
      </w:hyperlink>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700" w:right="20" w:hanging="356"/>
        <w:spacing w:after="0" w:line="308" w:lineRule="auto"/>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the information specifically incorporated by reference into our Annual Report on Form 10-K for the year ended December 31, 2018, from our Definitive Proxy Statement on Schedule 14A, filed with the SEC on </w:t>
      </w:r>
      <w:hyperlink r:id="rId42">
        <w:r>
          <w:rPr>
            <w:rFonts w:ascii="Arial" w:cs="Arial" w:eastAsia="Arial" w:hAnsi="Arial"/>
            <w:sz w:val="17"/>
            <w:szCs w:val="17"/>
            <w:u w:val="single" w:color="auto"/>
            <w:color w:val="0000EE"/>
          </w:rPr>
          <w:t>April 30, 2019</w:t>
        </w:r>
      </w:hyperlink>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700" w:hanging="356"/>
        <w:spacing w:after="0" w:line="277" w:lineRule="auto"/>
        <w:tabs>
          <w:tab w:leader="none" w:pos="700" w:val="left"/>
        </w:tabs>
        <w:numPr>
          <w:ilvl w:val="0"/>
          <w:numId w:val="13"/>
        </w:numPr>
        <w:rPr>
          <w:rFonts w:ascii="Arial" w:cs="Arial" w:eastAsia="Arial" w:hAnsi="Arial"/>
          <w:sz w:val="18"/>
          <w:szCs w:val="18"/>
          <w:color w:val="0000EE"/>
        </w:rPr>
      </w:pPr>
      <w:hyperlink r:id="rId43">
        <w:r>
          <w:rPr>
            <w:rFonts w:ascii="Arial" w:cs="Arial" w:eastAsia="Arial" w:hAnsi="Arial"/>
            <w:sz w:val="18"/>
            <w:szCs w:val="18"/>
            <w:color w:val="auto"/>
          </w:rPr>
          <w:t xml:space="preserve">our Quarterly Reports on Form 10-Q for the quarters ended March 31, 2019 and June 30, 2019, filed with the SEC on </w:t>
        </w:r>
        <w:r>
          <w:rPr>
            <w:rFonts w:ascii="Arial" w:cs="Arial" w:eastAsia="Arial" w:hAnsi="Arial"/>
            <w:sz w:val="18"/>
            <w:szCs w:val="18"/>
            <w:u w:val="single" w:color="auto"/>
            <w:color w:val="0000EE"/>
          </w:rPr>
          <w:t>May</w:t>
        </w:r>
      </w:hyperlink>
      <w:r>
        <w:rPr>
          <w:rFonts w:ascii="Arial" w:cs="Arial" w:eastAsia="Arial" w:hAnsi="Arial"/>
          <w:sz w:val="18"/>
          <w:szCs w:val="18"/>
          <w:color w:val="auto"/>
        </w:rPr>
        <w:t xml:space="preserve"> </w:t>
      </w:r>
      <w:hyperlink r:id="rId43">
        <w:r>
          <w:rPr>
            <w:rFonts w:ascii="Arial" w:cs="Arial" w:eastAsia="Arial" w:hAnsi="Arial"/>
            <w:sz w:val="18"/>
            <w:szCs w:val="18"/>
            <w:u w:val="single" w:color="auto"/>
            <w:color w:val="0000EE"/>
          </w:rPr>
          <w:t>14, 2019</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44">
        <w:r>
          <w:rPr>
            <w:rFonts w:ascii="Arial" w:cs="Arial" w:eastAsia="Arial" w:hAnsi="Arial"/>
            <w:sz w:val="18"/>
            <w:szCs w:val="18"/>
            <w:u w:val="single" w:color="auto"/>
            <w:color w:val="0000EE"/>
          </w:rPr>
          <w:t>August 12, 2019</w:t>
        </w:r>
      </w:hyperlink>
      <w:hyperlink r:id="rId43">
        <w:r>
          <w:rPr>
            <w:rFonts w:ascii="Arial" w:cs="Arial" w:eastAsia="Arial" w:hAnsi="Arial"/>
            <w:sz w:val="18"/>
            <w:szCs w:val="18"/>
            <w:color w:val="000000"/>
          </w:rPr>
          <w:t>; and</w:t>
        </w:r>
      </w:hyperlink>
    </w:p>
    <w:p>
      <w:pPr>
        <w:spacing w:after="0" w:line="62" w:lineRule="exact"/>
        <w:rPr>
          <w:rFonts w:ascii="Arial" w:cs="Arial" w:eastAsia="Arial" w:hAnsi="Arial"/>
          <w:sz w:val="18"/>
          <w:szCs w:val="18"/>
          <w:color w:val="0000EE"/>
        </w:rPr>
      </w:pPr>
    </w:p>
    <w:p>
      <w:pPr>
        <w:ind w:left="700" w:hanging="356"/>
        <w:spacing w:after="0" w:line="277" w:lineRule="auto"/>
        <w:tabs>
          <w:tab w:leader="none" w:pos="700" w:val="left"/>
        </w:tabs>
        <w:numPr>
          <w:ilvl w:val="0"/>
          <w:numId w:val="13"/>
        </w:numPr>
        <w:rPr>
          <w:rFonts w:ascii="Arial" w:cs="Arial" w:eastAsia="Arial" w:hAnsi="Arial"/>
          <w:sz w:val="18"/>
          <w:szCs w:val="18"/>
          <w:color w:val="0000EE"/>
        </w:rPr>
      </w:pPr>
      <w:hyperlink r:id="rId45">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February 8,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8, 2019</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7, 2019</w:t>
        </w:r>
        <w:r>
          <w:rPr>
            <w:rFonts w:ascii="Arial" w:cs="Arial" w:eastAsia="Arial" w:hAnsi="Arial"/>
            <w:sz w:val="18"/>
            <w:szCs w:val="18"/>
            <w:color w:val="auto"/>
          </w:rPr>
          <w:t xml:space="preserve">, and </w:t>
        </w:r>
        <w:r>
          <w:rPr>
            <w:rFonts w:ascii="Arial" w:cs="Arial" w:eastAsia="Arial" w:hAnsi="Arial"/>
            <w:sz w:val="18"/>
            <w:szCs w:val="18"/>
            <w:u w:val="single" w:color="auto"/>
            <w:color w:val="0000EE"/>
          </w:rPr>
          <w:t>June 12,</w:t>
        </w:r>
      </w:hyperlink>
      <w:r>
        <w:rPr>
          <w:rFonts w:ascii="Arial" w:cs="Arial" w:eastAsia="Arial" w:hAnsi="Arial"/>
          <w:sz w:val="18"/>
          <w:szCs w:val="18"/>
          <w:color w:val="auto"/>
        </w:rPr>
        <w:t xml:space="preserve"> </w:t>
      </w:r>
      <w:hyperlink r:id="rId45">
        <w:r>
          <w:rPr>
            <w:rFonts w:ascii="Arial" w:cs="Arial" w:eastAsia="Arial" w:hAnsi="Arial"/>
            <w:sz w:val="18"/>
            <w:szCs w:val="18"/>
            <w:u w:val="single" w:color="auto"/>
            <w:color w:val="0000EE"/>
          </w:rPr>
          <w:t>2019</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6">
        <w:r>
          <w:rPr>
            <w:rFonts w:ascii="Arial" w:cs="Arial" w:eastAsia="Arial" w:hAnsi="Arial"/>
            <w:sz w:val="18"/>
            <w:szCs w:val="18"/>
            <w:u w:val="single" w:color="auto"/>
            <w:color w:val="0000EE"/>
          </w:rPr>
          <w:t>June 17, 2019</w:t>
        </w:r>
      </w:hyperlink>
      <w:hyperlink r:id="rId45">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47">
        <w:r>
          <w:rPr>
            <w:rFonts w:ascii="Arial" w:cs="Arial" w:eastAsia="Arial" w:hAnsi="Arial"/>
            <w:sz w:val="18"/>
            <w:szCs w:val="18"/>
            <w:u w:val="single" w:color="auto"/>
            <w:color w:val="0000EE"/>
          </w:rPr>
          <w:t xml:space="preserve">June 18, 2019 </w:t>
        </w:r>
      </w:hyperlink>
      <w:hyperlink r:id="rId45">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48">
        <w:r>
          <w:rPr>
            <w:rFonts w:ascii="Arial" w:cs="Arial" w:eastAsia="Arial" w:hAnsi="Arial"/>
            <w:sz w:val="18"/>
            <w:szCs w:val="18"/>
            <w:u w:val="single" w:color="auto"/>
            <w:color w:val="0000EE"/>
          </w:rPr>
          <w:t>August 13, 2019</w:t>
        </w:r>
      </w:hyperlink>
      <w:hyperlink r:id="rId45">
        <w:r>
          <w:rPr>
            <w:rFonts w:ascii="Arial" w:cs="Arial" w:eastAsia="Arial" w:hAnsi="Arial"/>
            <w:sz w:val="18"/>
            <w:szCs w:val="18"/>
            <w:color w:val="000000"/>
          </w:rPr>
          <w:t>.</w:t>
        </w:r>
      </w:hyperlink>
    </w:p>
    <w:p>
      <w:pPr>
        <w:spacing w:after="0" w:line="62" w:lineRule="exact"/>
        <w:rPr>
          <w:rFonts w:ascii="Arial" w:cs="Arial" w:eastAsia="Arial" w:hAnsi="Arial"/>
          <w:sz w:val="18"/>
          <w:szCs w:val="18"/>
          <w:color w:val="0000EE"/>
        </w:rPr>
      </w:pPr>
    </w:p>
    <w:p>
      <w:pPr>
        <w:ind w:firstLine="360"/>
        <w:spacing w:after="0" w:line="277"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including all such documents we may file with the SEC after</w:t>
      </w:r>
    </w:p>
    <w:p>
      <w:pPr>
        <w:spacing w:after="0" w:line="170" w:lineRule="exact"/>
        <w:rPr>
          <w:rFonts w:ascii="Arial" w:cs="Arial" w:eastAsia="Arial" w:hAnsi="Arial"/>
          <w:sz w:val="18"/>
          <w:szCs w:val="18"/>
          <w:color w:val="0000EE"/>
        </w:rPr>
      </w:pPr>
    </w:p>
    <w:p>
      <w:pPr>
        <w:jc w:val="center"/>
        <w:spacing w:after="0"/>
        <w:rPr>
          <w:sz w:val="20"/>
          <w:szCs w:val="20"/>
          <w:color w:val="auto"/>
        </w:rPr>
      </w:pPr>
      <w:r>
        <w:rPr>
          <w:rFonts w:ascii="Arial" w:cs="Arial" w:eastAsia="Arial" w:hAnsi="Arial"/>
          <w:sz w:val="18"/>
          <w:szCs w:val="18"/>
          <w:color w:val="auto"/>
        </w:rPr>
        <w:t>S-21</w:t>
      </w:r>
    </w:p>
    <w:p>
      <w:pPr>
        <w:spacing w:after="0" w:line="20" w:lineRule="exact"/>
        <w:rPr>
          <w:rFonts w:ascii="Arial" w:cs="Arial" w:eastAsia="Arial" w:hAnsi="Arial"/>
          <w:sz w:val="18"/>
          <w:szCs w:val="18"/>
          <w:color w:val="0000EE"/>
        </w:rPr>
      </w:pPr>
      <w:r>
        <w:rPr>
          <w:rFonts w:ascii="Arial" w:cs="Arial" w:eastAsia="Arial" w:hAnsi="Arial"/>
          <w:sz w:val="18"/>
          <w:szCs w:val="18"/>
          <w:color w:val="0000EE"/>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date of the initial registration statement and prior to the effectiveness of the registration statement, but excluding any information furnished to, rather than filed with, the SEC, will also be incorporated by reference into this prospectus supplement and the accompanying prospectus and deemed to be part of this prospectus supplement from the date of the filing of such reports and documents.</w:t>
      </w:r>
    </w:p>
    <w:p>
      <w:pPr>
        <w:spacing w:after="0" w:line="79"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You may request a free copy of any of the documents incorporated by reference in this prospectus supplement by writing or telephoning us at the following address: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ACM Research,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42307 Osgood Road, Suite 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Fremont, California</w:t>
      </w:r>
    </w:p>
    <w:p>
      <w:pPr>
        <w:spacing w:after="0" w:line="9" w:lineRule="exact"/>
        <w:rPr>
          <w:sz w:val="20"/>
          <w:szCs w:val="20"/>
          <w:color w:val="auto"/>
        </w:rPr>
      </w:pPr>
    </w:p>
    <w:p>
      <w:pPr>
        <w:ind w:left="4640" w:hanging="428"/>
        <w:spacing w:after="0"/>
        <w:tabs>
          <w:tab w:leader="none" w:pos="4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445-3700</w:t>
      </w:r>
    </w:p>
    <w:p>
      <w:pPr>
        <w:spacing w:after="0" w:line="9" w:lineRule="exact"/>
        <w:rPr>
          <w:rFonts w:ascii="Arial" w:cs="Arial" w:eastAsia="Arial" w:hAnsi="Arial"/>
          <w:sz w:val="18"/>
          <w:szCs w:val="18"/>
          <w:color w:val="auto"/>
        </w:rPr>
      </w:pPr>
    </w:p>
    <w:p>
      <w:pPr>
        <w:ind w:left="372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103"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Exhibits to the filings will not be sent, unless those exhibits have been specifically incorporated by reference in this prospectus supplement and the accompanying prospectus, as amended.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PROSPECTUS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2383790</wp:posOffset>
            </wp:positionH>
            <wp:positionV relativeFrom="paragraph">
              <wp:posOffset>147955</wp:posOffset>
            </wp:positionV>
            <wp:extent cx="1269365" cy="7886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26936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Class A Common Stock</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Preferred Stock</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Debt Securities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Warrants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182245</wp:posOffset>
            </wp:positionV>
            <wp:extent cx="14490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85" w:lineRule="exact"/>
        <w:rPr>
          <w:sz w:val="20"/>
          <w:szCs w:val="20"/>
          <w:color w:val="auto"/>
        </w:rPr>
      </w:pPr>
    </w:p>
    <w:p>
      <w:pPr>
        <w:jc w:val="both"/>
        <w:ind w:right="20"/>
        <w:spacing w:after="0" w:line="289" w:lineRule="auto"/>
        <w:rPr>
          <w:sz w:val="20"/>
          <w:szCs w:val="20"/>
          <w:color w:val="auto"/>
        </w:rPr>
      </w:pPr>
      <w:r>
        <w:rPr>
          <w:rFonts w:ascii="Arial" w:cs="Arial" w:eastAsia="Arial" w:hAnsi="Arial"/>
          <w:sz w:val="20"/>
          <w:szCs w:val="20"/>
          <w:color w:val="auto"/>
        </w:rPr>
        <w:t>We may offer and sell up to $100,000,000 in the aggregate of the securities identified above from time to time in one or more offerings. This prospectus provides you with a general description of the securities.</w:t>
      </w:r>
    </w:p>
    <w:p>
      <w:pPr>
        <w:spacing w:after="0" w:line="67"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67" w:lineRule="exact"/>
        <w:rPr>
          <w:sz w:val="20"/>
          <w:szCs w:val="20"/>
          <w:color w:val="auto"/>
        </w:rPr>
      </w:pPr>
    </w:p>
    <w:p>
      <w:pPr>
        <w:jc w:val="both"/>
        <w:spacing w:after="0" w:line="305" w:lineRule="auto"/>
        <w:rPr>
          <w:sz w:val="20"/>
          <w:szCs w:val="20"/>
          <w:color w:val="auto"/>
        </w:rPr>
      </w:pPr>
      <w:r>
        <w:rPr>
          <w:rFonts w:ascii="Arial" w:cs="Arial" w:eastAsia="Arial" w:hAnsi="Arial"/>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For more information, please see “About This Prospectus” and “Plan of Distribution” in this prospectus. No securities may be sold without delivery of this prospectus and the applicable prospectus supplement describing the method and terms of the offering of the securities.</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color w:val="auto"/>
        </w:rPr>
        <w:t>Class A common stock is listed on the Nasdaq Global Market under the symbol “ACMR”.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173355</wp:posOffset>
            </wp:positionV>
            <wp:extent cx="14490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71"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Investing in these securities involves significant risks.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146685</wp:posOffset>
            </wp:positionV>
            <wp:extent cx="14490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9"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February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303530</wp:posOffset>
            </wp:positionV>
            <wp:extent cx="607187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700" w:type="dxa"/>
            <w:vAlign w:val="bottom"/>
            <w:gridSpan w:val="5"/>
          </w:tcPr>
          <w:p>
            <w:pPr>
              <w:ind w:left="960"/>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5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Page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20" w:type="dxa"/>
            <w:vAlign w:val="bottom"/>
            <w:gridSpan w:val="9"/>
            <w:shd w:val="clear" w:color="auto" w:fill="CCEEFF"/>
          </w:tcPr>
          <w:p>
            <w:pPr>
              <w:spacing w:after="0" w:line="189"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About This Prospectus</w:t>
              </w:r>
            </w:hyperlink>
          </w:p>
        </w:tc>
        <w:tc>
          <w:tcPr>
            <w:tcW w:w="1220" w:type="dxa"/>
            <w:vAlign w:val="bottom"/>
            <w:gridSpan w:val="4"/>
            <w:shd w:val="clear" w:color="auto" w:fill="CCEEFF"/>
          </w:tcPr>
          <w:p>
            <w:pPr>
              <w:spacing w:after="0"/>
              <w:rPr>
                <w:sz w:val="16"/>
                <w:szCs w:val="16"/>
                <w:color w:val="auto"/>
              </w:rPr>
            </w:pPr>
          </w:p>
        </w:tc>
        <w:tc>
          <w:tcPr>
            <w:tcW w:w="660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27">
              <w:r>
                <w:rPr>
                  <w:rFonts w:ascii="Arial" w:cs="Arial" w:eastAsia="Arial" w:hAnsi="Arial"/>
                  <w:sz w:val="18"/>
                  <w:szCs w:val="18"/>
                  <w:color w:val="0000EE"/>
                </w:rPr>
                <w:t>1</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60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13"/>
          </w:tcPr>
          <w:p>
            <w:pPr>
              <w:spacing w:after="0" w:line="189"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Where You Can Find More Information</w:t>
              </w:r>
            </w:hyperlink>
          </w:p>
        </w:tc>
        <w:tc>
          <w:tcPr>
            <w:tcW w:w="6600" w:type="dxa"/>
            <w:vAlign w:val="bottom"/>
            <w:gridSpan w:val="4"/>
          </w:tcPr>
          <w:p>
            <w:pPr>
              <w:jc w:val="right"/>
              <w:spacing w:after="0" w:line="189" w:lineRule="exact"/>
              <w:rPr>
                <w:rFonts w:ascii="Arial" w:cs="Arial" w:eastAsia="Arial" w:hAnsi="Arial"/>
                <w:sz w:val="18"/>
                <w:szCs w:val="18"/>
                <w:color w:val="0000EE"/>
              </w:rPr>
            </w:pPr>
            <w:hyperlink w:anchor="page28">
              <w:r>
                <w:rPr>
                  <w:rFonts w:ascii="Arial" w:cs="Arial" w:eastAsia="Arial" w:hAnsi="Arial"/>
                  <w:sz w:val="18"/>
                  <w:szCs w:val="18"/>
                  <w:color w:val="0000EE"/>
                </w:rPr>
                <w:t>2</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6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500" w:type="dxa"/>
            <w:vAlign w:val="bottom"/>
            <w:gridSpan w:val="8"/>
            <w:shd w:val="clear" w:color="auto" w:fill="CCEEFF"/>
          </w:tcPr>
          <w:p>
            <w:pPr>
              <w:spacing w:after="0" w:line="189"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About Our Company</w:t>
              </w:r>
            </w:hyperlink>
          </w:p>
        </w:tc>
        <w:tc>
          <w:tcPr>
            <w:tcW w:w="1340" w:type="dxa"/>
            <w:vAlign w:val="bottom"/>
            <w:gridSpan w:val="5"/>
            <w:shd w:val="clear" w:color="auto" w:fill="CCEEFF"/>
          </w:tcPr>
          <w:p>
            <w:pPr>
              <w:spacing w:after="0"/>
              <w:rPr>
                <w:sz w:val="16"/>
                <w:szCs w:val="16"/>
                <w:color w:val="auto"/>
              </w:rPr>
            </w:pPr>
          </w:p>
        </w:tc>
        <w:tc>
          <w:tcPr>
            <w:tcW w:w="660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3</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60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500" w:type="dxa"/>
            <w:vAlign w:val="bottom"/>
            <w:gridSpan w:val="8"/>
          </w:tcPr>
          <w:p>
            <w:pPr>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1340" w:type="dxa"/>
            <w:vAlign w:val="bottom"/>
            <w:gridSpan w:val="5"/>
          </w:tcPr>
          <w:p>
            <w:pPr>
              <w:spacing w:after="0"/>
              <w:rPr>
                <w:sz w:val="16"/>
                <w:szCs w:val="16"/>
                <w:color w:val="auto"/>
              </w:rPr>
            </w:pPr>
          </w:p>
        </w:tc>
        <w:tc>
          <w:tcPr>
            <w:tcW w:w="6600" w:type="dxa"/>
            <w:vAlign w:val="bottom"/>
            <w:gridSpan w:val="4"/>
          </w:tcPr>
          <w:p>
            <w:pPr>
              <w:jc w:val="right"/>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3</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13"/>
            <w:shd w:val="clear" w:color="auto" w:fill="CCEEFF"/>
          </w:tcPr>
          <w:p>
            <w:pPr>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Use of Proceeds</w:t>
              </w:r>
            </w:hyperlink>
          </w:p>
        </w:tc>
        <w:tc>
          <w:tcPr>
            <w:tcW w:w="660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29">
              <w:r>
                <w:rPr>
                  <w:rFonts w:ascii="Arial" w:cs="Arial" w:eastAsia="Arial" w:hAnsi="Arial"/>
                  <w:sz w:val="18"/>
                  <w:szCs w:val="18"/>
                  <w:color w:val="0000EE"/>
                </w:rPr>
                <w:t>3</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60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13"/>
          </w:tcPr>
          <w:p>
            <w:pPr>
              <w:spacing w:after="0" w:line="189" w:lineRule="exact"/>
              <w:rPr>
                <w:rFonts w:ascii="Arial" w:cs="Arial" w:eastAsia="Arial" w:hAnsi="Arial"/>
                <w:sz w:val="18"/>
                <w:szCs w:val="18"/>
                <w:color w:val="0000EE"/>
              </w:rPr>
            </w:pPr>
            <w:hyperlink w:anchor="page30">
              <w:r>
                <w:rPr>
                  <w:rFonts w:ascii="Arial" w:cs="Arial" w:eastAsia="Arial" w:hAnsi="Arial"/>
                  <w:sz w:val="18"/>
                  <w:szCs w:val="18"/>
                  <w:color w:val="0000EE"/>
                </w:rPr>
                <w:t>Description of Capital Stock</w:t>
              </w:r>
            </w:hyperlink>
          </w:p>
        </w:tc>
        <w:tc>
          <w:tcPr>
            <w:tcW w:w="6600" w:type="dxa"/>
            <w:vAlign w:val="bottom"/>
            <w:gridSpan w:val="4"/>
          </w:tcPr>
          <w:p>
            <w:pPr>
              <w:jc w:val="right"/>
              <w:spacing w:after="0" w:line="189" w:lineRule="exact"/>
              <w:rPr>
                <w:rFonts w:ascii="Arial" w:cs="Arial" w:eastAsia="Arial" w:hAnsi="Arial"/>
                <w:sz w:val="18"/>
                <w:szCs w:val="18"/>
                <w:color w:val="0000EE"/>
              </w:rPr>
            </w:pPr>
            <w:hyperlink w:anchor="page30">
              <w:r>
                <w:rPr>
                  <w:rFonts w:ascii="Arial" w:cs="Arial" w:eastAsia="Arial" w:hAnsi="Arial"/>
                  <w:sz w:val="18"/>
                  <w:szCs w:val="18"/>
                  <w:color w:val="0000EE"/>
                </w:rPr>
                <w:t>4</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160" w:type="dxa"/>
            <w:vAlign w:val="bottom"/>
            <w:gridSpan w:val="12"/>
            <w:shd w:val="clear" w:color="auto" w:fill="CCEEFF"/>
          </w:tcPr>
          <w:p>
            <w:pPr>
              <w:spacing w:after="0" w:line="189"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Description of Debt Securities</w:t>
              </w:r>
            </w:hyperlink>
          </w:p>
        </w:tc>
        <w:tc>
          <w:tcPr>
            <w:tcW w:w="680" w:type="dxa"/>
            <w:vAlign w:val="bottom"/>
            <w:shd w:val="clear" w:color="auto" w:fill="CCEEFF"/>
          </w:tcPr>
          <w:p>
            <w:pPr>
              <w:spacing w:after="0"/>
              <w:rPr>
                <w:sz w:val="16"/>
                <w:szCs w:val="16"/>
                <w:color w:val="auto"/>
              </w:rPr>
            </w:pPr>
          </w:p>
        </w:tc>
        <w:tc>
          <w:tcPr>
            <w:tcW w:w="660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35">
              <w:r>
                <w:rPr>
                  <w:rFonts w:ascii="Arial" w:cs="Arial" w:eastAsia="Arial" w:hAnsi="Arial"/>
                  <w:sz w:val="18"/>
                  <w:szCs w:val="18"/>
                  <w:color w:val="0000EE"/>
                </w:rPr>
                <w:t>9</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60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160" w:type="dxa"/>
            <w:vAlign w:val="bottom"/>
            <w:gridSpan w:val="12"/>
          </w:tcPr>
          <w:p>
            <w:pPr>
              <w:spacing w:after="0" w:line="189" w:lineRule="exact"/>
              <w:rPr>
                <w:rFonts w:ascii="Arial" w:cs="Arial" w:eastAsia="Arial" w:hAnsi="Arial"/>
                <w:sz w:val="18"/>
                <w:szCs w:val="18"/>
                <w:color w:val="0000EE"/>
              </w:rPr>
            </w:pPr>
            <w:hyperlink w:anchor="page44">
              <w:r>
                <w:rPr>
                  <w:rFonts w:ascii="Arial" w:cs="Arial" w:eastAsia="Arial" w:hAnsi="Arial"/>
                  <w:sz w:val="18"/>
                  <w:szCs w:val="18"/>
                  <w:color w:val="0000EE"/>
                </w:rPr>
                <w:t>Description of Warrants</w:t>
              </w:r>
            </w:hyperlink>
          </w:p>
        </w:tc>
        <w:tc>
          <w:tcPr>
            <w:tcW w:w="680" w:type="dxa"/>
            <w:vAlign w:val="bottom"/>
          </w:tcPr>
          <w:p>
            <w:pPr>
              <w:spacing w:after="0"/>
              <w:rPr>
                <w:sz w:val="16"/>
                <w:szCs w:val="16"/>
                <w:color w:val="auto"/>
              </w:rPr>
            </w:pPr>
          </w:p>
        </w:tc>
        <w:tc>
          <w:tcPr>
            <w:tcW w:w="6600" w:type="dxa"/>
            <w:vAlign w:val="bottom"/>
            <w:gridSpan w:val="4"/>
          </w:tcPr>
          <w:p>
            <w:pPr>
              <w:jc w:val="right"/>
              <w:spacing w:after="0" w:line="189" w:lineRule="exact"/>
              <w:rPr>
                <w:rFonts w:ascii="Arial" w:cs="Arial" w:eastAsia="Arial" w:hAnsi="Arial"/>
                <w:sz w:val="18"/>
                <w:szCs w:val="18"/>
                <w:color w:val="0000EE"/>
              </w:rPr>
            </w:pPr>
            <w:hyperlink w:anchor="page44">
              <w:r>
                <w:rPr>
                  <w:rFonts w:ascii="Arial" w:cs="Arial" w:eastAsia="Arial" w:hAnsi="Arial"/>
                  <w:sz w:val="18"/>
                  <w:szCs w:val="18"/>
                  <w:color w:val="0000EE"/>
                </w:rPr>
                <w:t>18</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2840" w:type="dxa"/>
            <w:vAlign w:val="bottom"/>
            <w:gridSpan w:val="13"/>
            <w:shd w:val="clear" w:color="auto" w:fill="CCEEFF"/>
          </w:tcPr>
          <w:p>
            <w:pPr>
              <w:spacing w:after="0" w:line="189" w:lineRule="exact"/>
              <w:rPr>
                <w:rFonts w:ascii="Arial" w:cs="Arial" w:eastAsia="Arial" w:hAnsi="Arial"/>
                <w:sz w:val="18"/>
                <w:szCs w:val="18"/>
                <w:color w:val="0000EE"/>
              </w:rPr>
            </w:pPr>
            <w:hyperlink w:anchor="page45">
              <w:r>
                <w:rPr>
                  <w:rFonts w:ascii="Arial" w:cs="Arial" w:eastAsia="Arial" w:hAnsi="Arial"/>
                  <w:sz w:val="18"/>
                  <w:szCs w:val="18"/>
                  <w:color w:val="0000EE"/>
                </w:rPr>
                <w:t>Description of Units</w:t>
              </w:r>
            </w:hyperlink>
          </w:p>
        </w:tc>
        <w:tc>
          <w:tcPr>
            <w:tcW w:w="660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45">
              <w:r>
                <w:rPr>
                  <w:rFonts w:ascii="Arial" w:cs="Arial" w:eastAsia="Arial" w:hAnsi="Arial"/>
                  <w:sz w:val="18"/>
                  <w:szCs w:val="18"/>
                  <w:color w:val="0000EE"/>
                </w:rPr>
                <w:t>19</w:t>
              </w:r>
            </w:hyperlink>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0000EE"/>
            </w:tcBorders>
          </w:tcPr>
          <w:p>
            <w:pPr>
              <w:spacing w:after="0"/>
              <w:rPr>
                <w:sz w:val="16"/>
                <w:szCs w:val="16"/>
                <w:color w:val="auto"/>
              </w:rPr>
            </w:pPr>
          </w:p>
        </w:tc>
        <w:tc>
          <w:tcPr>
            <w:tcW w:w="1440" w:type="dxa"/>
            <w:vAlign w:val="bottom"/>
            <w:tcBorders>
              <w:top w:val="single" w:sz="8" w:color="0000EE"/>
            </w:tcBorders>
            <w:gridSpan w:val="7"/>
          </w:tcPr>
          <w:p>
            <w:pPr>
              <w:spacing w:after="0" w:line="189" w:lineRule="exact"/>
              <w:rPr>
                <w:rFonts w:ascii="Arial" w:cs="Arial" w:eastAsia="Arial" w:hAnsi="Arial"/>
                <w:sz w:val="18"/>
                <w:szCs w:val="18"/>
                <w:color w:val="0000EE"/>
              </w:rPr>
            </w:pPr>
            <w:hyperlink w:anchor="page46">
              <w:r>
                <w:rPr>
                  <w:rFonts w:ascii="Arial" w:cs="Arial" w:eastAsia="Arial" w:hAnsi="Arial"/>
                  <w:sz w:val="18"/>
                  <w:szCs w:val="18"/>
                  <w:color w:val="0000EE"/>
                </w:rPr>
                <w:t>Global Securities</w:t>
              </w:r>
            </w:hyperlink>
          </w:p>
        </w:tc>
        <w:tc>
          <w:tcPr>
            <w:tcW w:w="1400" w:type="dxa"/>
            <w:vAlign w:val="bottom"/>
            <w:tcBorders>
              <w:top w:val="single" w:sz="8" w:color="CCEEFF"/>
            </w:tcBorders>
            <w:gridSpan w:val="6"/>
          </w:tcPr>
          <w:p>
            <w:pPr>
              <w:spacing w:after="0"/>
              <w:rPr>
                <w:sz w:val="16"/>
                <w:szCs w:val="16"/>
                <w:color w:val="auto"/>
              </w:rPr>
            </w:pPr>
          </w:p>
        </w:tc>
        <w:tc>
          <w:tcPr>
            <w:tcW w:w="642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20</w:t>
              </w:r>
            </w:hyperlink>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2840" w:type="dxa"/>
            <w:vAlign w:val="bottom"/>
            <w:gridSpan w:val="13"/>
            <w:shd w:val="clear" w:color="auto" w:fill="CCEEFF"/>
          </w:tcPr>
          <w:p>
            <w:pPr>
              <w:spacing w:after="0" w:line="189" w:lineRule="exact"/>
              <w:rPr>
                <w:rFonts w:ascii="Arial" w:cs="Arial" w:eastAsia="Arial" w:hAnsi="Arial"/>
                <w:sz w:val="18"/>
                <w:szCs w:val="18"/>
                <w:color w:val="0000EE"/>
              </w:rPr>
            </w:pPr>
            <w:hyperlink w:anchor="page50">
              <w:r>
                <w:rPr>
                  <w:rFonts w:ascii="Arial" w:cs="Arial" w:eastAsia="Arial" w:hAnsi="Arial"/>
                  <w:sz w:val="18"/>
                  <w:szCs w:val="18"/>
                  <w:color w:val="0000EE"/>
                </w:rPr>
                <w:t>Plan of Distribution</w:t>
              </w:r>
            </w:hyperlink>
          </w:p>
        </w:tc>
        <w:tc>
          <w:tcPr>
            <w:tcW w:w="660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50">
              <w:r>
                <w:rPr>
                  <w:rFonts w:ascii="Arial" w:cs="Arial" w:eastAsia="Arial" w:hAnsi="Arial"/>
                  <w:sz w:val="18"/>
                  <w:szCs w:val="18"/>
                  <w:color w:val="0000EE"/>
                </w:rPr>
                <w:t>24</w:t>
              </w:r>
            </w:hyperlink>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0000EE"/>
            </w:tcBorders>
          </w:tcPr>
          <w:p>
            <w:pPr>
              <w:spacing w:after="0"/>
              <w:rPr>
                <w:sz w:val="16"/>
                <w:szCs w:val="16"/>
                <w:color w:val="auto"/>
              </w:rPr>
            </w:pPr>
          </w:p>
        </w:tc>
        <w:tc>
          <w:tcPr>
            <w:tcW w:w="1400" w:type="dxa"/>
            <w:vAlign w:val="bottom"/>
            <w:tcBorders>
              <w:top w:val="single" w:sz="8" w:color="0000EE"/>
            </w:tcBorders>
            <w:gridSpan w:val="6"/>
          </w:tcPr>
          <w:p>
            <w:pPr>
              <w:spacing w:after="0" w:line="189" w:lineRule="exact"/>
              <w:rPr>
                <w:rFonts w:ascii="Arial" w:cs="Arial" w:eastAsia="Arial" w:hAnsi="Arial"/>
                <w:sz w:val="18"/>
                <w:szCs w:val="18"/>
                <w:color w:val="0000EE"/>
              </w:rPr>
            </w:pPr>
            <w:hyperlink w:anchor="page51">
              <w:r>
                <w:rPr>
                  <w:rFonts w:ascii="Arial" w:cs="Arial" w:eastAsia="Arial" w:hAnsi="Arial"/>
                  <w:sz w:val="18"/>
                  <w:szCs w:val="18"/>
                  <w:color w:val="0000EE"/>
                </w:rPr>
                <w:t>Legal Matters</w:t>
              </w:r>
            </w:hyperlink>
          </w:p>
        </w:tc>
        <w:tc>
          <w:tcPr>
            <w:tcW w:w="1440" w:type="dxa"/>
            <w:vAlign w:val="bottom"/>
            <w:tcBorders>
              <w:top w:val="single" w:sz="8" w:color="CCEEFF"/>
            </w:tcBorders>
            <w:gridSpan w:val="7"/>
          </w:tcPr>
          <w:p>
            <w:pPr>
              <w:spacing w:after="0"/>
              <w:rPr>
                <w:sz w:val="16"/>
                <w:szCs w:val="16"/>
                <w:color w:val="auto"/>
              </w:rPr>
            </w:pPr>
          </w:p>
        </w:tc>
        <w:tc>
          <w:tcPr>
            <w:tcW w:w="642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25</w:t>
              </w:r>
            </w:hyperlink>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13"/>
            <w:shd w:val="clear" w:color="auto" w:fill="CCEEFF"/>
          </w:tcPr>
          <w:p>
            <w:pPr>
              <w:spacing w:after="0" w:line="189" w:lineRule="exact"/>
              <w:rPr>
                <w:rFonts w:ascii="Arial" w:cs="Arial" w:eastAsia="Arial" w:hAnsi="Arial"/>
                <w:sz w:val="18"/>
                <w:szCs w:val="18"/>
                <w:color w:val="0000EE"/>
              </w:rPr>
            </w:pPr>
            <w:hyperlink w:anchor="page51">
              <w:r>
                <w:rPr>
                  <w:rFonts w:ascii="Arial" w:cs="Arial" w:eastAsia="Arial" w:hAnsi="Arial"/>
                  <w:sz w:val="18"/>
                  <w:szCs w:val="18"/>
                  <w:color w:val="0000EE"/>
                </w:rPr>
                <w:t>Experts</w:t>
              </w:r>
            </w:hyperlink>
          </w:p>
        </w:tc>
        <w:tc>
          <w:tcPr>
            <w:tcW w:w="6600" w:type="dxa"/>
            <w:vAlign w:val="bottom"/>
            <w:gridSpan w:val="4"/>
            <w:shd w:val="clear" w:color="auto" w:fill="CCEEFF"/>
          </w:tcPr>
          <w:p>
            <w:pPr>
              <w:jc w:val="right"/>
              <w:spacing w:after="0" w:line="189" w:lineRule="exact"/>
              <w:rPr>
                <w:rFonts w:ascii="Arial" w:cs="Arial" w:eastAsia="Arial" w:hAnsi="Arial"/>
                <w:sz w:val="18"/>
                <w:szCs w:val="18"/>
                <w:color w:val="0000EE"/>
              </w:rPr>
            </w:pPr>
            <w:hyperlink w:anchor="page51">
              <w:r>
                <w:rPr>
                  <w:rFonts w:ascii="Arial" w:cs="Arial" w:eastAsia="Arial" w:hAnsi="Arial"/>
                  <w:sz w:val="18"/>
                  <w:szCs w:val="18"/>
                  <w:color w:val="0000EE"/>
                </w:rPr>
                <w:t>25</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60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using a “shelf” registration process. By using a shelf registration statement, we may sell securities from time to time in one or more offerings of up to a total of $100,000,000,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w:t>
      </w:r>
    </w:p>
    <w:p>
      <w:pPr>
        <w:spacing w:after="0" w:line="75"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6"/>
          <w:szCs w:val="16"/>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estimates and projections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283"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References in this prospectus to “our company,” “our,” “us,” “we” and similar terms refer to ACM Research, Inc. (including its predecessor prior to its redomestication from California to Delaware in November 2016) and not, unless the context otherwise requires, subsidiaries of ACM Research, Inc.</w:t>
      </w:r>
    </w:p>
    <w:p>
      <w:pPr>
        <w:spacing w:after="0" w:line="73"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Our logo design is one of our trademarks. This prospectus also includes trademarks, tradenames, and service marks that are the property of other organizations. For convenience, our logo appears in this prospectus without the ™ symbol, but those uses are not intended to indicate that we will not assert, to the fullest extent under applicable law, our rights to this trademark.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 xml:space="preserve">We file reports, proxy statements and other information with the SEC. Information filed with the SEC by us can be inspected and copied at the Public Reference Room maintained by the SEC at 100 F Street, N.E., Washington, D.C. 20549. You may also obtain copies of this information by mail from the Public Reference Room of the SEC at prescribed rates. Further information on the operation of the SEC’s Public Reference Room in Washington, D.C. can be obtained by calling the SEC at 1-800-SEC-0330. The SEC also maintains a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that contains reports, proxy and information statements and other information about issuers, such as us, who file electronically with the SEC.</w:t>
      </w:r>
    </w:p>
    <w:p>
      <w:pPr>
        <w:spacing w:after="0" w:line="70" w:lineRule="exact"/>
        <w:rPr>
          <w:sz w:val="20"/>
          <w:szCs w:val="20"/>
          <w:color w:val="auto"/>
        </w:rPr>
      </w:pPr>
    </w:p>
    <w:p>
      <w:pPr>
        <w:jc w:val="both"/>
        <w:ind w:firstLine="360"/>
        <w:spacing w:after="0" w:line="342" w:lineRule="auto"/>
        <w:rPr>
          <w:sz w:val="20"/>
          <w:szCs w:val="20"/>
          <w:color w:val="auto"/>
        </w:rPr>
      </w:pPr>
      <w:r>
        <w:rPr>
          <w:rFonts w:ascii="Arial" w:cs="Arial" w:eastAsia="Arial" w:hAnsi="Arial"/>
          <w:sz w:val="16"/>
          <w:szCs w:val="16"/>
          <w:color w:val="auto"/>
        </w:rPr>
        <w:t xml:space="preserve">Our website address is </w:t>
      </w:r>
      <w:r>
        <w:rPr>
          <w:rFonts w:ascii="Arial" w:cs="Arial" w:eastAsia="Arial" w:hAnsi="Arial"/>
          <w:sz w:val="16"/>
          <w:szCs w:val="16"/>
          <w:i w:val="1"/>
          <w:iCs w:val="1"/>
          <w:color w:val="auto"/>
        </w:rPr>
        <w:t>www.acmrcsh.com</w:t>
      </w:r>
      <w:r>
        <w:rPr>
          <w:rFonts w:ascii="Arial" w:cs="Arial" w:eastAsia="Arial" w:hAnsi="Arial"/>
          <w:sz w:val="16"/>
          <w:szCs w:val="16"/>
          <w:color w:val="auto"/>
        </w:rPr>
        <w:t>. The information on our website, however, is not, and should not be deemed to be, a part of this prospectus or any prospectus supplement. We have included our website address as an inactive textual reference only.</w:t>
      </w:r>
    </w:p>
    <w:p>
      <w:pPr>
        <w:spacing w:after="0" w:line="16"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at the SEC’s Public Reference Room in Washington, D.C. or through the SEC’s website, as provided above.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70"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7"/>
          <w:szCs w:val="17"/>
          <w:color w:val="auto"/>
        </w:rPr>
        <w:t>We incorporate by reference our documents listed below and any future filings made by us with the SEC under Section 13(a), 13(c), 14 or 15(d) of the Securities Exchange Act of 1934, or the Exchange Act,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Compensation Committee report and performance graph or any information furnished pursuant to Item 2.02 or 7.01 of Form 8-K or related exhibits furnished pursuant to Item 9.01 of Form 8-K.</w:t>
      </w:r>
    </w:p>
    <w:p>
      <w:pPr>
        <w:spacing w:after="0" w:line="7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62" w:lineRule="exact"/>
        <w:rPr>
          <w:sz w:val="20"/>
          <w:szCs w:val="20"/>
          <w:color w:val="auto"/>
        </w:rPr>
      </w:pPr>
    </w:p>
    <w:p>
      <w:pPr>
        <w:ind w:left="700" w:hanging="356"/>
        <w:spacing w:after="0"/>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our Annual Report on Form 10-K for the year ended December 31, 2017, filed with the SEC on </w:t>
      </w:r>
      <w:hyperlink r:id="rId58">
        <w:r>
          <w:rPr>
            <w:rFonts w:ascii="Arial" w:cs="Arial" w:eastAsia="Arial" w:hAnsi="Arial"/>
            <w:sz w:val="17"/>
            <w:szCs w:val="17"/>
            <w:u w:val="single" w:color="auto"/>
            <w:color w:val="0000EE"/>
          </w:rPr>
          <w:t>March 23, 2018</w:t>
        </w:r>
      </w:hyperlink>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700" w:right="20" w:hanging="356"/>
        <w:spacing w:after="0" w:line="277" w:lineRule="auto"/>
        <w:tabs>
          <w:tab w:leader="none" w:pos="700" w:val="left"/>
        </w:tabs>
        <w:numPr>
          <w:ilvl w:val="0"/>
          <w:numId w:val="15"/>
        </w:numPr>
        <w:rPr>
          <w:rFonts w:ascii="Arial" w:cs="Arial" w:eastAsia="Arial" w:hAnsi="Arial"/>
          <w:sz w:val="18"/>
          <w:szCs w:val="18"/>
          <w:color w:val="0000EE"/>
        </w:rPr>
      </w:pPr>
      <w:hyperlink r:id="rId58">
        <w:r>
          <w:rPr>
            <w:rFonts w:ascii="Arial" w:cs="Arial" w:eastAsia="Arial" w:hAnsi="Arial"/>
            <w:sz w:val="18"/>
            <w:szCs w:val="18"/>
            <w:color w:val="auto"/>
          </w:rPr>
          <w:t xml:space="preserve">the information specifically incorporated by reference into our Annual Report on Form 10-K for the year ended </w:t>
        </w:r>
        <w:r>
          <w:rPr>
            <w:rFonts w:ascii="Arial" w:cs="Arial" w:eastAsia="Arial" w:hAnsi="Arial"/>
            <w:sz w:val="18"/>
            <w:szCs w:val="18"/>
            <w:u w:val="single" w:color="auto"/>
            <w:color w:val="0000EE"/>
          </w:rPr>
          <w:t>December</w:t>
        </w:r>
      </w:hyperlink>
      <w:r>
        <w:rPr>
          <w:rFonts w:ascii="Arial" w:cs="Arial" w:eastAsia="Arial" w:hAnsi="Arial"/>
          <w:sz w:val="18"/>
          <w:szCs w:val="18"/>
          <w:color w:val="auto"/>
        </w:rPr>
        <w:t xml:space="preserve"> </w:t>
      </w:r>
      <w:hyperlink r:id="rId58">
        <w:r>
          <w:rPr>
            <w:rFonts w:ascii="Arial" w:cs="Arial" w:eastAsia="Arial" w:hAnsi="Arial"/>
            <w:sz w:val="18"/>
            <w:szCs w:val="18"/>
            <w:u w:val="single" w:color="auto"/>
            <w:color w:val="0000EE"/>
          </w:rPr>
          <w:t>31, 2017</w:t>
        </w:r>
        <w:r>
          <w:rPr>
            <w:rFonts w:ascii="Arial" w:cs="Arial" w:eastAsia="Arial" w:hAnsi="Arial"/>
            <w:sz w:val="18"/>
            <w:szCs w:val="18"/>
            <w:color w:val="000000"/>
          </w:rPr>
          <w:t>, from our Definitive Proxy Statement on Schedule 14A, filed with the SEC on</w:t>
        </w:r>
        <w:r>
          <w:rPr>
            <w:rFonts w:ascii="Arial" w:cs="Arial" w:eastAsia="Arial" w:hAnsi="Arial"/>
            <w:sz w:val="18"/>
            <w:szCs w:val="18"/>
            <w:color w:val="0000EE"/>
          </w:rPr>
          <w:t xml:space="preserve"> </w:t>
        </w:r>
      </w:hyperlink>
      <w:hyperlink r:id="rId59">
        <w:r>
          <w:rPr>
            <w:rFonts w:ascii="Arial" w:cs="Arial" w:eastAsia="Arial" w:hAnsi="Arial"/>
            <w:sz w:val="18"/>
            <w:szCs w:val="18"/>
            <w:u w:val="single" w:color="auto"/>
            <w:color w:val="0000EE"/>
          </w:rPr>
          <w:t>May 4, 2018</w:t>
        </w:r>
      </w:hyperlink>
      <w:hyperlink r:id="rId58">
        <w:r>
          <w:rPr>
            <w:rFonts w:ascii="Arial" w:cs="Arial" w:eastAsia="Arial" w:hAnsi="Arial"/>
            <w:sz w:val="18"/>
            <w:szCs w:val="18"/>
            <w:color w:val="000000"/>
          </w:rPr>
          <w:t>;</w:t>
        </w:r>
      </w:hyperlink>
    </w:p>
    <w:p>
      <w:pPr>
        <w:spacing w:after="0" w:line="62" w:lineRule="exact"/>
        <w:rPr>
          <w:rFonts w:ascii="Arial" w:cs="Arial" w:eastAsia="Arial" w:hAnsi="Arial"/>
          <w:sz w:val="18"/>
          <w:szCs w:val="18"/>
          <w:color w:val="0000EE"/>
        </w:rPr>
      </w:pPr>
    </w:p>
    <w:p>
      <w:pPr>
        <w:jc w:val="both"/>
        <w:ind w:left="700" w:hanging="356"/>
        <w:spacing w:after="0" w:line="264" w:lineRule="auto"/>
        <w:tabs>
          <w:tab w:leader="none" w:pos="700" w:val="left"/>
        </w:tabs>
        <w:numPr>
          <w:ilvl w:val="0"/>
          <w:numId w:val="15"/>
        </w:numPr>
        <w:rPr>
          <w:rFonts w:ascii="Arial" w:cs="Arial" w:eastAsia="Arial" w:hAnsi="Arial"/>
          <w:sz w:val="18"/>
          <w:szCs w:val="18"/>
          <w:color w:val="0000EE"/>
        </w:rPr>
      </w:pPr>
      <w:r>
        <w:rPr>
          <w:rFonts w:ascii="Arial" w:cs="Arial" w:eastAsia="Arial" w:hAnsi="Arial"/>
          <w:sz w:val="18"/>
          <w:szCs w:val="18"/>
          <w:color w:val="auto"/>
        </w:rPr>
        <w:t xml:space="preserve">our Quarterly Reports on Form 10-Q, as amended, for the quarters ended March 31, 2018, June 30, 2018 and September </w:t>
      </w:r>
      <w:hyperlink r:id="rId60">
        <w:r>
          <w:rPr>
            <w:rFonts w:ascii="Arial" w:cs="Arial" w:eastAsia="Arial" w:hAnsi="Arial"/>
            <w:sz w:val="18"/>
            <w:szCs w:val="18"/>
            <w:color w:val="auto"/>
          </w:rPr>
          <w:t xml:space="preserve">30, 2018, filed with the SEC on </w:t>
        </w:r>
        <w:r>
          <w:rPr>
            <w:rFonts w:ascii="Arial" w:cs="Arial" w:eastAsia="Arial" w:hAnsi="Arial"/>
            <w:sz w:val="18"/>
            <w:szCs w:val="18"/>
            <w:u w:val="single" w:color="auto"/>
            <w:color w:val="0000EE"/>
          </w:rPr>
          <w:t>May 14, 2018</w:t>
        </w:r>
        <w:r>
          <w:rPr>
            <w:rFonts w:ascii="Arial" w:cs="Arial" w:eastAsia="Arial" w:hAnsi="Arial"/>
            <w:sz w:val="18"/>
            <w:szCs w:val="18"/>
            <w:color w:val="auto"/>
          </w:rPr>
          <w:t xml:space="preserve"> (as amended on </w:t>
        </w:r>
        <w:r>
          <w:rPr>
            <w:rFonts w:ascii="Arial" w:cs="Arial" w:eastAsia="Arial" w:hAnsi="Arial"/>
            <w:sz w:val="18"/>
            <w:szCs w:val="18"/>
            <w:u w:val="single" w:color="auto"/>
            <w:color w:val="0000EE"/>
          </w:rPr>
          <w:t>October 15, 2018</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August 9, 2018</w:t>
        </w:r>
        <w:r>
          <w:rPr>
            <w:rFonts w:ascii="Arial" w:cs="Arial" w:eastAsia="Arial" w:hAnsi="Arial"/>
            <w:sz w:val="18"/>
            <w:szCs w:val="18"/>
            <w:color w:val="auto"/>
          </w:rPr>
          <w:t xml:space="preserve"> (as amended on </w:t>
        </w:r>
        <w:r>
          <w:rPr>
            <w:rFonts w:ascii="Arial" w:cs="Arial" w:eastAsia="Arial" w:hAnsi="Arial"/>
            <w:sz w:val="18"/>
            <w:szCs w:val="18"/>
            <w:u w:val="single" w:color="auto"/>
            <w:color w:val="0000EE"/>
          </w:rPr>
          <w:t>October</w:t>
        </w:r>
      </w:hyperlink>
      <w:r>
        <w:rPr>
          <w:rFonts w:ascii="Arial" w:cs="Arial" w:eastAsia="Arial" w:hAnsi="Arial"/>
          <w:sz w:val="18"/>
          <w:szCs w:val="18"/>
          <w:color w:val="auto"/>
        </w:rPr>
        <w:t xml:space="preserve"> </w:t>
      </w:r>
      <w:hyperlink r:id="rId60">
        <w:r>
          <w:rPr>
            <w:rFonts w:ascii="Arial" w:cs="Arial" w:eastAsia="Arial" w:hAnsi="Arial"/>
            <w:sz w:val="18"/>
            <w:szCs w:val="18"/>
            <w:u w:val="single" w:color="auto"/>
            <w:color w:val="0000EE"/>
          </w:rPr>
          <w:t>15, 2018</w:t>
        </w:r>
        <w:r>
          <w:rPr>
            <w:rFonts w:ascii="Arial" w:cs="Arial" w:eastAsia="Arial" w:hAnsi="Arial"/>
            <w:sz w:val="18"/>
            <w:szCs w:val="18"/>
            <w:color w:val="000000"/>
          </w:rPr>
          <w:t>) and</w:t>
        </w:r>
        <w:r>
          <w:rPr>
            <w:rFonts w:ascii="Arial" w:cs="Arial" w:eastAsia="Arial" w:hAnsi="Arial"/>
            <w:sz w:val="18"/>
            <w:szCs w:val="18"/>
            <w:color w:val="0000EE"/>
          </w:rPr>
          <w:t xml:space="preserve"> </w:t>
        </w:r>
      </w:hyperlink>
      <w:hyperlink r:id="rId61">
        <w:r>
          <w:rPr>
            <w:rFonts w:ascii="Arial" w:cs="Arial" w:eastAsia="Arial" w:hAnsi="Arial"/>
            <w:sz w:val="18"/>
            <w:szCs w:val="18"/>
            <w:u w:val="single" w:color="auto"/>
            <w:color w:val="0000EE"/>
          </w:rPr>
          <w:t>November 14, 2018</w:t>
        </w:r>
      </w:hyperlink>
      <w:hyperlink r:id="rId60">
        <w:r>
          <w:rPr>
            <w:rFonts w:ascii="Arial" w:cs="Arial" w:eastAsia="Arial" w:hAnsi="Arial"/>
            <w:sz w:val="18"/>
            <w:szCs w:val="18"/>
            <w:color w:val="000000"/>
          </w:rPr>
          <w:t>, respectively; and</w:t>
        </w:r>
      </w:hyperlink>
    </w:p>
    <w:p>
      <w:pPr>
        <w:spacing w:after="0" w:line="73" w:lineRule="exact"/>
        <w:rPr>
          <w:rFonts w:ascii="Arial" w:cs="Arial" w:eastAsia="Arial" w:hAnsi="Arial"/>
          <w:sz w:val="18"/>
          <w:szCs w:val="18"/>
          <w:color w:val="0000EE"/>
        </w:rPr>
      </w:pPr>
    </w:p>
    <w:p>
      <w:pPr>
        <w:ind w:left="700" w:hanging="356"/>
        <w:spacing w:after="0" w:line="277"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with the SEC on </w:t>
      </w:r>
      <w:hyperlink r:id="rId62">
        <w:r>
          <w:rPr>
            <w:rFonts w:ascii="Arial" w:cs="Arial" w:eastAsia="Arial" w:hAnsi="Arial"/>
            <w:sz w:val="18"/>
            <w:szCs w:val="18"/>
            <w:u w:val="single" w:color="auto"/>
            <w:color w:val="0000EE"/>
          </w:rPr>
          <w:t>January 16, 2018</w:t>
        </w:r>
      </w:hyperlink>
      <w:r>
        <w:rPr>
          <w:rFonts w:ascii="Arial" w:cs="Arial" w:eastAsia="Arial" w:hAnsi="Arial"/>
          <w:sz w:val="18"/>
          <w:szCs w:val="18"/>
          <w:color w:val="auto"/>
        </w:rPr>
        <w:t xml:space="preserve">, </w:t>
      </w:r>
      <w:hyperlink r:id="rId63">
        <w:r>
          <w:rPr>
            <w:rFonts w:ascii="Arial" w:cs="Arial" w:eastAsia="Arial" w:hAnsi="Arial"/>
            <w:sz w:val="18"/>
            <w:szCs w:val="18"/>
            <w:u w:val="single" w:color="auto"/>
            <w:color w:val="0000EE"/>
          </w:rPr>
          <w:t>January 22, 2018</w:t>
        </w:r>
      </w:hyperlink>
      <w:r>
        <w:rPr>
          <w:rFonts w:ascii="Arial" w:cs="Arial" w:eastAsia="Arial" w:hAnsi="Arial"/>
          <w:sz w:val="18"/>
          <w:szCs w:val="18"/>
          <w:color w:val="auto"/>
        </w:rPr>
        <w:t xml:space="preserve">, </w:t>
      </w:r>
      <w:hyperlink r:id="rId64">
        <w:r>
          <w:rPr>
            <w:rFonts w:ascii="Arial" w:cs="Arial" w:eastAsia="Arial" w:hAnsi="Arial"/>
            <w:sz w:val="18"/>
            <w:szCs w:val="18"/>
            <w:u w:val="single" w:color="auto"/>
            <w:color w:val="0000EE"/>
          </w:rPr>
          <w:t>May 1, 2018</w:t>
        </w:r>
      </w:hyperlink>
      <w:r>
        <w:rPr>
          <w:rFonts w:ascii="Arial" w:cs="Arial" w:eastAsia="Arial" w:hAnsi="Arial"/>
          <w:sz w:val="18"/>
          <w:szCs w:val="18"/>
          <w:color w:val="auto"/>
        </w:rPr>
        <w:t xml:space="preserve">, </w:t>
      </w:r>
      <w:hyperlink r:id="rId65">
        <w:r>
          <w:rPr>
            <w:rFonts w:ascii="Arial" w:cs="Arial" w:eastAsia="Arial" w:hAnsi="Arial"/>
            <w:sz w:val="18"/>
            <w:szCs w:val="18"/>
            <w:u w:val="single" w:color="auto"/>
            <w:color w:val="0000EE"/>
          </w:rPr>
          <w:t>June 20, 2018</w:t>
        </w:r>
      </w:hyperlink>
      <w:r>
        <w:rPr>
          <w:rFonts w:ascii="Arial" w:cs="Arial" w:eastAsia="Arial" w:hAnsi="Arial"/>
          <w:sz w:val="18"/>
          <w:szCs w:val="18"/>
          <w:color w:val="auto"/>
        </w:rPr>
        <w:t xml:space="preserve"> and </w:t>
      </w:r>
      <w:hyperlink r:id="rId66">
        <w:r>
          <w:rPr>
            <w:rFonts w:ascii="Arial" w:cs="Arial" w:eastAsia="Arial" w:hAnsi="Arial"/>
            <w:sz w:val="18"/>
            <w:szCs w:val="18"/>
            <w:u w:val="single" w:color="auto"/>
            <w:color w:val="0000EE"/>
          </w:rPr>
          <w:t>July 3, 2018</w:t>
        </w:r>
      </w:hyperlink>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80"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You may request a free copy of any of the documents incorporated by reference in this prospectus by writing or telephoning us at the following address: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ACM Research,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42307 Osgood Road, Suite 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Fremont, California</w:t>
      </w:r>
    </w:p>
    <w:p>
      <w:pPr>
        <w:spacing w:after="0" w:line="9" w:lineRule="exact"/>
        <w:rPr>
          <w:sz w:val="20"/>
          <w:szCs w:val="20"/>
          <w:color w:val="auto"/>
        </w:rPr>
      </w:pPr>
    </w:p>
    <w:p>
      <w:pPr>
        <w:ind w:left="4640" w:hanging="428"/>
        <w:spacing w:after="0"/>
        <w:tabs>
          <w:tab w:leader="none" w:pos="4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445-3700</w:t>
      </w:r>
    </w:p>
    <w:p>
      <w:pPr>
        <w:spacing w:after="0" w:line="9" w:lineRule="exact"/>
        <w:rPr>
          <w:rFonts w:ascii="Arial" w:cs="Arial" w:eastAsia="Arial" w:hAnsi="Arial"/>
          <w:sz w:val="18"/>
          <w:szCs w:val="18"/>
          <w:color w:val="auto"/>
        </w:rPr>
      </w:pPr>
    </w:p>
    <w:p>
      <w:pPr>
        <w:ind w:left="3720"/>
        <w:spacing w:after="0"/>
        <w:rPr>
          <w:rFonts w:ascii="Arial" w:cs="Arial" w:eastAsia="Arial" w:hAnsi="Arial"/>
          <w:sz w:val="18"/>
          <w:szCs w:val="18"/>
          <w:color w:val="auto"/>
        </w:rPr>
      </w:pPr>
      <w:r>
        <w:rPr>
          <w:rFonts w:ascii="Arial" w:cs="Arial" w:eastAsia="Arial" w:hAnsi="Arial"/>
          <w:sz w:val="18"/>
          <w:szCs w:val="18"/>
          <w:color w:val="auto"/>
        </w:rPr>
        <w:t>Attention: Investor Relations</w:t>
      </w:r>
    </w:p>
    <w:p>
      <w:pPr>
        <w:spacing w:after="0" w:line="103"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Exhibits to the filings will not be sent, unless those exhibits have been specifically incorporated by reference in this prospectus or any accompanying prospectus supplement.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OUR COMPANY</w:t>
      </w:r>
    </w:p>
    <w:p>
      <w:pPr>
        <w:spacing w:after="0" w:line="121"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We, and our subsidiaries, primarily develop, manufacture and sell single-wafer wet cleaning equipment, which semiconductor manufacturers can use in numerous manufacturing steps to remove particles, contaminants and other random defects, and thereby improve product yield, in fabricating advanced integrated circuits.</w:t>
      </w:r>
    </w:p>
    <w:p>
      <w:pPr>
        <w:spacing w:after="0" w:line="73"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color w:val="auto"/>
        </w:rPr>
        <w:t>We incorporated in California in January 1998 and redomesticated in Delaware in November 2016. Our headquarters are located at 42307 Osgood Road, Suite I, Fremont, California 94539, where our telephone number is (510) 445-3700.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Investment in any securities offered pursuant to this prospectus and the applicable prospectus supplement involves risks. Before acquiring any of such securities, you should carefully consider the risk factors incorporated by reference to our most recent Annual Report on Form 10-K and any subsequent Quarterly Reports on Form 10-Q or Current Reports on Form 8-K filed by us, and all other information contained or incorporated by reference into this prospectus, as updated by our filings under the Exchange Act, and the risk factors and other information contained in the applicable prospectus supplement and any applicable free writing prospectus. The occurrence of any of these risks might cause you to lose all or part of your investment in the offered securities.</w:t>
      </w:r>
    </w:p>
    <w:p>
      <w:pPr>
        <w:spacing w:after="0" w:line="16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intend to use the net proceeds from the sale of securities as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right="20" w:firstLine="360"/>
        <w:spacing w:after="0" w:line="312" w:lineRule="auto"/>
        <w:rPr>
          <w:sz w:val="20"/>
          <w:szCs w:val="20"/>
          <w:color w:val="auto"/>
        </w:rPr>
      </w:pPr>
      <w:r>
        <w:rPr>
          <w:rFonts w:ascii="Arial" w:cs="Arial" w:eastAsia="Arial" w:hAnsi="Arial"/>
          <w:sz w:val="16"/>
          <w:szCs w:val="16"/>
          <w:color w:val="auto"/>
        </w:rPr>
        <w:t>As of December 1, 2018, our authorized capital stock consisted of 50,000,000 shares of Class A common stock, $0.0001 par value per share, 2,409,738 shares of Class B common stock, $0.0001 par value per share, and 10,000,000 shares of preferred stock, $0.0001 par value per share. Class A common stock and Class B common stock are referred to collectively as common stock.</w:t>
      </w:r>
    </w:p>
    <w:p>
      <w:pPr>
        <w:spacing w:after="0" w:line="39"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The following summary describes our capital stock, including material provisions of our charter, our bylaws and Delaware law. Because the following is only a summary, it does not contain all of the information that may be important to you. For a complete description, you should refer to our charter and bylaws, copies of which are incorporated by reference as exhibits to the registration statement of which this prospectus is a part.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Outstanding Shares and Options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1, 2018, there were:</w:t>
      </w:r>
    </w:p>
    <w:p>
      <w:pPr>
        <w:spacing w:after="0" w:line="117" w:lineRule="exact"/>
        <w:rPr>
          <w:sz w:val="20"/>
          <w:szCs w:val="20"/>
          <w:color w:val="auto"/>
        </w:rPr>
      </w:pPr>
    </w:p>
    <w:p>
      <w:pPr>
        <w:ind w:left="700" w:hanging="35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14,085,315 shares of Class A common stock outstanding, held of record by 88 stockholders;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3,739,503 shares of Class A common stock issuable upon exercise of outstanding stock options;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1,918,423 shares of Class B common stock outstanding, held of record by 35 stockholders.</w:t>
      </w:r>
    </w:p>
    <w:p>
      <w:pPr>
        <w:spacing w:after="0" w:line="11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Authorized but unissued shares of Class B common stock are not available for reissuance. The actual number of stockholders is greater than the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Except as otherwise required by Delaware law, at every annual or special meeting of stockholders, holders of Class B common stock are entitled to 20 votes per share and holders of Class A common stock are entitled to one vote per share. The holders of Class A common stock and Class B common stock vote together as a single class, unless otherwise required by law. Delaware law could require either holders of Class A common stock or Class B common stock to vote separately as a single class in the following circumstances:</w:t>
      </w:r>
    </w:p>
    <w:p>
      <w:pPr>
        <w:spacing w:after="0" w:line="80" w:lineRule="exact"/>
        <w:rPr>
          <w:sz w:val="20"/>
          <w:szCs w:val="20"/>
          <w:color w:val="auto"/>
        </w:rPr>
      </w:pPr>
    </w:p>
    <w:p>
      <w:pPr>
        <w:jc w:val="both"/>
        <w:ind w:left="700" w:hanging="356"/>
        <w:spacing w:after="0" w:line="264"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were to seek to amend our charter to increase the authorized number of shares of a class of stock, or to increase or decrease the per share par value of a class of stock, then that class would be required to vote separately to approve the proposed amendment;</w:t>
      </w:r>
    </w:p>
    <w:p>
      <w:pPr>
        <w:spacing w:after="0" w:line="73" w:lineRule="exact"/>
        <w:rPr>
          <w:rFonts w:ascii="Arial" w:cs="Arial" w:eastAsia="Arial" w:hAnsi="Arial"/>
          <w:sz w:val="18"/>
          <w:szCs w:val="18"/>
          <w:color w:val="auto"/>
        </w:rPr>
      </w:pPr>
    </w:p>
    <w:p>
      <w:pPr>
        <w:jc w:val="both"/>
        <w:ind w:left="700" w:hanging="356"/>
        <w:spacing w:after="0" w:line="264"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were to seek to amend our charter in a manner that alters or changes the powers, preferences or special rights of a class of stock in a manner that affected its holders adversely, then that class would be required to vote separately to approve the proposed amendment; and</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we were to seek to declare a dividend or distribution that would be disparate as between the two classes.</w:t>
      </w:r>
    </w:p>
    <w:p>
      <w:pPr>
        <w:spacing w:after="0" w:line="117" w:lineRule="exact"/>
        <w:rPr>
          <w:sz w:val="20"/>
          <w:szCs w:val="20"/>
          <w:color w:val="auto"/>
        </w:rPr>
      </w:pPr>
    </w:p>
    <w:p>
      <w:pPr>
        <w:jc w:val="both"/>
        <w:ind w:right="20" w:firstLine="360"/>
        <w:spacing w:after="0" w:line="297" w:lineRule="auto"/>
        <w:rPr>
          <w:sz w:val="20"/>
          <w:szCs w:val="20"/>
          <w:color w:val="auto"/>
        </w:rPr>
      </w:pPr>
      <w:r>
        <w:rPr>
          <w:rFonts w:ascii="Arial" w:cs="Arial" w:eastAsia="Arial" w:hAnsi="Arial"/>
          <w:sz w:val="16"/>
          <w:szCs w:val="16"/>
          <w:color w:val="auto"/>
        </w:rPr>
        <w:t>Stockholders do not have the ability to cumulate votes for the election of directors. Our charter and bylaws that will be in effect upon completion of this offering will provide for a classified board of directors consisting of three classes of approximately equal size, each serving staggered three-year terms, when the outstanding shares of Class B common stock represent less than a majority of the combined voting power of the common stock. Our directors will be assigned by the then-current board to a class when the outstanding shares of Class B common stock represent less than a majority of the combined voting power of the common stock.</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Subject to preferences that may be applicable to any then outstanding preferred stock, the holders of our outstanding shares of common stock are entitled to receive dividends, if any, as may be declared from time to time by the board of directors out of legally available funds. The holders of Class A common stock and Class B common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are entitled to share equally, identically and ratably, on a per share basis, with respect to any dividend or distribution unless different treatment of the shares of each such class is approved by the affirmative vote of the holders of a majority of the outstanding shares of Class A common stock and Class B common stock, each voting separately as a class. At present, we have no plans to issue dividends.</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Liquidation</w:t>
      </w:r>
    </w:p>
    <w:p>
      <w:pPr>
        <w:spacing w:after="0" w:line="117"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7"/>
          <w:szCs w:val="17"/>
          <w:color w:val="auto"/>
        </w:rPr>
        <w:t>Each outstanding share of Class B common stock is convertible into one share of Class A common stock (a) at any time, at the option of the holder, or (b) upon any transfer of such share of Class B common stock, whether or not for value, except for certain transfers described in our charter, including transfers to family members, trusts solely for the benefit of the stockholder or their family members, and partnerships, corporations, and other entities exclusively owned by the stockholder or their family members. In addition, on or after the date of this prospectus, all outstanding shares of Class B common stock will convert automatically into shares of Class A common stock, on a one for one basis, upon (a) the election of the holders of a majority of the then outstanding shares of Class B common stock or (b) on the first December 31 that occurs more than five years after the date of this prospectus if the October Market Cap with respect to the month of October immediately preceding such December 31 exceeds $1.0 billion, provided that the conversion provided by this clause (b) shall not apply and no automatic conversion of Class B common stock into Class A common stock will ever occur pursuant to this clause (b) if the October Market Cap for the month of October immediately preceding a December 31 exceeds $1.0 billion prior to the fifth anniversary of the date of this prospectus. For purposes of this paragraph, “October Market Cap” means, with respect to any October throughout which Class A common stock is traded on a registered securities exchange, the product of the average of the daily volume weighted average trading prices of Class A common stock for each of the days in such month of October multiplied by the number of shares of common stock outstanding on the last trading day of such month of October. Once converted or transferred and converted into Class A common stock, shares of Class B common stock will not be reissued.</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Other Rights and Preferences</w:t>
      </w:r>
    </w:p>
    <w:p>
      <w:pPr>
        <w:spacing w:after="0" w:line="11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Other than as described above, holders of common stock have no preemptive, conversion or subscription rights, and there are no redemption or sinking fund provisions applicable to common stock. The rights, preferences and privileges of the holders of common stock are subject to, and may be adversely affected by, the rights of the holders of shares of any series of preferred stock that we may designate and issue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8"/>
          <w:szCs w:val="18"/>
          <w:color w:val="auto"/>
        </w:rPr>
        <w:t>Under the terms of our charter, the board of directors is authorized to issue up to 10,000,000 shares of preferred stock in one or more series, to establish the number of shares to be included in each such series, and to fix the designation, powers, preferences and rights of such shares and any qualifications, limitations or restrictions thereof. These rights, preferences and privileges could include dividend rights, conversion rights, voting rights, terms of redemption, liquidation preferences, sinking fund terms and other provisions, any or all of which may be greater than the rights of common stock. The issuance of preferred stock with voting and conversion rights may adversely affect the voting power of the holders of common stock, including the loss of voting control to others, and the likelihood that such holders will receive dividend payments and payments upon our liquidation. In addition, the issuance of preferred stock could have the effect of delaying, deferring or preventing a change in control of our company or other corporate 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right="20" w:firstLine="360"/>
        <w:spacing w:after="0" w:line="286" w:lineRule="auto"/>
        <w:rPr>
          <w:sz w:val="20"/>
          <w:szCs w:val="20"/>
          <w:color w:val="auto"/>
        </w:rPr>
      </w:pPr>
      <w:r>
        <w:rPr>
          <w:rFonts w:ascii="Arial" w:cs="Arial" w:eastAsia="Arial" w:hAnsi="Arial"/>
          <w:sz w:val="17"/>
          <w:szCs w:val="17"/>
          <w:color w:val="auto"/>
        </w:rPr>
        <w:t>Under our registration rights agreement with certain of our stockholders, based on the number of shares outstanding as of December 1, 2018, stockholders, or their transferees, have the right, under specified circumstances, to require us to register from time to time under the Securities Act of 1933, or the Securities Act, up to 2,950,697 shares of Class A common stock.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following description of the terms of the registration rights agreement is intended as a summary only and is qualified in its entirety by reference to the registration rights agreement filed with the SEC on and is incorporated by reference as an exhibit to the registration statement of which this prospectus is a part.</w:t>
      </w:r>
    </w:p>
    <w:p>
      <w:pPr>
        <w:spacing w:after="0" w:line="73" w:lineRule="exact"/>
        <w:rPr>
          <w:sz w:val="20"/>
          <w:szCs w:val="20"/>
          <w:color w:val="auto"/>
        </w:rPr>
      </w:pPr>
    </w:p>
    <w:p>
      <w:pPr>
        <w:jc w:val="both"/>
        <w:ind w:left="700" w:hanging="356"/>
        <w:spacing w:after="0" w:line="287" w:lineRule="auto"/>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Demand Registration Rights</w:t>
      </w:r>
      <w:r>
        <w:rPr>
          <w:rFonts w:ascii="Arial" w:cs="Arial" w:eastAsia="Arial" w:hAnsi="Arial"/>
          <w:sz w:val="16"/>
          <w:szCs w:val="16"/>
          <w:color w:val="auto"/>
        </w:rPr>
        <w:t>. Any time at least 90 days after the date of this prospectus, on no more than four occasions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no more than one occasion in any six-month period, Xinxin (Hongkong) Capital Co., Limited and Victorious Way Limited will have the right to request that we register with the SEC (a) on a registration statement on Form S-1, (i) all or a portion of the shares registrable under the registration rights agreement reasonably anticipated to have an aggregate offering price of at least $7,500,000 or (ii) all of the registrable shares then held by Xinxin (Hongkong) Capital Co., Limited and Victorious Way Limited or (b) on a registration statement on Form S-3, (i) all or a portion of the shares registrable under the registration rights agreement reasonably anticipated to have an aggregate offering price of at least $3,750,000 or (ii) all of the registrable shares then held by Xinxin (Hongkong) Capital Co., Limited and Victorious Way Limited. Following such a request, the other holders of registrable shares will have the right to request that we include in such registration statement all or a portion of their registrable shares. Such demand registration rights are held by Xinxin (Hongkong) Capital Co., Limited and Victorious Way Limited and granting demand registration rights to any other holders will require the consent of Xinxin (Hongkong) Capital Co., Limited and Victorious Way Limited.</w:t>
      </w:r>
    </w:p>
    <w:p>
      <w:pPr>
        <w:spacing w:after="0" w:line="60" w:lineRule="exact"/>
        <w:rPr>
          <w:rFonts w:ascii="Arial" w:cs="Arial" w:eastAsia="Arial" w:hAnsi="Arial"/>
          <w:sz w:val="16"/>
          <w:szCs w:val="16"/>
          <w:color w:val="auto"/>
        </w:rPr>
      </w:pPr>
    </w:p>
    <w:p>
      <w:pPr>
        <w:jc w:val="both"/>
        <w:ind w:left="700" w:hanging="356"/>
        <w:spacing w:after="0" w:line="264"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Incidental Registration Rights</w:t>
      </w:r>
      <w:r>
        <w:rPr>
          <w:rFonts w:ascii="Arial" w:cs="Arial" w:eastAsia="Arial" w:hAnsi="Arial"/>
          <w:sz w:val="18"/>
          <w:szCs w:val="18"/>
          <w:color w:val="auto"/>
        </w:rPr>
        <w:t>. If we propose to register shares of Class A common stock under the Securities Act on a</w:t>
      </w:r>
      <w:r>
        <w:rPr>
          <w:rFonts w:ascii="Arial" w:cs="Arial" w:eastAsia="Arial" w:hAnsi="Arial"/>
          <w:sz w:val="18"/>
          <w:szCs w:val="18"/>
          <w:i w:val="1"/>
          <w:iCs w:val="1"/>
          <w:color w:val="auto"/>
        </w:rPr>
        <w:t xml:space="preserve"> </w:t>
      </w:r>
      <w:r>
        <w:rPr>
          <w:rFonts w:ascii="Arial" w:cs="Arial" w:eastAsia="Arial" w:hAnsi="Arial"/>
          <w:sz w:val="18"/>
          <w:szCs w:val="18"/>
          <w:color w:val="auto"/>
        </w:rPr>
        <w:t>form that may be used for the registration of eligible shares, the holders may request that we register all or a portion of the eligible shares they held by them.</w:t>
      </w:r>
    </w:p>
    <w:p>
      <w:pPr>
        <w:spacing w:after="0" w:line="73"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7"/>
          <w:szCs w:val="17"/>
          <w:color w:val="auto"/>
        </w:rPr>
        <w:t>In the event that any registration in which the holders of eligible shares participate pursuant to the registration rights agreement is an underwritten public offering, the number of eligible shares to be included may, in specified circumstances, be limited due to market conditions. If the underwriter determines that less than all of the eligible shares proposed to be sold can be included in such offering, then eligible shares held by executive officers shall only be included in such offering if all the holders that are not executive officers are able to register all of the eligible shares proposed to be sold in such registration.</w:t>
      </w:r>
    </w:p>
    <w:p>
      <w:pPr>
        <w:spacing w:after="0" w:line="64"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Under the registration rights agreement, we generally are required to pay all registration expenses other than underwriting discounts and selling commissions and we are required to indemnify each participating holder with respect to each registration of eligible shares that is completed.</w:t>
      </w:r>
    </w:p>
    <w:p>
      <w:pPr>
        <w:spacing w:after="0" w:line="73"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For further information on our registration rights agreement, you should refer to second amended and restated registration rights agreement, a copy of which is incorporated by reference as an exhibit to the registration statement of which this prospectus is a part.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w:t>
      </w:r>
    </w:p>
    <w:p>
      <w:pPr>
        <w:spacing w:after="0" w:line="121"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So long as the outstanding shares of Class B common stock represent a majority of the combined voting power of common stock, the holders of Class B common stock will effectively control all matters submitted to our stockholders for a vote, as well as the overall management and direction of our company, which will have the effect of delaying, deferring or discouraging another person from acquiring control of our company.</w:t>
      </w:r>
    </w:p>
    <w:p>
      <w:pPr>
        <w:spacing w:after="0" w:line="7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After such time as the shares of Class B common stock no longer represent a majority of the combined voting power of common stock, the provisions of Delaware law, and our charter and our bylaws may have the effect of delaying, deferring or discouraging another person from acquiring control of our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Law</w:t>
      </w:r>
    </w:p>
    <w:p>
      <w:pPr>
        <w:spacing w:after="0" w:line="121"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Section 203 of the Delaware General Corporation Law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63" w:lineRule="exact"/>
        <w:rPr>
          <w:sz w:val="20"/>
          <w:szCs w:val="20"/>
          <w:color w:val="auto"/>
        </w:rPr>
      </w:pPr>
    </w:p>
    <w:p>
      <w:pPr>
        <w:ind w:left="700" w:hanging="356"/>
        <w:spacing w:after="0" w:line="27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transaction is approved by the board of directors prior to the time that the interested stockholder became an interested stockholder;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00" w:hanging="356"/>
        <w:spacing w:after="0" w:line="264"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stockholder’s becoming an interested stockholder, the interested stockholder owned at least 85% of the voting stock of the corporation outstanding at the time the transaction commenced, excluding stock owned by directors who are also officers of the corporation; or</w:t>
      </w:r>
    </w:p>
    <w:p>
      <w:pPr>
        <w:spacing w:after="0" w:line="73" w:lineRule="exact"/>
        <w:rPr>
          <w:rFonts w:ascii="Arial" w:cs="Arial" w:eastAsia="Arial" w:hAnsi="Arial"/>
          <w:sz w:val="18"/>
          <w:szCs w:val="18"/>
          <w:color w:val="auto"/>
        </w:rPr>
      </w:pPr>
    </w:p>
    <w:p>
      <w:pPr>
        <w:jc w:val="both"/>
        <w:ind w:left="700" w:hanging="356"/>
        <w:spacing w:after="0" w:line="264" w:lineRule="auto"/>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subsequent to such time that the stockholder became an interested stockholder the business combination is approved by the board and authorized at an annual or special meeting of stockholders by at least two-thirds of the outstanding voting stock that is not owned by the interested stockholder.</w:t>
      </w:r>
    </w:p>
    <w:p>
      <w:pPr>
        <w:spacing w:after="0" w:line="73"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charter or an express provision in its charter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Charter and Bylaw Provisions</w:t>
      </w:r>
    </w:p>
    <w:p>
      <w:pPr>
        <w:spacing w:after="0" w:line="12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Our charter and bylaws include a number of provisions that may have the effect of deterring hostile takeovers or delaying or preventing changes in control of our company, even after such time as the shares of Class B common stock no longer represent a majority of the combined voting power of common stock, including the following:</w:t>
      </w:r>
    </w:p>
    <w:p>
      <w:pPr>
        <w:spacing w:after="0" w:line="73" w:lineRule="exact"/>
        <w:rPr>
          <w:sz w:val="20"/>
          <w:szCs w:val="20"/>
          <w:color w:val="auto"/>
        </w:rPr>
      </w:pPr>
    </w:p>
    <w:p>
      <w:pPr>
        <w:jc w:val="both"/>
        <w:ind w:left="700" w:right="20" w:hanging="356"/>
        <w:spacing w:after="0" w:line="297"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Separate Class B Vote for Certain Transactions</w:t>
      </w:r>
      <w:r>
        <w:rPr>
          <w:rFonts w:ascii="Arial" w:cs="Arial" w:eastAsia="Arial" w:hAnsi="Arial"/>
          <w:sz w:val="16"/>
          <w:szCs w:val="16"/>
          <w:color w:val="auto"/>
        </w:rPr>
        <w:t>. Until the first date on which the outstanding shares of Class B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represent less than 35% of the combined voting power of common stock, any transaction that would result in a change in control of our company will require the approval of a majority of our outstanding Class B common stock voting as a separate class. This provision could delay or prevent the approval of a change in control that might otherwise be approved by a majority of outstanding shares of Class A and Class B common stock, voting together on a combined basis.</w:t>
      </w:r>
    </w:p>
    <w:p>
      <w:pPr>
        <w:spacing w:after="0" w:line="50" w:lineRule="exact"/>
        <w:rPr>
          <w:rFonts w:ascii="Arial" w:cs="Arial" w:eastAsia="Arial" w:hAnsi="Arial"/>
          <w:sz w:val="16"/>
          <w:szCs w:val="16"/>
          <w:color w:val="auto"/>
        </w:rPr>
      </w:pPr>
    </w:p>
    <w:p>
      <w:pPr>
        <w:jc w:val="both"/>
        <w:ind w:left="700" w:right="20" w:hanging="356"/>
        <w:spacing w:after="0" w:line="25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Dual Class Stoc</w:t>
      </w:r>
      <w:r>
        <w:rPr>
          <w:rFonts w:ascii="Arial" w:cs="Arial" w:eastAsia="Arial" w:hAnsi="Arial"/>
          <w:sz w:val="18"/>
          <w:szCs w:val="18"/>
          <w:color w:val="auto"/>
        </w:rPr>
        <w:t>k. As described above in “—Common Stock—Voting Rights,” our charter provides for a dual class</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structure, which provides certain members of our senior management with the ability to control the outcome of matters requiring stockholder approval, even if they collectively own significantly less than a majority of the shares of our outstanding Class A and Class B common stock, including the election of directors and significant corporate transactions, such as a merger or other sale of our company or its assets.</w:t>
      </w:r>
    </w:p>
    <w:p>
      <w:pPr>
        <w:spacing w:after="0" w:line="80" w:lineRule="exact"/>
        <w:rPr>
          <w:rFonts w:ascii="Arial" w:cs="Arial" w:eastAsia="Arial" w:hAnsi="Arial"/>
          <w:sz w:val="18"/>
          <w:szCs w:val="18"/>
          <w:color w:val="auto"/>
        </w:rPr>
      </w:pPr>
    </w:p>
    <w:p>
      <w:pPr>
        <w:jc w:val="both"/>
        <w:ind w:left="700" w:hanging="356"/>
        <w:spacing w:after="0" w:line="25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Supermajority Approvals</w:t>
      </w:r>
      <w:r>
        <w:rPr>
          <w:rFonts w:ascii="Arial" w:cs="Arial" w:eastAsia="Arial" w:hAnsi="Arial"/>
          <w:sz w:val="18"/>
          <w:szCs w:val="18"/>
          <w:color w:val="auto"/>
        </w:rPr>
        <w:t>. Our charter and bylaws provide that when the outstanding shares of Class B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 less than a majority of the combined voting power of common stock, certain amendments to our charter or bylaws will require the approval of two-thirds of the combined vote of our then-outstanding shares of Class A and Class B common stock. This will have the effect of making it more difficult to amend our charter or bylaws to remove or modify certain provisions.</w:t>
      </w:r>
    </w:p>
    <w:p>
      <w:pPr>
        <w:spacing w:after="0" w:line="80" w:lineRule="exact"/>
        <w:rPr>
          <w:rFonts w:ascii="Arial" w:cs="Arial" w:eastAsia="Arial" w:hAnsi="Arial"/>
          <w:sz w:val="18"/>
          <w:szCs w:val="18"/>
          <w:color w:val="auto"/>
        </w:rPr>
      </w:pPr>
    </w:p>
    <w:p>
      <w:pPr>
        <w:jc w:val="both"/>
        <w:ind w:left="700" w:right="20" w:hanging="356"/>
        <w:spacing w:after="0" w:line="271" w:lineRule="auto"/>
        <w:tabs>
          <w:tab w:leader="none" w:pos="70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Board of Directors Vacancies</w:t>
      </w:r>
      <w:r>
        <w:rPr>
          <w:rFonts w:ascii="Arial" w:cs="Arial" w:eastAsia="Arial" w:hAnsi="Arial"/>
          <w:sz w:val="17"/>
          <w:szCs w:val="17"/>
          <w:color w:val="auto"/>
        </w:rPr>
        <w:t>. Our charter and bylaws provide that stockholders may fill vacant directorships. When the</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shares of Class B common stock represent less than a majority of the combined voting power of common stock, our charter and bylaws authorize only the board of directors to fill vacant directorships. In addition, the number of directors constituting the board is set only by resolution adopted by a majority vote of our entire board. These provisions restricting the filling of vacancies will prevent a stockholder from increasing the size of the board and gaining control of the board by filling the resulting vacancies with its own nominees. Our charter provides that directors may be removed with or without cause only by the affirmative vote of the holders of at least two-thirds of the votes that all of the stockholders would be entitled to cast in any annual election of directors.</w:t>
      </w:r>
    </w:p>
    <w:p>
      <w:pPr>
        <w:spacing w:after="0" w:line="70" w:lineRule="exact"/>
        <w:rPr>
          <w:rFonts w:ascii="Arial" w:cs="Arial" w:eastAsia="Arial" w:hAnsi="Arial"/>
          <w:sz w:val="17"/>
          <w:szCs w:val="17"/>
          <w:color w:val="auto"/>
        </w:rPr>
      </w:pPr>
    </w:p>
    <w:p>
      <w:pPr>
        <w:jc w:val="both"/>
        <w:ind w:left="700" w:hanging="356"/>
        <w:spacing w:after="0" w:line="255"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The board of directors is not currently classified. Our charter and bylaws provide that when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Class B common stock represent less than a majority of the combined voting power of common stock, the board will be classified into three classes of directors, each of which will hold office for a three-year term. In addition, thereafter, directors may be removed from the board with or without cause only by the affirmative vote of the holders of at least two-thirds of the voting power of the then-outstanding shares of Class A and Class B common stock. The existence of a classified board could delay a successful tender offeror from obtaining majority control of the board, and the prospect of that delay might deter a potential offeror.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700" w:hanging="356"/>
        <w:spacing w:after="0" w:line="270" w:lineRule="auto"/>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Stockholder Action; Special Meeting of Stockholders</w:t>
      </w:r>
      <w:r>
        <w:rPr>
          <w:rFonts w:ascii="Arial" w:cs="Arial" w:eastAsia="Arial" w:hAnsi="Arial"/>
          <w:sz w:val="17"/>
          <w:szCs w:val="17"/>
          <w:color w:val="auto"/>
        </w:rPr>
        <w:t>. Our charter provides that stockholders will be able to take action by</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consent. When the outstanding shares of Class B common stock represent less than a majority of the combined voting power of common stock, our stockholders will no longer be able to take action by written consent, and will only be able to take action at annual or special meetings of our stockholders. Stockholders will not be permitted to cumulate their votes for the election of directors. The absence of cumulative voting may make it more difficult for stockholders who own less than a majority in voting power to elect any directors to the board of directors. Our bylaws further provide that special meetings of our stockholders may be called only by the board, the chair of the board or our chief executive officer. A stockholder may not call a special meeting, which may delay the ability of our stockholders to force consideration of a proposal or for holders controlling a majority in voting power of our capital stock to take any action, including the removal of director.</w:t>
      </w:r>
    </w:p>
    <w:p>
      <w:pPr>
        <w:spacing w:after="0" w:line="69" w:lineRule="exact"/>
        <w:rPr>
          <w:rFonts w:ascii="Arial" w:cs="Arial" w:eastAsia="Arial" w:hAnsi="Arial"/>
          <w:sz w:val="17"/>
          <w:szCs w:val="17"/>
          <w:color w:val="auto"/>
        </w:rPr>
      </w:pPr>
    </w:p>
    <w:p>
      <w:pPr>
        <w:jc w:val="both"/>
        <w:ind w:left="700" w:hanging="356"/>
        <w:spacing w:after="0" w:line="297" w:lineRule="auto"/>
        <w:tabs>
          <w:tab w:leader="none" w:pos="70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Advance Notice Requirements for Stockholder Proposals and Director Nominations</w:t>
      </w:r>
      <w:r>
        <w:rPr>
          <w:rFonts w:ascii="Arial" w:cs="Arial" w:eastAsia="Arial" w:hAnsi="Arial"/>
          <w:sz w:val="16"/>
          <w:szCs w:val="16"/>
          <w:color w:val="auto"/>
        </w:rPr>
        <w:t>. Our bylaws provide advance notice</w:t>
      </w:r>
      <w:r>
        <w:rPr>
          <w:rFonts w:ascii="Arial" w:cs="Arial" w:eastAsia="Arial" w:hAnsi="Arial"/>
          <w:sz w:val="16"/>
          <w:szCs w:val="16"/>
          <w:i w:val="1"/>
          <w:iCs w:val="1"/>
          <w:color w:val="auto"/>
        </w:rPr>
        <w:t xml:space="preserve"> </w:t>
      </w:r>
      <w:r>
        <w:rPr>
          <w:rFonts w:ascii="Arial" w:cs="Arial" w:eastAsia="Arial" w:hAnsi="Arial"/>
          <w:sz w:val="16"/>
          <w:szCs w:val="16"/>
          <w:color w:val="auto"/>
        </w:rPr>
        <w:t>procedures for stockholders seeking to bring business before our annual meeting of stockholders, or to nominate candidates for election as directors at any meeting of stockholders. Our bylaws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50" w:lineRule="exact"/>
        <w:rPr>
          <w:rFonts w:ascii="Arial" w:cs="Arial" w:eastAsia="Arial" w:hAnsi="Arial"/>
          <w:sz w:val="16"/>
          <w:szCs w:val="16"/>
          <w:color w:val="auto"/>
        </w:rPr>
      </w:pPr>
    </w:p>
    <w:p>
      <w:pPr>
        <w:jc w:val="both"/>
        <w:ind w:left="700" w:hanging="356"/>
        <w:spacing w:after="0" w:line="25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Issuance of Undesignated Preferred Stock</w:t>
      </w:r>
      <w:r>
        <w:rPr>
          <w:rFonts w:ascii="Arial" w:cs="Arial" w:eastAsia="Arial" w:hAnsi="Arial"/>
          <w:sz w:val="18"/>
          <w:szCs w:val="18"/>
          <w:color w:val="auto"/>
        </w:rPr>
        <w:t>. The board of directors has the authority, without further action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to issue shares of undesignated preferred stock with rights and preferences, including voting rights, designated from time to time by the board. The existence of authorized but unissued shares of preferred stock enables the board to render more difficult or to discourage an attempt to obtain control of us by means of a merger, tender offer, proxy contest or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Our charter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our charter or bylaws; any action to interpret, apply, enforce, or determine the validity of our charter or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Class A common stock is listed on the Nasdaq Global Market under the symbol “ACMR.”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121" w:lineRule="exact"/>
        <w:rPr>
          <w:sz w:val="20"/>
          <w:szCs w:val="20"/>
          <w:color w:val="auto"/>
        </w:rPr>
      </w:pPr>
    </w:p>
    <w:p>
      <w:pPr>
        <w:jc w:val="both"/>
        <w:ind w:right="20" w:firstLine="360"/>
        <w:spacing w:after="0" w:line="257" w:lineRule="auto"/>
        <w:rPr>
          <w:sz w:val="20"/>
          <w:szCs w:val="20"/>
          <w:color w:val="auto"/>
        </w:rPr>
      </w:pPr>
      <w:r>
        <w:rPr>
          <w:rFonts w:ascii="Arial" w:cs="Arial" w:eastAsia="Arial" w:hAnsi="Arial"/>
          <w:sz w:val="18"/>
          <w:szCs w:val="18"/>
          <w:color w:val="auto"/>
        </w:rPr>
        <w:t>We may offer debt securities that are senior or subordinated. We refer to senior debt securities and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w:t>
      </w:r>
    </w:p>
    <w:p>
      <w:pPr>
        <w:spacing w:after="0" w:line="80"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7"/>
          <w:szCs w:val="17"/>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will be either filed as exhibits to the registration statement of which this prospectus forms a part or filed as exhibits to a Current Report on Form 8-K and incorporated by reference in such registration statement.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w:t>
      </w:r>
    </w:p>
    <w:p>
      <w:pPr>
        <w:spacing w:after="0" w:line="8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8"/>
          <w:szCs w:val="18"/>
          <w:color w:val="auto"/>
        </w:rPr>
        <w:t>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“—Certain Terms of Subordinated Debt Securities—Subordination.” The debt securities will be structurally subordinated to all existing and future indebtedness and other liabilities of our subsidiaries unless such subsidiaries expressly guarantee such debt securities. Because the debt securities will be our unsecured obligations, any secured debt or other secured obligations will be effectively senior to the debt securities to the extent of the value of the assets securing such debt or other obligations.</w:t>
      </w:r>
    </w:p>
    <w:p>
      <w:pPr>
        <w:spacing w:after="0" w:line="84"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applicable prospectus supplement and/or free writing prospectus will include any additional or different terms of the debt securities of any series being offered, including the following terms:</w:t>
      </w:r>
    </w:p>
    <w:p>
      <w:pPr>
        <w:spacing w:after="0" w:line="62" w:lineRule="exact"/>
        <w:rPr>
          <w:sz w:val="20"/>
          <w:szCs w:val="20"/>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title and type of the debt securities;</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 and, with respect to any subordinated debt securities the terms on which they are subordinated;</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initial aggregate principal amount of the debt securities;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price or prices at which we will sell the debt securities;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maturity date or dates of the debt securities and the right, if any, to extend such date or dates;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rate or rates, if any, at which the debt securities will bear interest, or the method of determining such rate or rates;</w:t>
      </w:r>
    </w:p>
    <w:p>
      <w:pPr>
        <w:spacing w:after="0" w:line="128" w:lineRule="exact"/>
        <w:rPr>
          <w:rFonts w:ascii="Arial" w:cs="Arial" w:eastAsia="Arial" w:hAnsi="Arial"/>
          <w:sz w:val="17"/>
          <w:szCs w:val="17"/>
          <w:color w:val="auto"/>
        </w:rPr>
      </w:pPr>
    </w:p>
    <w:p>
      <w:pPr>
        <w:ind w:left="700" w:right="20" w:hanging="356"/>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method of determination of such dates;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manner of paying principal and interest and the place or places where principal and interest will be payable;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provisions for a sinking fund, purchase fund or other analogous fund, if any;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redemption dates, prices, obligations and restrictions on the debt securities;</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currency, currencies or currency units in which the debt securities will be denominated and the currency, currencies or currency units in which principal and interest, if any, on the debt securities may be payable;</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conversion or exchange features of the debt securities;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debt securities will be subject to the defeasance provisions in the indenture;</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debt securities will be issued in definitive or global form or in definitive form only upon satisfaction of certain conditions;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whether the debt securities will be guaranteed as to payment or performance;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special tax implications of the debt securities;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events of default or covenants in addition to or in lieu of those set forth in the indenture;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other material terms of the debt securities.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When we refer to “principal” in this section with reference to debt securities, we are also referring to premium, if any.</w:t>
      </w:r>
    </w:p>
    <w:p>
      <w:pPr>
        <w:spacing w:after="0" w:line="129"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85"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Holders may present debt securities for exchange and may present debt securities for transfer in the manner, at the places and subject to the restrictions set forth in the debt securities and the applicable prospectus supplement. We will provide those services without charge, although a holder may have to pay any tax or other governmental charge payable in connection with any exchange or transfer, as set forth in the indenture.</w:t>
      </w:r>
    </w:p>
    <w:p>
      <w:pPr>
        <w:spacing w:after="0" w:line="79"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that are treated as having been issued at a discount for U.S. federal income tax purposes will be described in the applicable prospectus supplement.</w:t>
      </w:r>
    </w:p>
    <w:p>
      <w:pPr>
        <w:spacing w:after="0" w:line="80"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Senior Debt Securities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Covenants</w:t>
      </w:r>
    </w:p>
    <w:p>
      <w:pPr>
        <w:spacing w:after="0" w:line="117"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Unless we indicate otherwise in a prospectus supplement with respect to a particular series of senior debt securities, the senior debt securities will not contain any financial or restrictive covenants, including covenants restricting either us or any of our subsidiaries from incurring, issuing, assuming or guaranteeing any indebtedness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secured by a lien on any of our or our subsidiaries’ property or capital stock, or restricting either us or any of our subsidiaries from entering into sale and leaseback transactions.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Consolidation, Merger and Sale of Assets</w:t>
      </w:r>
    </w:p>
    <w:p>
      <w:pPr>
        <w:spacing w:after="0" w:line="117"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7"/>
          <w:szCs w:val="17"/>
          <w:color w:val="auto"/>
        </w:rPr>
        <w:t>Unless we indicate otherwise in a prospectus supplement with respect to a particular series of senior debt securities, we may not consolidate with or merge into any other person, in a transaction in which we are not the surviving corporation, or convey, transfer or lease our properties and assets substantially as an entirety to any person, in either case, unless:</w:t>
      </w:r>
    </w:p>
    <w:p>
      <w:pPr>
        <w:spacing w:after="0" w:line="57" w:lineRule="exact"/>
        <w:rPr>
          <w:sz w:val="20"/>
          <w:szCs w:val="20"/>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successor entity, if any, is a U.S. corporation, limited liability company, partnership or trust;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successor entity assumes our obligations on the senior debt securities and under the senior indenture;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no default or event of default shall have occurred and be continuing; and</w:t>
      </w:r>
    </w:p>
    <w:p>
      <w:pPr>
        <w:spacing w:after="0" w:line="140" w:lineRule="exact"/>
        <w:rPr>
          <w:rFonts w:ascii="Arial" w:cs="Arial" w:eastAsia="Arial" w:hAnsi="Arial"/>
          <w:sz w:val="16"/>
          <w:szCs w:val="16"/>
          <w:color w:val="auto"/>
        </w:rPr>
      </w:pPr>
    </w:p>
    <w:p>
      <w:pPr>
        <w:jc w:val="both"/>
        <w:ind w:left="700" w:hanging="356"/>
        <w:spacing w:after="0" w:line="259"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w:t>
      </w:r>
    </w:p>
    <w:p>
      <w:pPr>
        <w:spacing w:after="0" w:line="79"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w:t>
      </w:r>
    </w:p>
    <w:p>
      <w:pPr>
        <w:spacing w:after="0" w:line="79" w:lineRule="exact"/>
        <w:rPr>
          <w:sz w:val="20"/>
          <w:szCs w:val="20"/>
          <w:color w:val="auto"/>
        </w:rPr>
      </w:pPr>
    </w:p>
    <w:p>
      <w:pPr>
        <w:jc w:val="both"/>
        <w:ind w:right="20" w:firstLine="360"/>
        <w:spacing w:after="0" w:line="342" w:lineRule="auto"/>
        <w:rPr>
          <w:sz w:val="20"/>
          <w:szCs w:val="20"/>
          <w:color w:val="auto"/>
        </w:rPr>
      </w:pPr>
      <w:r>
        <w:rPr>
          <w:rFonts w:ascii="Arial" w:cs="Arial" w:eastAsia="Arial" w:hAnsi="Arial"/>
          <w:sz w:val="16"/>
          <w:szCs w:val="16"/>
          <w:color w:val="auto"/>
        </w:rPr>
        <w:t>The surviving business entity will succeed to, and be substituted for, us under the senior indenture and the senior debt securities and, except in the case of a lease, we shall be released from all obligations under the senior indenture and the senior debt securities.</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No Protection in the Event of a Change in Control</w:t>
      </w:r>
    </w:p>
    <w:p>
      <w:pPr>
        <w:spacing w:after="0" w:line="117"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6"/>
          <w:szCs w:val="16"/>
          <w:color w:val="auto"/>
        </w:rPr>
        <w:t>Unless we indicate otherwise in a prospectus supplement with respect to a particular series of senior 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Events of Default</w:t>
      </w:r>
    </w:p>
    <w:p>
      <w:pPr>
        <w:spacing w:after="0" w:line="117" w:lineRule="exact"/>
        <w:rPr>
          <w:sz w:val="20"/>
          <w:szCs w:val="20"/>
          <w:color w:val="auto"/>
        </w:rPr>
      </w:pPr>
    </w:p>
    <w:p>
      <w:pPr>
        <w:jc w:val="both"/>
        <w:ind w:firstLine="360"/>
        <w:spacing w:after="0" w:line="308" w:lineRule="auto"/>
        <w:rPr>
          <w:sz w:val="20"/>
          <w:szCs w:val="20"/>
          <w:color w:val="auto"/>
        </w:rPr>
      </w:pPr>
      <w:r>
        <w:rPr>
          <w:rFonts w:ascii="Arial" w:cs="Arial" w:eastAsia="Arial" w:hAnsi="Arial"/>
          <w:sz w:val="17"/>
          <w:szCs w:val="17"/>
          <w:color w:val="auto"/>
        </w:rPr>
        <w:t>Unless we indicate otherwise in a prospectus supplement with respect to a particular series of senior debt securities, the following are events of default under the senior indenture with respect to senior debt securities of each series:</w:t>
      </w:r>
    </w:p>
    <w:p>
      <w:pPr>
        <w:spacing w:after="0" w:line="38" w:lineRule="exact"/>
        <w:rPr>
          <w:sz w:val="20"/>
          <w:szCs w:val="20"/>
          <w:color w:val="auto"/>
        </w:rPr>
      </w:pPr>
    </w:p>
    <w:p>
      <w:pPr>
        <w:ind w:left="700" w:hanging="35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pay interest on any senior debt securities of such series when due and payable, if that default continues for a period of 30 days (or such other period as may be specified for such series);</w:t>
      </w:r>
    </w:p>
    <w:p>
      <w:pPr>
        <w:spacing w:after="0" w:line="62" w:lineRule="exact"/>
        <w:rPr>
          <w:rFonts w:ascii="Arial" w:cs="Arial" w:eastAsia="Arial" w:hAnsi="Arial"/>
          <w:sz w:val="18"/>
          <w:szCs w:val="18"/>
          <w:color w:val="auto"/>
        </w:rPr>
      </w:pPr>
    </w:p>
    <w:p>
      <w:pPr>
        <w:jc w:val="both"/>
        <w:ind w:left="700" w:hanging="356"/>
        <w:spacing w:after="0" w:line="264"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to pay principal on the senior debt securities of such series when due and payable whether at maturity, upon redemption, by declaration or otherwise (and, if specified for such series, the continuance of such failure for a specified period);</w:t>
      </w:r>
    </w:p>
    <w:p>
      <w:pPr>
        <w:spacing w:after="0" w:line="73" w:lineRule="exact"/>
        <w:rPr>
          <w:rFonts w:ascii="Arial" w:cs="Arial" w:eastAsia="Arial" w:hAnsi="Arial"/>
          <w:sz w:val="18"/>
          <w:szCs w:val="18"/>
          <w:color w:val="auto"/>
        </w:rPr>
      </w:pPr>
    </w:p>
    <w:p>
      <w:pPr>
        <w:jc w:val="both"/>
        <w:ind w:left="700" w:hanging="356"/>
        <w:spacing w:after="0" w:line="279" w:lineRule="auto"/>
        <w:tabs>
          <w:tab w:leader="none" w:pos="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default in the performance of or breach of any of our covenants or agreements in the senior indenture applicable to senior debt securities of such series, other than a covenant breach that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w:t>
      </w:r>
    </w:p>
    <w:p>
      <w:pPr>
        <w:spacing w:after="0" w:line="63" w:lineRule="exact"/>
        <w:rPr>
          <w:rFonts w:ascii="Arial" w:cs="Arial" w:eastAsia="Arial" w:hAnsi="Arial"/>
          <w:sz w:val="17"/>
          <w:szCs w:val="17"/>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events of bankruptcy or insolvency, whether or not voluntary; and</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other event of default provided for in such series of senior debt securities as may be specified in the applicable prospectus supplement.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default by us under any other debt, including any other series of debt securities, is not a default under the senior indenture.</w:t>
      </w:r>
    </w:p>
    <w:p>
      <w:pPr>
        <w:spacing w:after="0" w:line="140"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w:t>
      </w:r>
    </w:p>
    <w:p>
      <w:pPr>
        <w:spacing w:after="0" w:line="57" w:lineRule="exact"/>
        <w:rPr>
          <w:sz w:val="20"/>
          <w:szCs w:val="20"/>
          <w:color w:val="auto"/>
        </w:rPr>
      </w:pPr>
    </w:p>
    <w:p>
      <w:pPr>
        <w:jc w:val="both"/>
        <w:ind w:right="20" w:firstLine="360"/>
        <w:spacing w:after="0" w:line="342" w:lineRule="auto"/>
        <w:rPr>
          <w:sz w:val="20"/>
          <w:szCs w:val="20"/>
          <w:color w:val="auto"/>
        </w:rPr>
      </w:pPr>
      <w:r>
        <w:rPr>
          <w:rFonts w:ascii="Arial" w:cs="Arial" w:eastAsia="Arial" w:hAnsi="Arial"/>
          <w:sz w:val="16"/>
          <w:szCs w:val="16"/>
          <w:color w:val="auto"/>
        </w:rPr>
        <w:t>If an event of default specified in the fourth bullet point above occurs and is continuing, the entire principal amount of and accrued interest on each series of senior debt securities then outstanding shall automatically become immediately due and payable.</w:t>
      </w:r>
    </w:p>
    <w:p>
      <w:pPr>
        <w:spacing w:after="0" w:line="16"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w:t>
      </w:r>
    </w:p>
    <w:p>
      <w:pPr>
        <w:spacing w:after="0" w:line="73"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6"/>
          <w:szCs w:val="16"/>
          <w:color w:val="auto"/>
        </w:rPr>
        <w:t>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that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w:t>
      </w:r>
    </w:p>
    <w:p>
      <w:pPr>
        <w:spacing w:after="0" w:line="61"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w:t>
      </w:r>
    </w:p>
    <w:p>
      <w:pPr>
        <w:spacing w:after="0" w:line="59" w:lineRule="exact"/>
        <w:rPr>
          <w:sz w:val="20"/>
          <w:szCs w:val="20"/>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62"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trustee does not comply with the request within 60 days after receipt of the request and the offer of indemnity; and</w:t>
      </w:r>
    </w:p>
    <w:p>
      <w:pPr>
        <w:spacing w:after="0" w:line="128" w:lineRule="exact"/>
        <w:rPr>
          <w:rFonts w:ascii="Arial" w:cs="Arial" w:eastAsia="Arial" w:hAnsi="Arial"/>
          <w:sz w:val="17"/>
          <w:szCs w:val="17"/>
          <w:color w:val="auto"/>
        </w:rPr>
      </w:pPr>
    </w:p>
    <w:p>
      <w:pPr>
        <w:ind w:left="700" w:hanging="356"/>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such series of senior debt securities do not give the trustee a direction that is inconsistent with the request.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w:t>
      </w:r>
    </w:p>
    <w:p>
      <w:pPr>
        <w:spacing w:after="0" w:line="63"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The senior indenture requires certain of our officers to certify, on or before a fixed date in each year in which any senior debt security is outstanding, as to their knowledge of our compliance with all covenants, agreements and conditions under the senior indenture.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Satisfaction and Discharge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can satisfy and discharge our obligations to holders of any series of debt securities if:</w:t>
      </w:r>
    </w:p>
    <w:p>
      <w:pPr>
        <w:spacing w:after="0" w:line="117" w:lineRule="exact"/>
        <w:rPr>
          <w:sz w:val="20"/>
          <w:szCs w:val="20"/>
          <w:color w:val="auto"/>
        </w:rPr>
      </w:pPr>
    </w:p>
    <w:p>
      <w:pPr>
        <w:ind w:left="700" w:right="20" w:hanging="35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paid or caused to be paid the principal of and interest on all senior debt securities of such series (with certain limited exceptions) when due and payable; or</w:t>
      </w:r>
    </w:p>
    <w:p>
      <w:pPr>
        <w:spacing w:after="0" w:line="62"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deliver to the senior trustee for cancellation all senior debt securities of such series theretofore authenticated under the senior indenture (with certain limited exceptions); or</w:t>
      </w:r>
    </w:p>
    <w:p>
      <w:pPr>
        <w:spacing w:after="0" w:line="62" w:lineRule="exact"/>
        <w:rPr>
          <w:rFonts w:ascii="Arial" w:cs="Arial" w:eastAsia="Arial" w:hAnsi="Arial"/>
          <w:sz w:val="18"/>
          <w:szCs w:val="18"/>
          <w:color w:val="auto"/>
        </w:rPr>
      </w:pPr>
    </w:p>
    <w:p>
      <w:pPr>
        <w:jc w:val="both"/>
        <w:ind w:left="700" w:right="20" w:hanging="356"/>
        <w:spacing w:after="0" w:line="255"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 or</w:t>
      </w:r>
    </w:p>
    <w:p>
      <w:pPr>
        <w:spacing w:after="0" w:line="85" w:lineRule="exact"/>
        <w:rPr>
          <w:rFonts w:ascii="Arial" w:cs="Arial" w:eastAsia="Arial" w:hAnsi="Arial"/>
          <w:sz w:val="18"/>
          <w:szCs w:val="18"/>
          <w:color w:val="auto"/>
        </w:rPr>
      </w:pPr>
    </w:p>
    <w:p>
      <w:pPr>
        <w:jc w:val="both"/>
        <w:ind w:left="700" w:right="20" w:hanging="356"/>
        <w:spacing w:after="0" w:line="264"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w:t>
      </w:r>
    </w:p>
    <w:p>
      <w:pPr>
        <w:spacing w:after="0" w:line="73"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Defeasance</w:t>
      </w:r>
    </w:p>
    <w:p>
      <w:pPr>
        <w:spacing w:after="0" w:line="11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Unless the applicable prospectus supplement provides otherwise, the following discussion of legal defeasance and covenant defeasance will apply to any series of debt securities issued under the indentures.</w:t>
      </w:r>
    </w:p>
    <w:p>
      <w:pPr>
        <w:spacing w:after="0" w:line="62"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u w:val="single" w:color="auto"/>
          <w:color w:val="auto"/>
        </w:rPr>
        <w:t>Legal Defeasance</w:t>
      </w:r>
      <w:r>
        <w:rPr>
          <w:rFonts w:ascii="Arial" w:cs="Arial" w:eastAsia="Arial" w:hAnsi="Arial"/>
          <w:sz w:val="18"/>
          <w:szCs w:val="18"/>
          <w:color w:val="auto"/>
        </w:rPr>
        <w:t>. We can legally release ourselves from any payment or other obligations on the debt securities of any series, a procedure known as legal defeasance, if certain conditions are met, including the following:</w:t>
      </w:r>
    </w:p>
    <w:p>
      <w:pPr>
        <w:spacing w:after="0" w:line="62" w:lineRule="exact"/>
        <w:rPr>
          <w:sz w:val="20"/>
          <w:szCs w:val="20"/>
          <w:color w:val="auto"/>
        </w:rPr>
      </w:pPr>
    </w:p>
    <w:p>
      <w:pPr>
        <w:jc w:val="both"/>
        <w:ind w:left="700" w:hanging="356"/>
        <w:spacing w:after="0" w:line="257"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80" w:lineRule="exact"/>
        <w:rPr>
          <w:rFonts w:ascii="Arial" w:cs="Arial" w:eastAsia="Arial" w:hAnsi="Arial"/>
          <w:sz w:val="18"/>
          <w:szCs w:val="18"/>
          <w:color w:val="auto"/>
        </w:rPr>
      </w:pPr>
    </w:p>
    <w:p>
      <w:pPr>
        <w:jc w:val="both"/>
        <w:ind w:left="700" w:hanging="356"/>
        <w:spacing w:after="0" w:line="255" w:lineRule="auto"/>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w:t>
      </w:r>
    </w:p>
    <w:p>
      <w:pPr>
        <w:spacing w:after="0" w:line="85" w:lineRule="exact"/>
        <w:rPr>
          <w:rFonts w:ascii="Arial" w:cs="Arial" w:eastAsia="Arial" w:hAnsi="Arial"/>
          <w:sz w:val="18"/>
          <w:szCs w:val="18"/>
          <w:color w:val="auto"/>
        </w:rPr>
      </w:pPr>
    </w:p>
    <w:p>
      <w:pPr>
        <w:ind w:left="700" w:hanging="356"/>
        <w:spacing w:after="0"/>
        <w:tabs>
          <w:tab w:leader="none" w:pos="7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deliver to the trustee a legal opinion of our counsel confirming the tax law change or ruling described above.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If we accomplish legal defeasance, as described above, you would have to rely solely on the trust deposit for repayment of the debt securities. You could not look to us for repayment in the event of any shortfall.</w:t>
      </w:r>
    </w:p>
    <w:p>
      <w:pPr>
        <w:spacing w:after="0" w:line="62"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u w:val="single" w:color="auto"/>
          <w:color w:val="auto"/>
        </w:rPr>
        <w:t>Covenant Defeasance</w:t>
      </w:r>
      <w:r>
        <w:rPr>
          <w:rFonts w:ascii="Arial" w:cs="Arial" w:eastAsia="Arial" w:hAnsi="Arial"/>
          <w:sz w:val="16"/>
          <w:szCs w:val="16"/>
          <w:color w:val="auto"/>
        </w:rPr>
        <w:t>. Without any change in current U.S. federal tax law, we can make the same type of deposit described above and be released from some of the covenants in the debt securities, a procedure known as covenant defeasance. In that event, you would lose the protection of those covenants but would gain the protection of having money and securities set aside in trust to repay the debt securities. In order to achieve covenant defeasance, we must do the following (among other things):</w:t>
      </w:r>
    </w:p>
    <w:p>
      <w:pPr>
        <w:spacing w:after="0" w:line="46" w:lineRule="exact"/>
        <w:rPr>
          <w:sz w:val="20"/>
          <w:szCs w:val="20"/>
          <w:color w:val="auto"/>
        </w:rPr>
      </w:pPr>
    </w:p>
    <w:p>
      <w:pPr>
        <w:jc w:val="both"/>
        <w:ind w:left="700" w:right="20" w:hanging="356"/>
        <w:spacing w:after="0" w:line="257"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must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80" w:lineRule="exact"/>
        <w:rPr>
          <w:rFonts w:ascii="Arial" w:cs="Arial" w:eastAsia="Arial" w:hAnsi="Arial"/>
          <w:sz w:val="18"/>
          <w:szCs w:val="18"/>
          <w:color w:val="auto"/>
        </w:rPr>
      </w:pPr>
    </w:p>
    <w:p>
      <w:pPr>
        <w:jc w:val="both"/>
        <w:ind w:left="700" w:hanging="356"/>
        <w:spacing w:after="0" w:line="264" w:lineRule="auto"/>
        <w:tabs>
          <w:tab w:leader="none" w:pos="7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w:t>
      </w:r>
    </w:p>
    <w:p>
      <w:pPr>
        <w:spacing w:after="0" w:line="73"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Modification and Waiver</w:t>
      </w:r>
    </w:p>
    <w:p>
      <w:pPr>
        <w:spacing w:after="0" w:line="11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We and the trustee may amend or supplement the senior indenture or the senior debt securities of any series without the consent of any holder to:</w:t>
      </w:r>
    </w:p>
    <w:p>
      <w:pPr>
        <w:spacing w:after="0" w:line="62" w:lineRule="exact"/>
        <w:rPr>
          <w:sz w:val="20"/>
          <w:szCs w:val="20"/>
          <w:color w:val="auto"/>
        </w:rPr>
      </w:pPr>
    </w:p>
    <w:p>
      <w:pPr>
        <w:ind w:left="700" w:hanging="356"/>
        <w:spacing w:after="0"/>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convey, transfer, assign, mortgage or pledge any assets as security for the senior debt securities of one or more series;</w:t>
      </w:r>
    </w:p>
    <w:p>
      <w:pPr>
        <w:spacing w:after="0" w:line="140" w:lineRule="exact"/>
        <w:rPr>
          <w:rFonts w:ascii="Arial" w:cs="Arial" w:eastAsia="Arial" w:hAnsi="Arial"/>
          <w:sz w:val="16"/>
          <w:szCs w:val="16"/>
          <w:color w:val="auto"/>
        </w:rPr>
      </w:pPr>
    </w:p>
    <w:p>
      <w:pPr>
        <w:jc w:val="both"/>
        <w:ind w:left="700" w:hanging="356"/>
        <w:spacing w:after="0" w:line="264"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w:t>
      </w:r>
    </w:p>
    <w:p>
      <w:pPr>
        <w:spacing w:after="0" w:line="73"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comply with requirements of the SEC in order to effect or maintain the qualification of the senior indenture under the Trust Indenture Act of 1939;</w:t>
      </w:r>
    </w:p>
    <w:p>
      <w:pPr>
        <w:spacing w:after="0" w:line="62" w:lineRule="exact"/>
        <w:rPr>
          <w:rFonts w:ascii="Arial" w:cs="Arial" w:eastAsia="Arial" w:hAnsi="Arial"/>
          <w:sz w:val="18"/>
          <w:szCs w:val="18"/>
          <w:color w:val="auto"/>
        </w:rPr>
      </w:pPr>
    </w:p>
    <w:p>
      <w:pPr>
        <w:jc w:val="both"/>
        <w:ind w:left="700" w:right="20" w:hanging="356"/>
        <w:spacing w:after="0" w:line="264"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 to our covenants such new covenants, restrictions, conditions or provisions for the protection of the holders, and to make the occurrence, or the occurrence and continuance, of a default in any such additional covenants, restrictions, conditions or provisions an event of default;</w:t>
      </w:r>
    </w:p>
    <w:p>
      <w:pPr>
        <w:spacing w:after="0" w:line="73" w:lineRule="exact"/>
        <w:rPr>
          <w:rFonts w:ascii="Arial" w:cs="Arial" w:eastAsia="Arial" w:hAnsi="Arial"/>
          <w:sz w:val="18"/>
          <w:szCs w:val="18"/>
          <w:color w:val="auto"/>
        </w:rPr>
      </w:pPr>
    </w:p>
    <w:p>
      <w:pPr>
        <w:jc w:val="both"/>
        <w:ind w:left="700" w:hanging="356"/>
        <w:spacing w:after="0" w:line="264"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 of any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the forms or terms of the senior debt securities as permitted by the senior indenture;</w:t>
      </w:r>
    </w:p>
    <w:p>
      <w:pPr>
        <w:spacing w:after="0" w:line="117" w:lineRule="exact"/>
        <w:rPr>
          <w:rFonts w:ascii="Arial" w:cs="Arial" w:eastAsia="Arial" w:hAnsi="Arial"/>
          <w:sz w:val="18"/>
          <w:szCs w:val="18"/>
          <w:color w:val="auto"/>
        </w:rPr>
      </w:pPr>
    </w:p>
    <w:p>
      <w:pPr>
        <w:jc w:val="both"/>
        <w:ind w:left="700" w:right="20" w:hanging="356"/>
        <w:spacing w:after="0" w:line="264"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under the senior indenture by a successor trustee, or to make such changes as shall be necessary to provide for or facilitate the administration of the trusts in the senior indenture by more than one trustee;</w:t>
      </w:r>
    </w:p>
    <w:p>
      <w:pPr>
        <w:spacing w:after="0" w:line="73" w:lineRule="exact"/>
        <w:rPr>
          <w:rFonts w:ascii="Arial" w:cs="Arial" w:eastAsia="Arial" w:hAnsi="Arial"/>
          <w:sz w:val="18"/>
          <w:szCs w:val="18"/>
          <w:color w:val="auto"/>
        </w:rPr>
      </w:pPr>
    </w:p>
    <w:p>
      <w:pPr>
        <w:jc w:val="both"/>
        <w:ind w:left="700" w:right="20" w:hanging="356"/>
        <w:spacing w:after="0" w:line="288" w:lineRule="auto"/>
        <w:tabs>
          <w:tab w:leader="none" w:pos="7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add to, change or eliminate any of the provisions of the senior indenture in respect of one or more series of senior debt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addition, change or elimination shall (a) neither (1) apply to any senior debt security of any series created prior to the execution of such supplemental indenture and entitled to the benefit of such provision nor</w:t>
      </w:r>
    </w:p>
    <w:p>
      <w:pPr>
        <w:ind w:left="700" w:right="20"/>
        <w:spacing w:after="0" w:line="261" w:lineRule="auto"/>
        <w:rPr>
          <w:rFonts w:ascii="Arial" w:cs="Arial" w:eastAsia="Arial" w:hAnsi="Arial"/>
          <w:sz w:val="16"/>
          <w:szCs w:val="16"/>
          <w:color w:val="auto"/>
        </w:rPr>
      </w:pPr>
      <w:r>
        <w:rPr>
          <w:rFonts w:ascii="Arial" w:cs="Arial" w:eastAsia="Arial" w:hAnsi="Arial"/>
          <w:sz w:val="18"/>
          <w:szCs w:val="18"/>
          <w:color w:val="auto"/>
        </w:rPr>
        <w:t>(2) modify the rights of the holder of any such senior debt security with respect to such provision or (b) become effective only when there is no senior debt security described in the preceding clause (a)(1) outstanding;</w:t>
      </w:r>
    </w:p>
    <w:p>
      <w:pPr>
        <w:spacing w:after="0" w:line="75" w:lineRule="exact"/>
        <w:rPr>
          <w:rFonts w:ascii="Arial" w:cs="Arial" w:eastAsia="Arial" w:hAnsi="Arial"/>
          <w:sz w:val="16"/>
          <w:szCs w:val="16"/>
          <w:color w:val="auto"/>
        </w:rPr>
      </w:pPr>
    </w:p>
    <w:p>
      <w:pPr>
        <w:ind w:left="700" w:hanging="356"/>
        <w:spacing w:after="0" w:line="277" w:lineRule="auto"/>
        <w:tabs>
          <w:tab w:leader="none" w:pos="7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any change to the senior debt securities of any series so long as no senior debt securities of such series are outstanding;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17"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w:t>
      </w:r>
    </w:p>
    <w:p>
      <w:pPr>
        <w:spacing w:after="0" w:line="80" w:lineRule="exact"/>
        <w:rPr>
          <w:sz w:val="20"/>
          <w:szCs w:val="20"/>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extends the final maturity of any senior debt securities of such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reduces the principal amount of any senior debt securities of such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reduces the rate, or extends the time for payment of, interest on any senior debt securities of such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reduces the amount payable upon the redemption of any senior debt securities of such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the currency of payment of principal of or interest on any senior debt securities of such series;</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reduces the principal amount of original issue discount securities payable upon acceleration of maturity or the amount provable in bankruptcy;</w:t>
      </w:r>
    </w:p>
    <w:p>
      <w:pPr>
        <w:spacing w:after="0" w:line="62"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waives a continuing default in the payment of principal of or interest on the senior debt securities (other than any such default in payment resulting solely from an acceleration of the senior debt securities);</w:t>
      </w:r>
    </w:p>
    <w:p>
      <w:pPr>
        <w:spacing w:after="0" w:line="62" w:lineRule="exact"/>
        <w:rPr>
          <w:rFonts w:ascii="Arial" w:cs="Arial" w:eastAsia="Arial" w:hAnsi="Arial"/>
          <w:sz w:val="18"/>
          <w:szCs w:val="18"/>
          <w:color w:val="auto"/>
        </w:rPr>
      </w:pPr>
    </w:p>
    <w:p>
      <w:pPr>
        <w:jc w:val="both"/>
        <w:ind w:left="700" w:hanging="356"/>
        <w:spacing w:after="0" w:line="264"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the provisions relating to the waiver of past defaults or impairs the right of holders to receive payment or to institute suit for the enforcement of any payment or conversion of any senior debt securities of such series on or after the due date therefor;</w:t>
      </w:r>
    </w:p>
    <w:p>
      <w:pPr>
        <w:spacing w:after="0" w:line="73" w:lineRule="exact"/>
        <w:rPr>
          <w:rFonts w:ascii="Arial" w:cs="Arial" w:eastAsia="Arial" w:hAnsi="Arial"/>
          <w:sz w:val="18"/>
          <w:szCs w:val="18"/>
          <w:color w:val="auto"/>
        </w:rPr>
      </w:pPr>
    </w:p>
    <w:p>
      <w:pPr>
        <w:jc w:val="both"/>
        <w:ind w:left="700" w:hanging="356"/>
        <w:spacing w:after="0" w:line="264"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w:t>
      </w:r>
    </w:p>
    <w:p>
      <w:pPr>
        <w:spacing w:after="0" w:line="73"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adversely affects the right to convert or exchange senior debt securities into Class A common stock or other property in accordance with the terms of the senior debt securities; or</w:t>
      </w:r>
    </w:p>
    <w:p>
      <w:pPr>
        <w:spacing w:after="0" w:line="62" w:lineRule="exact"/>
        <w:rPr>
          <w:rFonts w:ascii="Arial" w:cs="Arial" w:eastAsia="Arial" w:hAnsi="Arial"/>
          <w:sz w:val="18"/>
          <w:szCs w:val="18"/>
          <w:color w:val="auto"/>
        </w:rPr>
      </w:pPr>
    </w:p>
    <w:p>
      <w:pPr>
        <w:ind w:left="700" w:hanging="356"/>
        <w:spacing w:after="0" w:line="342" w:lineRule="auto"/>
        <w:tabs>
          <w:tab w:leader="none" w:pos="7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reduces the above-stated percentage of outstanding senior debt securities of such series whose holders must consent to a supplemental indenture or modifies or amends or waives certain provisions of or defaults under the senior indenture.</w:t>
      </w:r>
    </w:p>
    <w:p>
      <w:pPr>
        <w:spacing w:after="0" w:line="16"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No Personal Liability of Stockholders, Officers, Directors</w:t>
      </w:r>
    </w:p>
    <w:p>
      <w:pPr>
        <w:spacing w:after="0" w:line="117"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6"/>
          <w:szCs w:val="16"/>
          <w:color w:val="auto"/>
        </w:rPr>
        <w:t>The senior indenture provides that no recourse shall be had under any obligation, covenant or agreement of ours in the senior indenture or any supplemental indenture, or in any of the senior debt securities or because of the creation of any indebtedness represented thereby, against any of our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Concerning the Trustee</w:t>
      </w:r>
    </w:p>
    <w:p>
      <w:pPr>
        <w:spacing w:after="0" w:line="117"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The senior indenture provides that, except during the continuance of an event of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46"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senior indenture and the provisions of the Trust Indenture Act of 1939 incorporated by reference therein contain limitations on the rights of the trustee thereunder, should it become a creditor of ours or any of our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subsidiaries,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of 1939), it must eliminate such conflict or resign.</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have normal banking relationships with the senior trustee in the ordinary course of business.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Unclaimed Funds</w:t>
      </w:r>
    </w:p>
    <w:p>
      <w:pPr>
        <w:spacing w:after="0" w:line="117"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All funds deposited with the trustee or any paying agent for the payment of principal, premium, interest or additional amounts in respect of the senior debt securities that remain unclaimed for two years after the date upon which such amounts became due and payable will be repaid to us. Thereafter, any right of any holder of senior debt securities to such funds shall be enforceable only against us, and the trustee and paying agents will have no liability therefor.</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Governing Law</w:t>
      </w:r>
    </w:p>
    <w:p>
      <w:pPr>
        <w:spacing w:after="0" w:line="11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senior indenture and the senior debt securities will be governed by, and construed in accordance with, the internal laws of the State of New York.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Subordinated Debt Securities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Similarity to Certain Terms of Senior Debt Securities</w:t>
      </w:r>
    </w:p>
    <w:p>
      <w:pPr>
        <w:spacing w:after="0" w:line="117"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 Additional or different subordination terms may be specified in the prospectus supplement applicable to a particular series.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Subordination</w:t>
      </w:r>
    </w:p>
    <w:p>
      <w:pPr>
        <w:spacing w:after="0" w:line="117"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6"/>
          <w:szCs w:val="16"/>
          <w:color w:val="auto"/>
        </w:rPr>
        <w:t>The indebtedness evidenced by the subordinated debt securities is subordinate to the prior payment in full of all of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59"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73" w:lineRule="exact"/>
        <w:rPr>
          <w:sz w:val="20"/>
          <w:szCs w:val="20"/>
          <w:color w:val="auto"/>
        </w:rPr>
      </w:pPr>
    </w:p>
    <w:p>
      <w:pPr>
        <w:ind w:left="700" w:hanging="35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of the indebtedness of that person evidenced by notes, debentures, bonds or other securities sold by that person for money;</w:t>
      </w:r>
    </w:p>
    <w:p>
      <w:pPr>
        <w:spacing w:after="0" w:line="62"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of the lease obligations that are capitalized on the books of that person in accordance with generally accepted accounting principles;</w:t>
      </w:r>
    </w:p>
    <w:p>
      <w:pPr>
        <w:spacing w:after="0" w:line="62" w:lineRule="exact"/>
        <w:rPr>
          <w:rFonts w:ascii="Arial" w:cs="Arial" w:eastAsia="Arial" w:hAnsi="Arial"/>
          <w:sz w:val="18"/>
          <w:szCs w:val="18"/>
          <w:color w:val="auto"/>
        </w:rPr>
      </w:pPr>
    </w:p>
    <w:p>
      <w:pPr>
        <w:jc w:val="both"/>
        <w:ind w:left="700" w:right="20" w:hanging="356"/>
        <w:spacing w:after="0" w:line="312" w:lineRule="auto"/>
        <w:tabs>
          <w:tab w:leader="none" w:pos="7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line="308" w:lineRule="auto"/>
        <w:tabs>
          <w:tab w:leader="none" w:pos="7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all renewals, extensions or refunding of indebtedness of the kinds described in the first, second or fourth bullet point above and all renewals or extensions of leases of the kinds described in the third or fourth bullet point above;</w:t>
      </w:r>
    </w:p>
    <w:p>
      <w:pPr>
        <w:spacing w:after="0" w:line="38"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121"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We may issue warrants for the purchase of shares of Class A common stock, shares of preferred stock or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71"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particular terms of any issue of warrants will be described in the prospectus supplement relating to the issue. Those terms may include:</w:t>
      </w:r>
    </w:p>
    <w:p>
      <w:pPr>
        <w:spacing w:after="0" w:line="62" w:lineRule="exact"/>
        <w:rPr>
          <w:sz w:val="20"/>
          <w:szCs w:val="20"/>
          <w:color w:val="auto"/>
        </w:rPr>
      </w:pPr>
    </w:p>
    <w:p>
      <w:pPr>
        <w:ind w:left="700" w:right="20" w:hanging="356"/>
        <w:spacing w:after="0" w:line="277"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number of shares of Class A common stock or preferred stock purchasable upon the exercise of warrants to purchase such shares and the price at which such number of shares may be purchased upon such exercise;</w:t>
      </w:r>
    </w:p>
    <w:p>
      <w:pPr>
        <w:spacing w:after="0" w:line="62"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designation, stated value and terms (including liquidation, dividend, conversion and voting rights) of the series of preferred stock purchasable upon exercise of warrants to purchase preferred stock;</w:t>
      </w:r>
    </w:p>
    <w:p>
      <w:pPr>
        <w:spacing w:after="0" w:line="62"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62"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debt securities, preferred stock or Class A common stock will be separately transferable;</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U.S. federal income tax consequences applicable to the warrants; and</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Holders of equity warrants will not be entitled to:</w:t>
      </w:r>
    </w:p>
    <w:p>
      <w:pPr>
        <w:spacing w:after="0" w:line="117" w:lineRule="exact"/>
        <w:rPr>
          <w:sz w:val="20"/>
          <w:szCs w:val="20"/>
          <w:color w:val="auto"/>
        </w:rPr>
      </w:pPr>
    </w:p>
    <w:p>
      <w:pPr>
        <w:ind w:left="700" w:hanging="35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vote, consent or receive dividends;</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exercise any rights as stockholders of Sienna.</w:t>
      </w:r>
    </w:p>
    <w:p>
      <w:pPr>
        <w:spacing w:after="0" w:line="117"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Each warrant will entitle its holder to purchase the principal amount of debt securities or the number of shares of preferred stock or Class A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80"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Class A common stock or preferred stock are exercised, the holders of the warrants will not have any rights of holders of the underlying Class A common stock or preferred stock, including any rights to receive dividends or payments upon any liquidation, dissolution or winding up of the Class A common stock or preferred stock, if any.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121"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7"/>
          <w:szCs w:val="17"/>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63"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81"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the following, as applicable:</w:t>
      </w:r>
    </w:p>
    <w:p>
      <w:pPr>
        <w:spacing w:after="0" w:line="62" w:lineRule="exact"/>
        <w:rPr>
          <w:sz w:val="20"/>
          <w:szCs w:val="20"/>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date, if any, on and after which the constituent securities comprising the units will be separately transferable;</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discussion of certain U.S. federal income tax considerations applicable to the units;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121"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DTC has advised us that it is:</w:t>
      </w:r>
    </w:p>
    <w:p>
      <w:pPr>
        <w:spacing w:after="0" w:line="117" w:lineRule="exact"/>
        <w:rPr>
          <w:sz w:val="20"/>
          <w:szCs w:val="20"/>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117"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6"/>
          <w:szCs w:val="16"/>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59"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6"/>
          <w:szCs w:val="16"/>
          <w:color w:val="auto"/>
        </w:rPr>
        <w:t>Purchases of securities under the DTC system must be made by or through direct participants, which will receive a credit for the securities on DTC’s records. The ownership interest of the actual purchaser of a security, whom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58"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6"/>
          <w:szCs w:val="16"/>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57"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73" w:lineRule="exact"/>
        <w:rPr>
          <w:sz w:val="20"/>
          <w:szCs w:val="20"/>
          <w:color w:val="auto"/>
        </w:rPr>
      </w:pPr>
    </w:p>
    <w:p>
      <w:pPr>
        <w:jc w:val="both"/>
        <w:ind w:right="20" w:firstLine="360"/>
        <w:spacing w:after="0" w:line="342" w:lineRule="auto"/>
        <w:rPr>
          <w:sz w:val="20"/>
          <w:szCs w:val="20"/>
          <w:color w:val="auto"/>
        </w:rPr>
      </w:pPr>
      <w:r>
        <w:rPr>
          <w:rFonts w:ascii="Arial" w:cs="Arial" w:eastAsia="Arial" w:hAnsi="Arial"/>
          <w:sz w:val="16"/>
          <w:szCs w:val="16"/>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6"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79"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if not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70"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70" w:lineRule="exact"/>
        <w:rPr>
          <w:sz w:val="20"/>
          <w:szCs w:val="20"/>
          <w:color w:val="auto"/>
        </w:rPr>
      </w:pPr>
    </w:p>
    <w:p>
      <w:pPr>
        <w:jc w:val="both"/>
        <w:ind w:right="20" w:firstLine="360"/>
        <w:spacing w:after="0" w:line="286" w:lineRule="auto"/>
        <w:rPr>
          <w:sz w:val="20"/>
          <w:szCs w:val="20"/>
          <w:color w:val="auto"/>
        </w:rPr>
      </w:pPr>
      <w:r>
        <w:rPr>
          <w:rFonts w:ascii="Arial" w:cs="Arial" w:eastAsia="Arial" w:hAnsi="Arial"/>
          <w:sz w:val="17"/>
          <w:szCs w:val="17"/>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57"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62"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73"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62" w:lineRule="exact"/>
        <w:rPr>
          <w:sz w:val="20"/>
          <w:szCs w:val="20"/>
          <w:color w:val="auto"/>
        </w:rPr>
      </w:pPr>
    </w:p>
    <w:p>
      <w:pPr>
        <w:jc w:val="both"/>
        <w:ind w:left="700" w:hanging="356"/>
        <w:spacing w:after="0" w:line="259"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78" w:lineRule="exact"/>
        <w:rPr>
          <w:rFonts w:ascii="Arial" w:cs="Arial" w:eastAsia="Arial" w:hAnsi="Arial"/>
          <w:sz w:val="18"/>
          <w:szCs w:val="18"/>
          <w:color w:val="auto"/>
        </w:rPr>
      </w:pPr>
    </w:p>
    <w:p>
      <w:pPr>
        <w:ind w:left="700" w:hanging="356"/>
        <w:spacing w:after="0"/>
        <w:tabs>
          <w:tab w:leader="none" w:pos="7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we determine, in our sole discretion, not to have such securities represented by one or more global securities; or</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then 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Euroclear and Clearstream</w:t>
      </w:r>
    </w:p>
    <w:p>
      <w:pPr>
        <w:spacing w:after="0" w:line="121"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that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81"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6"/>
          <w:szCs w:val="16"/>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39"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79"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79"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74"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7"/>
          <w:szCs w:val="17"/>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73" w:lineRule="exact"/>
        <w:rPr>
          <w:sz w:val="20"/>
          <w:szCs w:val="20"/>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fixed prices, which may be changed;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17"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73"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73" w:lineRule="exact"/>
        <w:rPr>
          <w:sz w:val="20"/>
          <w:szCs w:val="20"/>
          <w:color w:val="auto"/>
        </w:rPr>
      </w:pPr>
    </w:p>
    <w:p>
      <w:pPr>
        <w:jc w:val="both"/>
        <w:ind w:firstLine="360"/>
        <w:spacing w:after="0" w:line="342" w:lineRule="auto"/>
        <w:rPr>
          <w:sz w:val="20"/>
          <w:szCs w:val="20"/>
          <w:color w:val="auto"/>
        </w:rPr>
      </w:pPr>
      <w:r>
        <w:rPr>
          <w:rFonts w:ascii="Arial" w:cs="Arial" w:eastAsia="Arial" w:hAnsi="Arial"/>
          <w:sz w:val="16"/>
          <w:szCs w:val="16"/>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6"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89" w:lineRule="exact"/>
        <w:rPr>
          <w:sz w:val="20"/>
          <w:szCs w:val="20"/>
          <w:color w:val="auto"/>
        </w:rPr>
      </w:pPr>
    </w:p>
    <w:p>
      <w:pPr>
        <w:jc w:val="both"/>
        <w:ind w:firstLine="360"/>
        <w:spacing w:after="0" w:line="291" w:lineRule="auto"/>
        <w:rPr>
          <w:sz w:val="20"/>
          <w:szCs w:val="20"/>
          <w:color w:val="auto"/>
        </w:rPr>
      </w:pPr>
      <w:r>
        <w:rPr>
          <w:rFonts w:ascii="Arial" w:cs="Arial" w:eastAsia="Arial" w:hAnsi="Arial"/>
          <w:sz w:val="16"/>
          <w:szCs w:val="16"/>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59"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6"/>
          <w:szCs w:val="16"/>
          <w:color w:val="auto"/>
        </w:rPr>
        <w:t>Any Class A common stock that we issue and sell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6"/>
          <w:szCs w:val="16"/>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65"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w:t>
      </w:r>
    </w:p>
    <w:p>
      <w:pPr>
        <w:spacing w:after="0" w:line="62"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K&amp;L Gates LLP, Boston, Massachusetts, will pass upon certain legal matters relating to the issuance and sale of the securities offered hereby on our behalf. Additional legal matters may be passed upon for us or any underwriters, dealers or agents, by counsel that we will name in the applicable prospectus supplement.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jc w:val="both"/>
        <w:ind w:firstLine="360"/>
        <w:spacing w:after="0" w:line="302" w:lineRule="auto"/>
        <w:rPr>
          <w:sz w:val="20"/>
          <w:szCs w:val="20"/>
          <w:color w:val="auto"/>
        </w:rPr>
      </w:pPr>
      <w:r>
        <w:rPr>
          <w:rFonts w:ascii="Arial" w:cs="Arial" w:eastAsia="Arial" w:hAnsi="Arial"/>
          <w:sz w:val="16"/>
          <w:szCs w:val="16"/>
          <w:color w:val="auto"/>
        </w:rPr>
        <w:t>BDO China Shu Lun Pan Certified Public Accountants LLP, our independent registered public accounting firm in the People’s Republic of China, has audited our consolidated financial statements at, and for the years ended, December 31, 2017 and 2016, as set forth in their report incorporated by reference herein. We have incorporated by reference herein the consolidated financial statements in reliance on said firm’s report, given on their authority as experts in accounting and auditing.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60718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2383790</wp:posOffset>
            </wp:positionH>
            <wp:positionV relativeFrom="paragraph">
              <wp:posOffset>1113155</wp:posOffset>
            </wp:positionV>
            <wp:extent cx="1269365" cy="7886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126936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1,785,715 Shares</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Class A Common Stock</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$14.00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1938020</wp:posOffset>
            </wp:positionH>
            <wp:positionV relativeFrom="paragraph">
              <wp:posOffset>945515</wp:posOffset>
            </wp:positionV>
            <wp:extent cx="218694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PROSPECTUS SUPPLEMENT</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August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1938020</wp:posOffset>
            </wp:positionH>
            <wp:positionV relativeFrom="paragraph">
              <wp:posOffset>165100</wp:posOffset>
            </wp:positionV>
            <wp:extent cx="21869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740" w:type="dxa"/>
            <w:vAlign w:val="bottom"/>
          </w:tcPr>
          <w:p>
            <w:pPr>
              <w:spacing w:after="0"/>
              <w:rPr>
                <w:sz w:val="21"/>
                <w:szCs w:val="21"/>
                <w:color w:val="auto"/>
              </w:rPr>
            </w:pPr>
          </w:p>
        </w:tc>
        <w:tc>
          <w:tcPr>
            <w:tcW w:w="3420" w:type="dxa"/>
            <w:vAlign w:val="bottom"/>
          </w:tcPr>
          <w:p>
            <w:pPr>
              <w:jc w:val="center"/>
              <w:ind w:left="518"/>
              <w:spacing w:after="0"/>
              <w:rPr>
                <w:sz w:val="20"/>
                <w:szCs w:val="20"/>
                <w:color w:val="auto"/>
              </w:rPr>
            </w:pPr>
            <w:r>
              <w:rPr>
                <w:rFonts w:ascii="Arial" w:cs="Arial" w:eastAsia="Arial" w:hAnsi="Arial"/>
                <w:sz w:val="20"/>
                <w:szCs w:val="20"/>
                <w:i w:val="1"/>
                <w:iCs w:val="1"/>
                <w:color w:val="auto"/>
                <w:w w:val="91"/>
              </w:rPr>
              <w:t>Joint Bookrunning Managers</w:t>
            </w:r>
          </w:p>
        </w:tc>
        <w:tc>
          <w:tcPr>
            <w:tcW w:w="3400" w:type="dxa"/>
            <w:vAlign w:val="bottom"/>
          </w:tcPr>
          <w:p>
            <w:pPr>
              <w:spacing w:after="0"/>
              <w:rPr>
                <w:sz w:val="21"/>
                <w:szCs w:val="21"/>
                <w:color w:val="auto"/>
              </w:rPr>
            </w:pPr>
          </w:p>
        </w:tc>
      </w:tr>
      <w:tr>
        <w:trPr>
          <w:trHeight w:val="496"/>
        </w:trPr>
        <w:tc>
          <w:tcPr>
            <w:tcW w:w="2740" w:type="dxa"/>
            <w:vAlign w:val="bottom"/>
          </w:tcPr>
          <w:p>
            <w:pPr>
              <w:ind w:left="1840"/>
              <w:spacing w:after="0"/>
              <w:rPr>
                <w:sz w:val="20"/>
                <w:szCs w:val="20"/>
                <w:color w:val="auto"/>
              </w:rPr>
            </w:pPr>
            <w:r>
              <w:rPr>
                <w:rFonts w:ascii="Arial" w:cs="Arial" w:eastAsia="Arial" w:hAnsi="Arial"/>
                <w:sz w:val="36"/>
                <w:szCs w:val="36"/>
                <w:b w:val="1"/>
                <w:bCs w:val="1"/>
                <w:color w:val="auto"/>
                <w:w w:val="99"/>
              </w:rPr>
              <w:t>Stifel</w:t>
            </w:r>
          </w:p>
        </w:tc>
        <w:tc>
          <w:tcPr>
            <w:tcW w:w="6820" w:type="dxa"/>
            <w:vAlign w:val="bottom"/>
            <w:gridSpan w:val="2"/>
          </w:tcPr>
          <w:p>
            <w:pPr>
              <w:ind w:left="2580"/>
              <w:spacing w:after="0"/>
              <w:rPr>
                <w:sz w:val="20"/>
                <w:szCs w:val="20"/>
                <w:color w:val="auto"/>
              </w:rPr>
            </w:pPr>
            <w:r>
              <w:rPr>
                <w:rFonts w:ascii="Arial" w:cs="Arial" w:eastAsia="Arial" w:hAnsi="Arial"/>
                <w:sz w:val="36"/>
                <w:szCs w:val="36"/>
                <w:b w:val="1"/>
                <w:bCs w:val="1"/>
                <w:color w:val="auto"/>
              </w:rPr>
              <w:t>Needham &amp; Company</w:t>
            </w:r>
          </w:p>
        </w:tc>
      </w:tr>
      <w:tr>
        <w:trPr>
          <w:trHeight w:val="450"/>
        </w:trPr>
        <w:tc>
          <w:tcPr>
            <w:tcW w:w="2740" w:type="dxa"/>
            <w:vAlign w:val="bottom"/>
          </w:tcPr>
          <w:p>
            <w:pPr>
              <w:spacing w:after="0"/>
              <w:rPr>
                <w:sz w:val="24"/>
                <w:szCs w:val="24"/>
                <w:color w:val="auto"/>
              </w:rPr>
            </w:pPr>
          </w:p>
        </w:tc>
        <w:tc>
          <w:tcPr>
            <w:tcW w:w="3420" w:type="dxa"/>
            <w:vAlign w:val="bottom"/>
          </w:tcPr>
          <w:p>
            <w:pPr>
              <w:jc w:val="center"/>
              <w:ind w:left="518"/>
              <w:spacing w:after="0"/>
              <w:rPr>
                <w:sz w:val="20"/>
                <w:szCs w:val="20"/>
                <w:color w:val="auto"/>
              </w:rPr>
            </w:pPr>
            <w:r>
              <w:rPr>
                <w:rFonts w:ascii="Arial" w:cs="Arial" w:eastAsia="Arial" w:hAnsi="Arial"/>
                <w:sz w:val="20"/>
                <w:szCs w:val="20"/>
                <w:i w:val="1"/>
                <w:iCs w:val="1"/>
                <w:color w:val="auto"/>
                <w:w w:val="90"/>
              </w:rPr>
              <w:t>Co-Managers</w:t>
            </w:r>
          </w:p>
        </w:tc>
        <w:tc>
          <w:tcPr>
            <w:tcW w:w="3400" w:type="dxa"/>
            <w:vAlign w:val="bottom"/>
          </w:tcPr>
          <w:p>
            <w:pPr>
              <w:spacing w:after="0"/>
              <w:rPr>
                <w:sz w:val="24"/>
                <w:szCs w:val="24"/>
                <w:color w:val="auto"/>
              </w:rPr>
            </w:pPr>
          </w:p>
        </w:tc>
      </w:tr>
      <w:tr>
        <w:trPr>
          <w:trHeight w:val="317"/>
        </w:trPr>
        <w:tc>
          <w:tcPr>
            <w:tcW w:w="2740" w:type="dxa"/>
            <w:vAlign w:val="bottom"/>
          </w:tcPr>
          <w:p>
            <w:pPr>
              <w:spacing w:after="0"/>
              <w:rPr>
                <w:sz w:val="20"/>
                <w:szCs w:val="20"/>
                <w:color w:val="auto"/>
              </w:rPr>
            </w:pPr>
            <w:r>
              <w:rPr>
                <w:rFonts w:ascii="Arial" w:cs="Arial" w:eastAsia="Arial" w:hAnsi="Arial"/>
                <w:sz w:val="22"/>
                <w:szCs w:val="22"/>
                <w:b w:val="1"/>
                <w:bCs w:val="1"/>
                <w:color w:val="auto"/>
              </w:rPr>
              <w:t>Roth Capital Partners</w:t>
            </w:r>
          </w:p>
        </w:tc>
        <w:tc>
          <w:tcPr>
            <w:tcW w:w="3420" w:type="dxa"/>
            <w:vAlign w:val="bottom"/>
          </w:tcPr>
          <w:p>
            <w:pPr>
              <w:ind w:left="20"/>
              <w:spacing w:after="0"/>
              <w:rPr>
                <w:sz w:val="20"/>
                <w:szCs w:val="20"/>
                <w:color w:val="auto"/>
              </w:rPr>
            </w:pPr>
            <w:r>
              <w:rPr>
                <w:rFonts w:ascii="Arial" w:cs="Arial" w:eastAsia="Arial" w:hAnsi="Arial"/>
                <w:sz w:val="22"/>
                <w:szCs w:val="22"/>
                <w:b w:val="1"/>
                <w:bCs w:val="1"/>
                <w:color w:val="auto"/>
              </w:rPr>
              <w:t>Craig-Hallum Capital Group</w:t>
            </w:r>
          </w:p>
        </w:tc>
        <w:tc>
          <w:tcPr>
            <w:tcW w:w="3400" w:type="dxa"/>
            <w:vAlign w:val="bottom"/>
          </w:tcPr>
          <w:p>
            <w:pPr>
              <w:ind w:left="220"/>
              <w:spacing w:after="0"/>
              <w:rPr>
                <w:sz w:val="20"/>
                <w:szCs w:val="20"/>
                <w:color w:val="auto"/>
              </w:rPr>
            </w:pPr>
            <w:r>
              <w:rPr>
                <w:rFonts w:ascii="Arial" w:cs="Arial" w:eastAsia="Arial" w:hAnsi="Arial"/>
                <w:sz w:val="22"/>
                <w:szCs w:val="22"/>
                <w:b w:val="1"/>
                <w:bCs w:val="1"/>
                <w:color w:val="auto"/>
              </w:rPr>
              <w:t>The Benchmark Company</w:t>
            </w:r>
          </w:p>
        </w:tc>
      </w:tr>
      <w:tr>
        <w:trPr>
          <w:trHeight w:val="557"/>
        </w:trPr>
        <w:tc>
          <w:tcPr>
            <w:tcW w:w="27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r>
        <w:trPr>
          <w:trHeight w:val="453"/>
        </w:trPr>
        <w:tc>
          <w:tcPr>
            <w:tcW w:w="27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68"/>
        </w:trPr>
        <w:tc>
          <w:tcPr>
            <w:tcW w:w="2740" w:type="dxa"/>
            <w:vAlign w:val="bottom"/>
            <w:shd w:val="clear" w:color="auto" w:fill="000000"/>
          </w:tcPr>
          <w:p>
            <w:pPr>
              <w:spacing w:after="0"/>
              <w:rPr>
                <w:sz w:val="5"/>
                <w:szCs w:val="5"/>
                <w:color w:val="auto"/>
              </w:rPr>
            </w:pPr>
          </w:p>
        </w:tc>
        <w:tc>
          <w:tcPr>
            <w:tcW w:w="3420" w:type="dxa"/>
            <w:vAlign w:val="bottom"/>
            <w:shd w:val="clear" w:color="auto" w:fill="000000"/>
          </w:tcPr>
          <w:p>
            <w:pPr>
              <w:spacing w:after="0"/>
              <w:rPr>
                <w:sz w:val="5"/>
                <w:szCs w:val="5"/>
                <w:color w:val="auto"/>
              </w:rPr>
            </w:pPr>
          </w:p>
        </w:tc>
        <w:tc>
          <w:tcPr>
            <w:tcW w:w="3400" w:type="dxa"/>
            <w:vAlign w:val="bottom"/>
            <w:shd w:val="clear" w:color="auto" w:fill="00000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9560"/>
      </w:cols>
      <w:pgMar w:left="1180" w:top="279" w:right="1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lowerLetter"/>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1)"/>
      <w:numFmt w:val="lowerLetter"/>
      <w:start w:val="1"/>
    </w:lvl>
  </w:abstractNum>
  <w:abstractNum w:abstractNumId="10">
    <w:nsid w:val="189A769B"/>
    <w:multiLevelType w:val="hybridMultilevel"/>
    <w:lvl w:ilvl="0">
      <w:lvlJc w:val="left"/>
      <w:lvlText w:val="(%1)"/>
      <w:numFmt w:val="lowerLetter"/>
      <w:start w:val="1"/>
    </w:lvl>
    <w:lvl w:ilvl="1">
      <w:lvlJc w:val="left"/>
      <w:lvlText w:val="(%2)"/>
      <w:numFmt w:val="lowerRoman"/>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decimal"/>
      <w:start w:val="510"/>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1)"/>
      <w:numFmt w:val="decimal"/>
      <w:start w:val="510"/>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
      <w:numFmt w:val="bullet"/>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jpe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jpeg"/><Relationship Id="rId93" Type="http://schemas.openxmlformats.org/officeDocument/2006/relationships/image" Target="media/image68.png"/><Relationship Id="rId94" Type="http://schemas.openxmlformats.org/officeDocument/2006/relationships/image" Target="media/image69.png"/><Relationship Id="rId40" Type="http://schemas.openxmlformats.org/officeDocument/2006/relationships/hyperlink" Target="http://www.sec.gov/Archives/edgar/data/1680062/000165495419002737/acm_10k.htm" TargetMode="External"/><Relationship Id="rId41" Type="http://schemas.openxmlformats.org/officeDocument/2006/relationships/hyperlink" Target="http://www.sec.gov/Archives/edgar/data/1680062/000165495419006553/acm_10ka.htm" TargetMode="External"/><Relationship Id="rId42" Type="http://schemas.openxmlformats.org/officeDocument/2006/relationships/hyperlink" Target="http://www.sec.gov/Archives/edgar/data/1680062/000114036119008072/formdef14a.htm" TargetMode="External"/><Relationship Id="rId43" Type="http://schemas.openxmlformats.org/officeDocument/2006/relationships/hyperlink" Target="http://www.sec.gov/Archives/edgar/data/1680062/000165495419005926/acm_10q.htm" TargetMode="External"/><Relationship Id="rId44" Type="http://schemas.openxmlformats.org/officeDocument/2006/relationships/hyperlink" Target="http://www.sec.gov/Archives/edgar/data/1680062/000165495419009210/acmr_10q.htm" TargetMode="External"/><Relationship Id="rId45" Type="http://schemas.openxmlformats.org/officeDocument/2006/relationships/hyperlink" Target="http://www.sec.gov/Archives/edgar/data/1680062/000165495419007239/acmr-8k.htm" TargetMode="External"/><Relationship Id="rId46" Type="http://schemas.openxmlformats.org/officeDocument/2006/relationships/hyperlink" Target="http://www.sec.gov/Archives/edgar/data/1680062/000165495419007394/acmr_8k.htm" TargetMode="External"/><Relationship Id="rId47" Type="http://schemas.openxmlformats.org/officeDocument/2006/relationships/hyperlink" Target="http://www.sec.gov/Archives/edgar/data/1680062/000165495419007444/acmr_8k.htm" TargetMode="External"/><Relationship Id="rId48" Type="http://schemas.openxmlformats.org/officeDocument/2006/relationships/hyperlink" Target="http://www.sec.gov/Archives/edgar/data/1680062/000114036119014943/nc10003786x1_8k.htm" TargetMode="External"/><Relationship Id="rId58" Type="http://schemas.openxmlformats.org/officeDocument/2006/relationships/hyperlink" Target="http://www.sec.gov/Archives/edgar/data/1680062/000165495418002950/acmr_10k.htm" TargetMode="External"/><Relationship Id="rId59" Type="http://schemas.openxmlformats.org/officeDocument/2006/relationships/hyperlink" Target="http://www.sec.gov/Archives/edgar/data/1680062/000165495418004788/acm_def14a.htm" TargetMode="External"/><Relationship Id="rId60" Type="http://schemas.openxmlformats.org/officeDocument/2006/relationships/hyperlink" Target="http://www.sec.gov/Archives/edgar/data/1680062/000165495418011154/acmr_10qa.htm" TargetMode="External"/><Relationship Id="rId61" Type="http://schemas.openxmlformats.org/officeDocument/2006/relationships/hyperlink" Target="http://www.sec.gov/Archives/edgar/data/1680062/000165495418012716/acm_10q.htm" TargetMode="External"/><Relationship Id="rId62" Type="http://schemas.openxmlformats.org/officeDocument/2006/relationships/hyperlink" Target="http://www.sec.gov/Archives/edgar/data/1680062/000119312518011276/d640980d8k.htm" TargetMode="External"/><Relationship Id="rId63" Type="http://schemas.openxmlformats.org/officeDocument/2006/relationships/hyperlink" Target="http://www.sec.gov/Archives/edgar/data/1680062/000119312518016109/d486270d8k.htm" TargetMode="External"/><Relationship Id="rId64" Type="http://schemas.openxmlformats.org/officeDocument/2006/relationships/hyperlink" Target="http://www.sec.gov/Archives/edgar/data/1680062/000165495418004619/acm_8k.htm" TargetMode="External"/><Relationship Id="rId65" Type="http://schemas.openxmlformats.org/officeDocument/2006/relationships/hyperlink" Target="http://www.sec.gov/Archives/edgar/data/1680062/000165495418006793/acm_8k.htm" TargetMode="External"/><Relationship Id="rId66" Type="http://schemas.openxmlformats.org/officeDocument/2006/relationships/hyperlink" Target="http://www.sec.gov/Archives/edgar/data/1680062/000165495418007318/acmr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2019-12-20T15:17:56Z</dcterms:created>
  <dcterms:modified xsi:type="dcterms:W3CDTF">2019-12-20T15:17:56Z</dcterms:modified>
</cp:coreProperties>
</file>