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4D4D4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4D4D4F"/>
        </w:rPr>
        <w:t>SCHEDULE 14A</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Proxy Statement Pursuant to</w:t>
      </w:r>
    </w:p>
    <w:p>
      <w:pPr>
        <w:jc w:val="center"/>
        <w:spacing w:after="0"/>
        <w:rPr>
          <w:sz w:val="20"/>
          <w:szCs w:val="20"/>
          <w:color w:val="auto"/>
        </w:rPr>
      </w:pPr>
      <w:r>
        <w:rPr>
          <w:rFonts w:ascii="Arial" w:cs="Arial" w:eastAsia="Arial" w:hAnsi="Arial"/>
          <w:sz w:val="22"/>
          <w:szCs w:val="22"/>
          <w:b w:val="1"/>
          <w:bCs w:val="1"/>
          <w:color w:val="4D4D4F"/>
        </w:rPr>
        <w:t>Section 14(a) of the Securities Exchange Act of 1934</w:t>
      </w:r>
    </w:p>
    <w:p>
      <w:pPr>
        <w:spacing w:after="0" w:line="274" w:lineRule="exact"/>
        <w:rPr>
          <w:sz w:val="24"/>
          <w:szCs w:val="24"/>
          <w:color w:val="auto"/>
        </w:rPr>
      </w:pPr>
    </w:p>
    <w:p>
      <w:pPr>
        <w:spacing w:after="0" w:line="207" w:lineRule="exact"/>
        <w:tabs>
          <w:tab w:leader="none" w:pos="728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8"/>
          <w:szCs w:val="18"/>
          <w:color w:val="4D4D4F"/>
        </w:rPr>
        <w:t xml:space="preserve">Filed by a Party other than the Registrant </w:t>
      </w:r>
      <w:r>
        <w:rPr>
          <w:rFonts w:ascii="MS PGothic" w:cs="MS PGothic" w:eastAsia="MS PGothic" w:hAnsi="MS PGothic"/>
          <w:sz w:val="18"/>
          <w:szCs w:val="18"/>
          <w:color w:val="4D4D4F"/>
        </w:rPr>
        <w:t>☐</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4D4D4F"/>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Preliminary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b w:val="1"/>
          <w:bCs w:val="1"/>
          <w:color w:val="4D4D4F"/>
        </w:rPr>
        <w:t>Confidential, for Use of the Commission Only (as permitted by Rule 14a-6(e)(2))</w:t>
      </w:r>
    </w:p>
    <w:p>
      <w:pPr>
        <w:spacing w:after="0" w:line="202" w:lineRule="exact"/>
        <w:rPr>
          <w:rFonts w:ascii="MS PGothic" w:cs="MS PGothic" w:eastAsia="MS PGothic" w:hAnsi="MS PGothic"/>
          <w:sz w:val="18"/>
          <w:szCs w:val="18"/>
          <w:color w:val="4D4D4F"/>
        </w:rPr>
      </w:pPr>
      <w:r>
        <w:rPr>
          <w:rFonts w:ascii="MS PGothic" w:cs="MS PGothic" w:eastAsia="MS PGothic" w:hAnsi="MS PGothic"/>
          <w:sz w:val="18"/>
          <w:szCs w:val="18"/>
          <w:color w:val="4D4D4F"/>
        </w:rPr>
        <w:t>☒</w:t>
      </w:r>
      <w:r>
        <w:rPr>
          <w:rFonts w:ascii="Arial" w:cs="Arial" w:eastAsia="Arial" w:hAnsi="Arial"/>
          <w:sz w:val="18"/>
          <w:szCs w:val="18"/>
          <w:color w:val="4D4D4F"/>
        </w:rPr>
        <w:t xml:space="preserve"> Definitive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Definitive Additional Materials</w:t>
      </w: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263525</wp:posOffset>
            </wp:positionV>
            <wp:extent cx="81407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0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ACM Research,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346" w:lineRule="exact"/>
        <w:rPr>
          <w:sz w:val="24"/>
          <w:szCs w:val="24"/>
          <w:color w:val="auto"/>
        </w:rPr>
      </w:pPr>
    </w:p>
    <w:p>
      <w:pPr>
        <w:ind w:left="40"/>
        <w:spacing w:after="0"/>
        <w:rPr>
          <w:sz w:val="20"/>
          <w:szCs w:val="20"/>
          <w:color w:val="auto"/>
        </w:rPr>
      </w:pPr>
      <w:r>
        <w:rPr>
          <w:rFonts w:ascii="Arial" w:cs="Arial" w:eastAsia="Arial" w:hAnsi="Arial"/>
          <w:sz w:val="18"/>
          <w:szCs w:val="18"/>
          <w:color w:val="4D4D4F"/>
        </w:rPr>
        <w:t>Payment of Filing Fee (Check the appropriate box):</w:t>
      </w:r>
    </w:p>
    <w:p>
      <w:pPr>
        <w:spacing w:after="0" w:line="11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No fee required.</w:t>
      </w:r>
    </w:p>
    <w:p>
      <w:pPr>
        <w:spacing w:after="0" w:line="117"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4D4D4F"/>
        </w:rPr>
      </w:pPr>
      <w:r>
        <w:rPr>
          <w:rFonts w:ascii="Arial" w:cs="Arial" w:eastAsia="Arial" w:hAnsi="Arial"/>
          <w:sz w:val="18"/>
          <w:szCs w:val="18"/>
          <w:color w:val="4D4D4F"/>
        </w:rPr>
        <w:t>Fee computed on table below per Exchange Act Rules 14a-6(i)(1) and 0-11.</w:t>
      </w:r>
    </w:p>
    <w:p>
      <w:pPr>
        <w:spacing w:after="0" w:line="49" w:lineRule="exact"/>
        <w:rPr>
          <w:rFonts w:ascii="MS PGothic" w:cs="MS PGothic" w:eastAsia="MS PGothic" w:hAnsi="MS PGothic"/>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319"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319" w:lineRule="exact"/>
        <w:rPr>
          <w:rFonts w:ascii="Arial" w:cs="Arial" w:eastAsia="Arial" w:hAnsi="Arial"/>
          <w:sz w:val="18"/>
          <w:szCs w:val="18"/>
          <w:color w:val="4D4D4F"/>
        </w:rPr>
      </w:pPr>
    </w:p>
    <w:p>
      <w:pPr>
        <w:ind w:left="940" w:right="20" w:hanging="446"/>
        <w:spacing w:after="0" w:line="246" w:lineRule="auto"/>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304"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319"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387" w:lineRule="exact"/>
        <w:rPr>
          <w:rFonts w:ascii="Arial" w:cs="Arial" w:eastAsia="Arial" w:hAnsi="Arial"/>
          <w:sz w:val="18"/>
          <w:szCs w:val="18"/>
          <w:color w:val="4D4D4F"/>
        </w:rPr>
      </w:pPr>
    </w:p>
    <w:p>
      <w:pPr>
        <w:ind w:left="500" w:hanging="465"/>
        <w:spacing w:after="0"/>
        <w:tabs>
          <w:tab w:leader="none" w:pos="500" w:val="left"/>
        </w:tabs>
        <w:numPr>
          <w:ilvl w:val="0"/>
          <w:numId w:val="3"/>
        </w:numPr>
        <w:rPr>
          <w:rFonts w:ascii="MS PGothic" w:cs="MS PGothic" w:eastAsia="MS PGothic" w:hAnsi="MS PGothic"/>
          <w:sz w:val="18"/>
          <w:szCs w:val="18"/>
          <w:color w:val="4D4D4F"/>
        </w:rPr>
      </w:pPr>
      <w:r>
        <w:rPr>
          <w:rFonts w:ascii="Arial" w:cs="Arial" w:eastAsia="Arial" w:hAnsi="Arial"/>
          <w:sz w:val="18"/>
          <w:szCs w:val="18"/>
          <w:color w:val="4D4D4F"/>
        </w:rPr>
        <w:t>Fee paid previously with preliminary materials.</w:t>
      </w:r>
    </w:p>
    <w:p>
      <w:pPr>
        <w:spacing w:after="0" w:line="36" w:lineRule="exact"/>
        <w:rPr>
          <w:rFonts w:ascii="MS PGothic" w:cs="MS PGothic" w:eastAsia="MS PGothic" w:hAnsi="MS PGothic"/>
          <w:sz w:val="18"/>
          <w:szCs w:val="18"/>
          <w:color w:val="4D4D4F"/>
        </w:rPr>
      </w:pPr>
    </w:p>
    <w:p>
      <w:pPr>
        <w:ind w:left="500" w:right="40" w:hanging="465"/>
        <w:spacing w:after="0" w:line="246" w:lineRule="auto"/>
        <w:tabs>
          <w:tab w:leader="none" w:pos="500" w:val="left"/>
        </w:tabs>
        <w:numPr>
          <w:ilvl w:val="0"/>
          <w:numId w:val="3"/>
        </w:numPr>
        <w:rPr>
          <w:rFonts w:ascii="MS PGothic" w:cs="MS PGothic" w:eastAsia="MS PGothic" w:hAnsi="MS PGothic"/>
          <w:sz w:val="18"/>
          <w:szCs w:val="18"/>
          <w:color w:val="4D4D4F"/>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319"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319"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319" w:lineRule="exact"/>
        <w:rPr>
          <w:rFonts w:ascii="Arial" w:cs="Arial" w:eastAsia="Arial" w:hAnsi="Arial"/>
          <w:sz w:val="18"/>
          <w:szCs w:val="18"/>
          <w:color w:val="4D4D4F"/>
        </w:rPr>
      </w:pPr>
    </w:p>
    <w:p>
      <w:pPr>
        <w:ind w:left="940" w:hanging="446"/>
        <w:spacing w:after="0"/>
        <w:tabs>
          <w:tab w:leader="none" w:pos="94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168910</wp:posOffset>
            </wp:positionV>
            <wp:extent cx="65576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-164465</wp:posOffset>
            </wp:positionV>
            <wp:extent cx="65576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-499110</wp:posOffset>
            </wp:positionV>
            <wp:extent cx="65576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-833120</wp:posOffset>
            </wp:positionV>
            <wp:extent cx="65576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-1656080</wp:posOffset>
            </wp:positionV>
            <wp:extent cx="65576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-1990725</wp:posOffset>
            </wp:positionV>
            <wp:extent cx="65576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-2324735</wp:posOffset>
            </wp:positionV>
            <wp:extent cx="65576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-2787650</wp:posOffset>
            </wp:positionV>
            <wp:extent cx="65576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-3122295</wp:posOffset>
            </wp:positionV>
            <wp:extent cx="65576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08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20"/>
        <w:spacing w:after="0"/>
        <w:rPr>
          <w:sz w:val="20"/>
          <w:szCs w:val="20"/>
          <w:color w:val="auto"/>
        </w:rPr>
      </w:pPr>
      <w:r>
        <w:rPr>
          <w:rFonts w:ascii="Arial" w:cs="Arial" w:eastAsia="Arial" w:hAnsi="Arial"/>
          <w:sz w:val="58"/>
          <w:szCs w:val="58"/>
          <w:color w:val="FFFFFF"/>
        </w:rPr>
        <w:t>NOTICE OF</w:t>
      </w:r>
    </w:p>
    <w:p>
      <w:pPr>
        <w:spacing w:after="0" w:line="144" w:lineRule="exact"/>
        <w:rPr>
          <w:sz w:val="20"/>
          <w:szCs w:val="20"/>
          <w:color w:val="auto"/>
        </w:rPr>
      </w:pPr>
    </w:p>
    <w:p>
      <w:pPr>
        <w:jc w:val="center"/>
        <w:ind w:right="-920"/>
        <w:spacing w:after="0"/>
        <w:rPr>
          <w:sz w:val="20"/>
          <w:szCs w:val="20"/>
          <w:color w:val="auto"/>
        </w:rPr>
      </w:pPr>
      <w:r>
        <w:rPr>
          <w:rFonts w:ascii="Arial" w:cs="Arial" w:eastAsia="Arial" w:hAnsi="Arial"/>
          <w:sz w:val="58"/>
          <w:szCs w:val="58"/>
          <w:color w:val="FFFFFF"/>
        </w:rPr>
        <w:t>2020 ANNUAL MEETING</w:t>
      </w:r>
    </w:p>
    <w:p>
      <w:pPr>
        <w:spacing w:after="0" w:line="8" w:lineRule="exact"/>
        <w:rPr>
          <w:sz w:val="20"/>
          <w:szCs w:val="20"/>
          <w:color w:val="auto"/>
        </w:rPr>
      </w:pPr>
    </w:p>
    <w:p>
      <w:pPr>
        <w:jc w:val="center"/>
        <w:ind w:right="-920"/>
        <w:spacing w:after="0"/>
        <w:rPr>
          <w:sz w:val="20"/>
          <w:szCs w:val="20"/>
          <w:color w:val="auto"/>
        </w:rPr>
      </w:pPr>
      <w:r>
        <w:rPr>
          <w:rFonts w:ascii="Arial" w:cs="Arial" w:eastAsia="Arial" w:hAnsi="Arial"/>
          <w:sz w:val="58"/>
          <w:szCs w:val="58"/>
          <w:color w:val="FFFFFF"/>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80"/>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0"/>
        <w:spacing w:after="0"/>
        <w:rPr>
          <w:sz w:val="20"/>
          <w:szCs w:val="20"/>
          <w:color w:val="auto"/>
        </w:rPr>
      </w:pPr>
      <w:r>
        <w:rPr>
          <w:rFonts w:ascii="Arial" w:cs="Arial" w:eastAsia="Arial" w:hAnsi="Arial"/>
          <w:sz w:val="50"/>
          <w:szCs w:val="50"/>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123190</wp:posOffset>
            </wp:positionV>
            <wp:extent cx="7115175" cy="1697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97355"/>
                    </a:xfrm>
                    <a:prstGeom prst="rect">
                      <a:avLst/>
                    </a:prstGeom>
                    <a:noFill/>
                  </pic:spPr>
                </pic:pic>
              </a:graphicData>
            </a:graphic>
          </wp:anchor>
        </w:drawing>
      </w:r>
    </w:p>
    <w:p>
      <w:pPr>
        <w:sectPr>
          <w:pgSz w:w="11900" w:h="16838" w:orient="portrait"/>
          <w:cols w:equalWidth="0" w:num="1">
            <w:col w:w="9959"/>
          </w:cols>
          <w:pgMar w:left="500" w:top="1440" w:right="1440"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2020 Annual Meeting</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FFFFFF"/>
        </w:rPr>
        <w:t>June 2, 2020</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FFFFFF"/>
        </w:rPr>
        <w:t>7 a.m., Pacific time</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FFFFFF"/>
        </w:rPr>
        <w:t>Virtual-only meeting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FFFFFF"/>
        </w:rPr>
        <w:t>Webcast access at</w:t>
      </w:r>
    </w:p>
    <w:p>
      <w:pPr>
        <w:spacing w:after="0"/>
        <w:rPr>
          <w:sz w:val="20"/>
          <w:szCs w:val="20"/>
          <w:color w:val="auto"/>
        </w:rPr>
      </w:pPr>
      <w:r>
        <w:rPr>
          <w:rFonts w:ascii="Arial" w:cs="Arial" w:eastAsia="Arial" w:hAnsi="Arial"/>
          <w:sz w:val="21"/>
          <w:szCs w:val="21"/>
          <w:i w:val="1"/>
          <w:iCs w:val="1"/>
          <w:color w:val="FFFFFF"/>
        </w:rPr>
        <w:t>www.virtualshareholdermeeting.com/ACMR2020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Inside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FFFFFF"/>
        </w:rPr>
        <w:t>CEO’s letter to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FFFFFF"/>
        </w:rPr>
        <w:t>Information on two voting proposals:</w:t>
      </w:r>
    </w:p>
    <w:p>
      <w:pPr>
        <w:spacing w:after="0" w:line="108" w:lineRule="exact"/>
        <w:rPr>
          <w:sz w:val="20"/>
          <w:szCs w:val="20"/>
          <w:color w:val="auto"/>
        </w:rPr>
      </w:pPr>
    </w:p>
    <w:p>
      <w:pPr>
        <w:spacing w:after="0"/>
        <w:rPr>
          <w:sz w:val="20"/>
          <w:szCs w:val="20"/>
          <w:color w:val="auto"/>
        </w:rPr>
      </w:pPr>
      <w:r>
        <w:rPr>
          <w:sz w:val="1"/>
          <w:szCs w:val="1"/>
          <w:color w:val="auto"/>
        </w:rPr>
        <w:drawing>
          <wp:inline distT="0" distB="0" distL="0" distR="0">
            <wp:extent cx="257175" cy="2654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265430"/>
                    </a:xfrm>
                    <a:prstGeom prst="rect">
                      <a:avLst/>
                    </a:prstGeom>
                    <a:noFill/>
                    <a:ln>
                      <a:noFill/>
                    </a:ln>
                  </pic:spPr>
                </pic:pic>
              </a:graphicData>
            </a:graphic>
          </wp:inline>
        </w:drawing>
      </w:r>
      <w:r>
        <w:rPr>
          <w:rFonts w:ascii="Arial" w:cs="Arial" w:eastAsia="Arial" w:hAnsi="Arial"/>
          <w:sz w:val="18"/>
          <w:szCs w:val="18"/>
          <w:color w:val="FFFFFF"/>
        </w:rPr>
        <w:t xml:space="preserve"> Election of six directors</w:t>
      </w:r>
    </w:p>
    <w:p>
      <w:pPr>
        <w:spacing w:after="0" w:line="134" w:lineRule="exact"/>
        <w:rPr>
          <w:sz w:val="20"/>
          <w:szCs w:val="20"/>
          <w:color w:val="auto"/>
        </w:rPr>
      </w:pPr>
    </w:p>
    <w:p>
      <w:pPr>
        <w:ind w:left="420" w:right="1559"/>
        <w:spacing w:after="0" w:line="246" w:lineRule="auto"/>
        <w:rPr>
          <w:sz w:val="20"/>
          <w:szCs w:val="20"/>
          <w:color w:val="auto"/>
        </w:rPr>
      </w:pPr>
      <w:r>
        <w:rPr>
          <w:rFonts w:ascii="Arial" w:cs="Arial" w:eastAsia="Arial" w:hAnsi="Arial"/>
          <w:sz w:val="18"/>
          <w:szCs w:val="18"/>
          <w:color w:val="FFFFFF"/>
        </w:rPr>
        <w:t>Ratification of appointment of independent auditor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305435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20" w:space="720"/>
            <w:col w:w="4319"/>
          </w:cols>
          <w:pgMar w:left="500" w:top="1440"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2635"/>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4D4D4F"/>
        </w:rPr>
        <w:t>April 23,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4D4D4F"/>
        </w:rPr>
        <w:t>Dear Fellow Stockholder:</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It is my pleasure to invite you to attend the Annual Meeting of Stockholders of ACM Research, Inc. to be held on June 2, 2020, at 7 a.m., Pacific time. This year’s Annual Meeting will be a “virtual meeting” conducted via live audio webcast, consistent with our prior practice and with prudent planning in light of the public health risks attributable to the COVID-19 (Coronavirus) pandemic. Each holder of Class A or Class B common stock as of 5 p.m., Eastern time, on the record date of April 8, 2020, will be able to participate in the Annual Meeting by accessing a live webcast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During the Annual Meeting, stockholders will be asked to elect the entire board of directors and to ratify the appointment of BDO China Shu Lun Pan Certified Public Accountants LLP as our independent auditor for 2020. Each of these matters is important, and we urge you to vote in favor of the election of each of the director nominees and the ratification of the appointment of our independent auditor.</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2019 Annual Report to Stockholders, as well as how to vote via proxy either by telephone or over the Internet.</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invites you to participate in the Annual Meeting so that management can listen to your suggestions, answer your questions, and discuss business developments and trends with you. Thank you for your support, and we look forward to joining you at ACM’s 2020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4D4D4F"/>
        </w:rPr>
        <w:t>Sincerely,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4D4D4F"/>
        </w:rPr>
        <w:t>David H. Wang</w:t>
      </w:r>
    </w:p>
    <w:p>
      <w:pPr>
        <w:spacing w:after="0"/>
        <w:rPr>
          <w:sz w:val="20"/>
          <w:szCs w:val="20"/>
          <w:color w:val="auto"/>
        </w:rPr>
      </w:pPr>
      <w:r>
        <w:rPr>
          <w:rFonts w:ascii="Arial" w:cs="Arial" w:eastAsia="Arial" w:hAnsi="Arial"/>
          <w:sz w:val="18"/>
          <w:szCs w:val="18"/>
          <w:i w:val="1"/>
          <w:iCs w:val="1"/>
          <w:color w:val="4D4D4F"/>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37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37235"/>
                    </a:xfrm>
                    <a:prstGeom prst="rect">
                      <a:avLst/>
                    </a:prstGeom>
                    <a:noFill/>
                  </pic:spPr>
                </pic:pic>
              </a:graphicData>
            </a:graphic>
          </wp:anchor>
        </w:drawing>
        <w:t>NOTICE OF</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To Stockholders of ACM Research, Inc.:</w:t>
      </w:r>
    </w:p>
    <w:p>
      <w:pPr>
        <w:spacing w:after="0" w:line="7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4D4D4F"/>
        </w:rPr>
        <w:t xml:space="preserve">The board of directors is soliciting proxies for use at the ACM Research, Inc. 2020 Annual Meeting. You are receiving the enclosed proxy statement because you were a holder of Class A or Class B common stock as of 5 p.m., Eastern time, on the record date of April 8, 2020 and therefore are entitled to vote at the Annual Meeting. You may participate in the Annual Meeting, including casting votes and submitting questions, by accessing a live webcast at </w:t>
      </w:r>
      <w:r>
        <w:rPr>
          <w:rFonts w:ascii="Arial" w:cs="Arial" w:eastAsia="Arial" w:hAnsi="Arial"/>
          <w:sz w:val="18"/>
          <w:szCs w:val="18"/>
          <w:i w:val="1"/>
          <w:iCs w:val="1"/>
          <w:color w:val="4D4D4F"/>
        </w:rPr>
        <w:t xml:space="preserve">virtualshareholdermeeting.com/ACMR2020 </w:t>
      </w:r>
      <w:r>
        <w:rPr>
          <w:rFonts w:ascii="Arial" w:cs="Arial" w:eastAsia="Arial" w:hAnsi="Arial"/>
          <w:sz w:val="18"/>
          <w:szCs w:val="18"/>
          <w:color w:val="4D4D4F"/>
        </w:rPr>
        <w:t>and then using the 16-digit control number provided on the Notice of Internet Availability of Proxy Materials or proxy card being delivered to the stockholder.</w:t>
      </w: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Online check-in to the Annual Meeting will begin at 6:45 a.m., Pacific time, and stockholders are encouraged to allow ample time to log in to the meeting webcast and test their computer audio system. There will be no physical location for the Annual Meeting. The Annual Meeting will be held to consider and vote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111760</wp:posOffset>
            </wp:positionV>
            <wp:extent cx="3094355" cy="1208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943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4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In accordance with the Securities and Exchange Commission rules, we are providing stockholders with access to proxy materials on the Internet, instead of mailing printed copies. We are mailing to stockholders, commencing on or about April 23, 2020, a Notice of Internet Availability of Proxy Materials to provide:</w:t>
      </w:r>
    </w:p>
    <w:p>
      <w:pPr>
        <w:spacing w:after="0" w:line="1" w:lineRule="exact"/>
        <w:rPr>
          <w:sz w:val="20"/>
          <w:szCs w:val="20"/>
          <w:color w:val="auto"/>
        </w:rPr>
      </w:pPr>
    </w:p>
    <w:p>
      <w:pPr>
        <w:jc w:val="both"/>
        <w:ind w:left="660" w:right="20" w:hanging="328"/>
        <w:spacing w:after="0" w:line="239" w:lineRule="auto"/>
        <w:tabs>
          <w:tab w:leader="none" w:pos="660" w:val="left"/>
        </w:tabs>
        <w:numPr>
          <w:ilvl w:val="0"/>
          <w:numId w:val="4"/>
        </w:numPr>
        <w:rPr>
          <w:rFonts w:ascii="Arial" w:cs="Arial" w:eastAsia="Arial" w:hAnsi="Arial"/>
          <w:sz w:val="18"/>
          <w:szCs w:val="18"/>
          <w:color w:val="4D4D4F"/>
        </w:rPr>
      </w:pPr>
      <w:r>
        <w:rPr>
          <w:rFonts w:ascii="Arial" w:cs="Arial" w:eastAsia="Arial" w:hAnsi="Arial"/>
          <w:sz w:val="18"/>
          <w:szCs w:val="18"/>
          <w:color w:val="4D4D4F"/>
        </w:rPr>
        <w:t>directions for accessing and reviewing the proxy materials on the Internet and submitting a proxy over the Internet or by telephone;</w:t>
      </w:r>
    </w:p>
    <w:p>
      <w:pPr>
        <w:spacing w:after="0" w:line="1" w:lineRule="exact"/>
        <w:rPr>
          <w:rFonts w:ascii="Arial" w:cs="Arial" w:eastAsia="Arial" w:hAnsi="Arial"/>
          <w:sz w:val="18"/>
          <w:szCs w:val="18"/>
          <w:color w:val="4D4D4F"/>
        </w:rPr>
      </w:pPr>
    </w:p>
    <w:p>
      <w:pPr>
        <w:ind w:left="660" w:right="20" w:hanging="328"/>
        <w:spacing w:after="0" w:line="226" w:lineRule="auto"/>
        <w:tabs>
          <w:tab w:leader="none" w:pos="660" w:val="left"/>
        </w:tabs>
        <w:numPr>
          <w:ilvl w:val="0"/>
          <w:numId w:val="4"/>
        </w:numPr>
        <w:rPr>
          <w:rFonts w:ascii="Arial" w:cs="Arial" w:eastAsia="Arial" w:hAnsi="Arial"/>
          <w:sz w:val="18"/>
          <w:szCs w:val="18"/>
          <w:color w:val="4D4D4F"/>
        </w:rPr>
      </w:pPr>
      <w:r>
        <w:rPr>
          <w:rFonts w:ascii="Arial" w:cs="Arial" w:eastAsia="Arial" w:hAnsi="Arial"/>
          <w:sz w:val="18"/>
          <w:szCs w:val="18"/>
          <w:color w:val="4D4D4F"/>
        </w:rPr>
        <w:t>instructions for requesting copies of proxy materials in printed form or by email at no charge; and</w:t>
      </w:r>
    </w:p>
    <w:p>
      <w:pPr>
        <w:spacing w:after="0" w:line="1" w:lineRule="exact"/>
        <w:rPr>
          <w:rFonts w:ascii="Arial" w:cs="Arial" w:eastAsia="Arial" w:hAnsi="Arial"/>
          <w:sz w:val="18"/>
          <w:szCs w:val="18"/>
          <w:color w:val="4D4D4F"/>
        </w:rPr>
      </w:pPr>
    </w:p>
    <w:p>
      <w:pPr>
        <w:ind w:left="660" w:right="20" w:hanging="328"/>
        <w:spacing w:after="0" w:line="246" w:lineRule="auto"/>
        <w:tabs>
          <w:tab w:leader="none" w:pos="660" w:val="left"/>
        </w:tabs>
        <w:numPr>
          <w:ilvl w:val="0"/>
          <w:numId w:val="4"/>
        </w:numPr>
        <w:rPr>
          <w:rFonts w:ascii="Arial" w:cs="Arial" w:eastAsia="Arial" w:hAnsi="Arial"/>
          <w:sz w:val="18"/>
          <w:szCs w:val="18"/>
          <w:color w:val="4D4D4F"/>
        </w:rPr>
      </w:pPr>
      <w:r>
        <w:rPr>
          <w:rFonts w:ascii="Arial" w:cs="Arial" w:eastAsia="Arial" w:hAnsi="Arial"/>
          <w:sz w:val="18"/>
          <w:szCs w:val="18"/>
          <w:color w:val="4D4D4F"/>
        </w:rPr>
        <w:t>a control number for use in submitting proxies and accessing the Annual Meeting webcast.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160" w:type="dxa"/>
            <w:vAlign w:val="bottom"/>
          </w:tcPr>
          <w:p>
            <w:pPr>
              <w:spacing w:after="0"/>
              <w:rPr>
                <w:sz w:val="20"/>
                <w:szCs w:val="20"/>
                <w:color w:val="auto"/>
              </w:rPr>
            </w:pPr>
            <w:r>
              <w:rPr>
                <w:rFonts w:ascii="Arial" w:cs="Arial" w:eastAsia="Arial" w:hAnsi="Arial"/>
                <w:sz w:val="18"/>
                <w:szCs w:val="18"/>
                <w:color w:val="4D4D4F"/>
              </w:rPr>
              <w:t>By Order of the Board,</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4D4D4F"/>
              </w:rPr>
              <w:t>Mark McKechnie</w:t>
            </w:r>
          </w:p>
        </w:tc>
        <w:tc>
          <w:tcPr>
            <w:tcW w:w="2420" w:type="dxa"/>
            <w:vAlign w:val="bottom"/>
            <w:vMerge w:val="restart"/>
          </w:tcPr>
          <w:p>
            <w:pPr>
              <w:ind w:left="1140"/>
              <w:spacing w:after="0"/>
              <w:rPr>
                <w:sz w:val="20"/>
                <w:szCs w:val="20"/>
                <w:color w:val="auto"/>
              </w:rPr>
            </w:pPr>
            <w:r>
              <w:rPr>
                <w:rFonts w:ascii="Arial" w:cs="Arial" w:eastAsia="Arial" w:hAnsi="Arial"/>
                <w:sz w:val="18"/>
                <w:szCs w:val="18"/>
                <w:color w:val="4D4D4F"/>
              </w:rPr>
              <w:t>April 23, 2020</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4D4D4F"/>
              </w:rPr>
              <w:t>Secretary</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-310515</wp:posOffset>
            </wp:positionV>
            <wp:extent cx="3463290" cy="1774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63290" cy="17741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03E64"/>
        </w:rPr>
        <w:t>June 2,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03E64"/>
        </w:rPr>
        <w:t>7 a.m., Pacific time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3E64"/>
        </w:rPr>
        <w:t>Webcast only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03E64"/>
        </w:rPr>
        <w:t>Access at: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003E64"/>
        </w:rPr>
        <w:t>virtualshareholdermeeting.com/ACMR2020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111760</wp:posOffset>
            </wp:positionV>
            <wp:extent cx="3463290" cy="1474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63290" cy="1474470"/>
                    </a:xfrm>
                    <a:prstGeom prst="rect">
                      <a:avLst/>
                    </a:prstGeom>
                    <a:noFill/>
                  </pic:spPr>
                </pic:pic>
              </a:graphicData>
            </a:graphic>
          </wp:anchor>
        </w:drawing>
      </w:r>
    </w:p>
    <w:p>
      <w:pPr>
        <w:spacing w:after="0" w:line="35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color w:val="FFFFFF"/>
        </w:rPr>
        <w:t>IMPORTANT NOTICE REGARDING THE AVAILABILITY OF PROXY MATERIALS FOR THE ANNUAL MEETING OF STOCKHOLDERS TO BE HELD ON JUNE 2, 2020:</w:t>
      </w:r>
    </w:p>
    <w:p>
      <w:pPr>
        <w:spacing w:after="0" w:line="333"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b w:val="1"/>
          <w:bCs w:val="1"/>
          <w:color w:val="FFFFFF"/>
        </w:rPr>
        <w:t>The Notice of 2020 Annual Meeting of Stockholders, the Proxy Statement, the 2019 Annual Report to Stockholders and instructions for voting via the Internet can be accessed at:</w:t>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b w:val="1"/>
          <w:bCs w:val="1"/>
          <w:i w:val="1"/>
          <w:iCs w:val="1"/>
          <w:color w:val="FFFFFF"/>
        </w:rPr>
        <w:t>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23495</wp:posOffset>
            </wp:positionV>
            <wp:extent cx="3463290" cy="3034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63290" cy="3034665"/>
                    </a:xfrm>
                    <a:prstGeom prst="rect">
                      <a:avLst/>
                    </a:prstGeom>
                    <a:noFill/>
                  </pic:spPr>
                </pic:pic>
              </a:graphicData>
            </a:graphic>
          </wp:anchor>
        </w:drawing>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How to Vote in Advance</w:t>
      </w:r>
    </w:p>
    <w:p>
      <w:pPr>
        <w:spacing w:after="0" w:line="76" w:lineRule="exact"/>
        <w:rPr>
          <w:sz w:val="20"/>
          <w:szCs w:val="20"/>
          <w:color w:val="auto"/>
        </w:rPr>
      </w:pPr>
    </w:p>
    <w:p>
      <w:pPr>
        <w:jc w:val="both"/>
        <w:ind w:left="180" w:right="160"/>
        <w:spacing w:after="0" w:line="238" w:lineRule="auto"/>
        <w:rPr>
          <w:sz w:val="20"/>
          <w:szCs w:val="20"/>
          <w:color w:val="auto"/>
        </w:rPr>
      </w:pPr>
      <w:r>
        <w:rPr>
          <w:rFonts w:ascii="Arial" w:cs="Arial" w:eastAsia="Arial" w:hAnsi="Arial"/>
          <w:sz w:val="18"/>
          <w:szCs w:val="18"/>
          <w:color w:val="FFFFFF"/>
        </w:rPr>
        <w:t>Your vote is important. Please vote as soon as possible by one of the methods shown below. Your Notice of Internet Availability of Proxy Materials, proxy card or voting instruction form should be readily available.</w:t>
      </w:r>
    </w:p>
    <w:p>
      <w:pPr>
        <w:sectPr>
          <w:pgSz w:w="11900" w:h="16838" w:orient="portrait"/>
          <w:cols w:equalWidth="0" w:num="2">
            <w:col w:w="5580" w:space="360"/>
            <w:col w:w="5300"/>
          </w:cols>
          <w:pgMar w:left="320" w:top="650" w:right="339" w:bottom="1440" w:gutter="0" w:footer="0" w:header="0"/>
          <w:type w:val="continuous"/>
        </w:sectPr>
      </w:pPr>
    </w:p>
    <w:bookmarkStart w:id="4" w:name="page5"/>
    <w:bookmarkEnd w:id="4"/>
    <w:p>
      <w:pPr>
        <w:jc w:val="right"/>
        <w:ind w:right="80"/>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3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3270"/>
                    </a:xfrm>
                    <a:prstGeom prst="rect">
                      <a:avLst/>
                    </a:prstGeom>
                    <a:noFill/>
                  </pic:spPr>
                </pic:pic>
              </a:graphicData>
            </a:graphic>
          </wp:anchor>
        </w:drawing>
        <w:t>42307 Osgood Rd, Suite I</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003E64"/>
        </w:rPr>
        <w:t>Proxy Statement dated April 23, 2020</w:t>
      </w:r>
    </w:p>
    <w:p>
      <w:pPr>
        <w:spacing w:after="0" w:line="118"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003E64"/>
        </w:rPr>
        <w:t>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ACM Research, Inc., a Delaware corporation, is furnishing this Proxy Statement and related proxy materials in connection with the solicitation by its board of directors of proxies to be voted at its 2020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8, 2020 and is first mailing the materials on or about April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The Annual Meeting is scheduled to be held exclusively by webcast as follows:</w:t>
      </w:r>
    </w:p>
    <w:p>
      <w:pPr>
        <w:spacing w:after="0" w:line="260" w:lineRule="exact"/>
        <w:rPr>
          <w:sz w:val="20"/>
          <w:szCs w:val="20"/>
          <w:color w:val="auto"/>
        </w:rPr>
      </w:pPr>
    </w:p>
    <w:tbl>
      <w:tblPr>
        <w:tblLayout w:type="fixed"/>
        <w:tblInd w:w="2000" w:type="dxa"/>
        <w:tblCellMar>
          <w:top w:w="0" w:type="dxa"/>
          <w:left w:w="0" w:type="dxa"/>
          <w:bottom w:w="0" w:type="dxa"/>
          <w:right w:w="0" w:type="dxa"/>
        </w:tblCellMar>
      </w:tblPr>
      <w:tr>
        <w:trPr>
          <w:trHeight w:val="285"/>
        </w:trPr>
        <w:tc>
          <w:tcPr>
            <w:tcW w:w="3020" w:type="dxa"/>
            <w:vAlign w:val="bottom"/>
          </w:tcPr>
          <w:p>
            <w:pPr>
              <w:spacing w:after="0"/>
              <w:rPr>
                <w:sz w:val="20"/>
                <w:szCs w:val="20"/>
                <w:color w:val="auto"/>
              </w:rPr>
            </w:pPr>
            <w:r>
              <w:rPr>
                <w:rFonts w:ascii="Arial" w:cs="Arial" w:eastAsia="Arial" w:hAnsi="Arial"/>
                <w:sz w:val="22"/>
                <w:szCs w:val="22"/>
                <w:b w:val="1"/>
                <w:bCs w:val="1"/>
                <w:color w:val="003E64"/>
              </w:rPr>
              <w:t>Date</w:t>
            </w:r>
          </w:p>
        </w:tc>
        <w:tc>
          <w:tcPr>
            <w:tcW w:w="5560" w:type="dxa"/>
            <w:vAlign w:val="bottom"/>
            <w:vMerge w:val="restart"/>
          </w:tcPr>
          <w:p>
            <w:pPr>
              <w:ind w:left="320"/>
              <w:spacing w:after="0"/>
              <w:rPr>
                <w:sz w:val="20"/>
                <w:szCs w:val="20"/>
                <w:color w:val="auto"/>
              </w:rPr>
            </w:pPr>
            <w:r>
              <w:rPr>
                <w:rFonts w:ascii="Arial" w:cs="Arial" w:eastAsia="Arial" w:hAnsi="Arial"/>
                <w:sz w:val="22"/>
                <w:szCs w:val="22"/>
                <w:b w:val="1"/>
                <w:bCs w:val="1"/>
                <w:color w:val="0079C0"/>
              </w:rPr>
              <w:t>June 2, 2020</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3020" w:type="dxa"/>
            <w:vAlign w:val="bottom"/>
          </w:tcPr>
          <w:p>
            <w:pPr>
              <w:spacing w:after="0"/>
              <w:rPr>
                <w:sz w:val="20"/>
                <w:szCs w:val="20"/>
                <w:color w:val="auto"/>
              </w:rPr>
            </w:pPr>
            <w:r>
              <w:rPr>
                <w:rFonts w:ascii="Arial" w:cs="Arial" w:eastAsia="Arial" w:hAnsi="Arial"/>
                <w:sz w:val="22"/>
                <w:szCs w:val="22"/>
                <w:b w:val="1"/>
                <w:bCs w:val="1"/>
                <w:color w:val="003E64"/>
              </w:rPr>
              <w:t>Time</w:t>
            </w:r>
          </w:p>
        </w:tc>
        <w:tc>
          <w:tcPr>
            <w:tcW w:w="5560" w:type="dxa"/>
            <w:vAlign w:val="bottom"/>
            <w:vMerge w:val="restart"/>
          </w:tcPr>
          <w:p>
            <w:pPr>
              <w:ind w:left="320"/>
              <w:spacing w:after="0"/>
              <w:rPr>
                <w:sz w:val="20"/>
                <w:szCs w:val="20"/>
                <w:color w:val="auto"/>
              </w:rPr>
            </w:pPr>
            <w:r>
              <w:rPr>
                <w:rFonts w:ascii="Arial" w:cs="Arial" w:eastAsia="Arial" w:hAnsi="Arial"/>
                <w:sz w:val="22"/>
                <w:szCs w:val="22"/>
                <w:b w:val="1"/>
                <w:bCs w:val="1"/>
                <w:color w:val="0079C0"/>
              </w:rPr>
              <w:t>7 a.m., Pacific time</w:t>
            </w: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3020" w:type="dxa"/>
            <w:vAlign w:val="bottom"/>
          </w:tcPr>
          <w:p>
            <w:pPr>
              <w:spacing w:after="0"/>
              <w:rPr>
                <w:sz w:val="20"/>
                <w:szCs w:val="20"/>
                <w:color w:val="auto"/>
              </w:rPr>
            </w:pPr>
            <w:r>
              <w:rPr>
                <w:rFonts w:ascii="Arial" w:cs="Arial" w:eastAsia="Arial" w:hAnsi="Arial"/>
                <w:sz w:val="22"/>
                <w:szCs w:val="22"/>
                <w:b w:val="1"/>
                <w:bCs w:val="1"/>
                <w:color w:val="003E64"/>
              </w:rPr>
              <w:t>Meeting Webcast Address</w:t>
            </w:r>
          </w:p>
        </w:tc>
        <w:tc>
          <w:tcPr>
            <w:tcW w:w="5560" w:type="dxa"/>
            <w:vAlign w:val="bottom"/>
            <w:vMerge w:val="restart"/>
          </w:tcPr>
          <w:p>
            <w:pPr>
              <w:ind w:left="320"/>
              <w:spacing w:after="0"/>
              <w:rPr>
                <w:sz w:val="20"/>
                <w:szCs w:val="20"/>
                <w:color w:val="auto"/>
              </w:rPr>
            </w:pPr>
            <w:r>
              <w:rPr>
                <w:rFonts w:ascii="Arial" w:cs="Arial" w:eastAsia="Arial" w:hAnsi="Arial"/>
                <w:sz w:val="22"/>
                <w:szCs w:val="22"/>
                <w:b w:val="1"/>
                <w:bCs w:val="1"/>
                <w:i w:val="1"/>
                <w:iCs w:val="1"/>
                <w:color w:val="0079C0"/>
              </w:rPr>
              <w:t>virtualshareholdermeeting.com/ACMR2020</w:t>
            </w: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D4D4F"/>
        </w:rPr>
        <w:t>Your vote is important.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color w:val="4D4D4F"/>
        </w:rPr>
        <w:t>Please see the detailed information that follows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36"/>
        </w:trPr>
        <w:tc>
          <w:tcPr>
            <w:tcW w:w="10840" w:type="dxa"/>
            <w:vAlign w:val="bottom"/>
          </w:tcPr>
          <w:p>
            <w:pPr>
              <w:ind w:left="5120"/>
              <w:spacing w:after="0"/>
              <w:rPr>
                <w:sz w:val="20"/>
                <w:szCs w:val="20"/>
                <w:color w:val="auto"/>
              </w:rPr>
            </w:pPr>
            <w:r>
              <w:rPr>
                <w:rFonts w:ascii="Arial" w:cs="Arial" w:eastAsia="Arial" w:hAnsi="Arial"/>
                <w:sz w:val="25"/>
                <w:szCs w:val="25"/>
                <w:b w:val="1"/>
                <w:bCs w:val="1"/>
                <w:color w:val="003E64"/>
              </w:rPr>
              <w:t>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10840" w:type="dxa"/>
            <w:vAlign w:val="bottom"/>
          </w:tcPr>
          <w:p>
            <w:pPr>
              <w:spacing w:after="0"/>
              <w:rPr>
                <w:sz w:val="23"/>
                <w:szCs w:val="23"/>
                <w:color w:val="auto"/>
              </w:rPr>
            </w:pPr>
          </w:p>
        </w:tc>
        <w:tc>
          <w:tcPr>
            <w:tcW w:w="360" w:type="dxa"/>
            <w:vAlign w:val="bottom"/>
            <w:tcBorders>
              <w:bottom w:val="single" w:sz="8" w:color="4D4D4F"/>
            </w:tcBorders>
          </w:tcPr>
          <w:p>
            <w:pPr>
              <w:spacing w:after="0"/>
              <w:rPr>
                <w:sz w:val="20"/>
                <w:szCs w:val="20"/>
                <w:color w:val="auto"/>
              </w:rPr>
            </w:pPr>
            <w:r>
              <w:rPr>
                <w:rFonts w:ascii="Arial" w:cs="Arial" w:eastAsia="Arial" w:hAnsi="Arial"/>
                <w:sz w:val="18"/>
                <w:szCs w:val="18"/>
                <w:color w:val="4D4D4F"/>
                <w:w w:val="80"/>
              </w:rPr>
              <w:t>Page</w:t>
            </w:r>
          </w:p>
        </w:tc>
        <w:tc>
          <w:tcPr>
            <w:tcW w:w="40" w:type="dxa"/>
            <w:vAlign w:val="bottom"/>
          </w:tcPr>
          <w:p>
            <w:pPr>
              <w:spacing w:after="0"/>
              <w:rPr>
                <w:sz w:val="23"/>
                <w:szCs w:val="23"/>
                <w:color w:val="auto"/>
              </w:rPr>
            </w:pPr>
          </w:p>
        </w:tc>
      </w:tr>
      <w:tr>
        <w:trPr>
          <w:trHeight w:val="222"/>
        </w:trPr>
        <w:tc>
          <w:tcPr>
            <w:tcW w:w="108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2019 Proxy Summary</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4D4D4F"/>
              </w:rPr>
              <w:t>1</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Questions and Answers about the Annual Meeting</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5</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Vote Required for Election or Approval</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10</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Corporate Governance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of Directors Overview</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Independence of Directors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12</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Director Nomination Rights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12</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Code of Business Conduct</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13</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Oversight of Risk</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13</w:t>
            </w:r>
          </w:p>
        </w:tc>
      </w:tr>
      <w:tr>
        <w:trPr>
          <w:trHeight w:val="202"/>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Leadership Structure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14</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Audit Committee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14</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Nominating and Governance Committee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15</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Committee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15</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Committee Interlocks and Insider Participation</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16</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Certain Relationships and Related-Person Transactions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17</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Compensation</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19</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Proposal 1 — Election of Directors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Director Qualifications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Identifying and Evaluating Nominees for Directors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Information Concerning Nominees for Election as Directors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22</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Beneficial Ownership of Common Stock</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25</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16(a) Beneficial Ownership Reporting Compliance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26</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Executive Officers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27</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Compensation</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28</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Summary Compensation Table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28</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Narrative Explanation of the Summary Compensation Table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28</w:t>
            </w:r>
          </w:p>
        </w:tc>
      </w:tr>
      <w:tr>
        <w:trPr>
          <w:trHeight w:val="163"/>
        </w:trPr>
        <w:tc>
          <w:tcPr>
            <w:tcW w:w="10840" w:type="dxa"/>
            <w:vAlign w:val="bottom"/>
          </w:tcPr>
          <w:p>
            <w:pPr>
              <w:ind w:left="180"/>
              <w:spacing w:after="0" w:line="163"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Outstanding Equity Awards at December 31, 2019</w:t>
              </w:r>
            </w:hyperlink>
          </w:p>
        </w:tc>
        <w:tc>
          <w:tcPr>
            <w:tcW w:w="400" w:type="dxa"/>
            <w:vAlign w:val="bottom"/>
            <w:gridSpan w:val="2"/>
          </w:tcPr>
          <w:p>
            <w:pPr>
              <w:jc w:val="right"/>
              <w:spacing w:after="0" w:line="163" w:lineRule="exact"/>
              <w:rPr>
                <w:sz w:val="20"/>
                <w:szCs w:val="20"/>
                <w:color w:val="auto"/>
              </w:rPr>
            </w:pPr>
            <w:r>
              <w:rPr>
                <w:rFonts w:ascii="Arial" w:cs="Arial" w:eastAsia="Arial" w:hAnsi="Arial"/>
                <w:sz w:val="18"/>
                <w:szCs w:val="18"/>
                <w:color w:val="4D4D4F"/>
              </w:rPr>
              <w:t>29</w:t>
            </w:r>
          </w:p>
        </w:tc>
      </w:tr>
      <w:tr>
        <w:trPr>
          <w:trHeight w:val="242"/>
        </w:trPr>
        <w:tc>
          <w:tcPr>
            <w:tcW w:w="10840" w:type="dxa"/>
            <w:vAlign w:val="bottom"/>
          </w:tcPr>
          <w:p>
            <w:pPr>
              <w:ind w:left="1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Employment Agreements</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4D4D4F"/>
              </w:rPr>
              <w:t>29</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Payments Upon Termination or Change in Control</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29</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Section 162(m) Considerations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29</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Equity Compensation Plan Information</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30</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Proposal 2 — Ratification of Appointment of Independent Auditor for 2019</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31</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Appointment of Independent Auditor by Audit Committee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Proposed Ratification of Independent Auditor</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31</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Accounting Matters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32</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Principal Independent Auditor Fees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32</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Audit Committee Pre-Approval Policies and Procedures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32</w:t>
            </w:r>
          </w:p>
        </w:tc>
      </w:tr>
      <w:tr>
        <w:trPr>
          <w:trHeight w:val="203"/>
        </w:trPr>
        <w:tc>
          <w:tcPr>
            <w:tcW w:w="10840" w:type="dxa"/>
            <w:vAlign w:val="bottom"/>
          </w:tcPr>
          <w:p>
            <w:pPr>
              <w:ind w:left="180"/>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Audit Committee</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32</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Stockholder Proposals for 2020 Annual Meeting</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34</w:t>
            </w:r>
          </w:p>
        </w:tc>
      </w:tr>
      <w:tr>
        <w:trPr>
          <w:trHeight w:val="203"/>
        </w:trPr>
        <w:tc>
          <w:tcPr>
            <w:tcW w:w="10840" w:type="dxa"/>
            <w:vAlign w:val="bottom"/>
          </w:tcPr>
          <w:p>
            <w:pPr>
              <w:spacing w:after="0" w:line="202"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Delivery of Documents to Security Holders Sharing an Address</w:t>
              </w:r>
            </w:hyperlink>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4D4D4F"/>
              </w:rPr>
              <w:t>34</w:t>
            </w:r>
          </w:p>
        </w:tc>
      </w:tr>
      <w:tr>
        <w:trPr>
          <w:trHeight w:val="217"/>
        </w:trPr>
        <w:tc>
          <w:tcPr>
            <w:tcW w:w="108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Matters</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4D4D4F"/>
              </w:rPr>
              <w:t>34</w:t>
            </w:r>
          </w:p>
        </w:tc>
      </w:tr>
      <w:tr>
        <w:trPr>
          <w:trHeight w:val="398"/>
        </w:trPr>
        <w:tc>
          <w:tcPr>
            <w:tcW w:w="10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9"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113030</wp:posOffset>
            </wp:positionV>
            <wp:extent cx="7187565" cy="5824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5824855"/>
                    </a:xfrm>
                    <a:prstGeom prst="rect">
                      <a:avLst/>
                    </a:prstGeom>
                    <a:noFill/>
                  </pic:spPr>
                </pic:pic>
              </a:graphicData>
            </a:graphic>
          </wp:anchor>
        </w:drawing>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03E64"/>
        </w:rPr>
        <w:t>2020 Proxy Summary</w:t>
      </w:r>
    </w:p>
    <w:p>
      <w:pPr>
        <w:spacing w:after="0" w:line="28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4D4D4F"/>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Annual Meeting of Stockholders</w:t>
      </w:r>
    </w:p>
    <w:p>
      <w:pPr>
        <w:sectPr>
          <w:pgSz w:w="11900" w:h="16838" w:orient="portrait"/>
          <w:cols w:equalWidth="0" w:num="1">
            <w:col w:w="11220"/>
          </w:cols>
          <w:pgMar w:left="320" w:top="121" w:right="3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4D4D4F"/>
        </w:rPr>
        <w:t>Time and Date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4D4D4F"/>
        </w:rPr>
        <w:t>7 a.m., Pacific time, on June 2, 2020</w:t>
      </w:r>
    </w:p>
    <w:p>
      <w:pPr>
        <w:spacing w:after="0" w:line="84"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4D4D4F"/>
        </w:rPr>
        <w:t>Meeting Webcast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4D4D4F"/>
        </w:rPr>
        <w:t>virtualshareholdermeeting.com/ACMR2020</w:t>
      </w:r>
    </w:p>
    <w:p>
      <w:pPr>
        <w:spacing w:after="0" w:line="120"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5 p.m., Eastern time, on April 8, 2020</w:t>
      </w:r>
    </w:p>
    <w:p>
      <w:pPr>
        <w:spacing w:after="0" w:line="102"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Voting</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4D4D4F"/>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81"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Total Votes Per Proposal</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4D4D4F"/>
        </w:rPr>
        <w:t>53,569,506 votes, based on 16,317,346 shares of Class A Common Stock and 1,862,608 shares of Class B Common Stock outstanding as of the record date.</w:t>
      </w:r>
    </w:p>
    <w:p>
      <w:pPr>
        <w:spacing w:after="0" w:line="200"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spacing w:after="0" w:line="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Annual Meeting Agenda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980" w:type="dxa"/>
            <w:vAlign w:val="bottom"/>
            <w:tcBorders>
              <w:top w:val="single" w:sz="8" w:color="auto"/>
            </w:tcBorders>
            <w:shd w:val="clear" w:color="auto" w:fill="003E64"/>
          </w:tcPr>
          <w:p>
            <w:pPr>
              <w:spacing w:after="0"/>
              <w:rPr>
                <w:sz w:val="17"/>
                <w:szCs w:val="17"/>
                <w:color w:val="auto"/>
              </w:rPr>
            </w:pPr>
          </w:p>
        </w:tc>
        <w:tc>
          <w:tcPr>
            <w:tcW w:w="4120" w:type="dxa"/>
            <w:vAlign w:val="bottom"/>
            <w:tcBorders>
              <w:top w:val="single" w:sz="8" w:color="auto"/>
            </w:tcBorders>
            <w:shd w:val="clear" w:color="auto" w:fill="003E64"/>
          </w:tcPr>
          <w:p>
            <w:pPr>
              <w:jc w:val="center"/>
              <w:ind w:left="2230"/>
              <w:spacing w:after="0"/>
              <w:rPr>
                <w:sz w:val="20"/>
                <w:szCs w:val="20"/>
                <w:color w:val="auto"/>
              </w:rPr>
            </w:pPr>
            <w:r>
              <w:rPr>
                <w:rFonts w:ascii="Arial" w:cs="Arial" w:eastAsia="Arial" w:hAnsi="Arial"/>
                <w:sz w:val="18"/>
                <w:szCs w:val="18"/>
                <w:b w:val="1"/>
                <w:bCs w:val="1"/>
                <w:color w:val="FFFFFF"/>
                <w:w w:val="99"/>
              </w:rPr>
              <w:t>Board</w:t>
            </w:r>
          </w:p>
        </w:tc>
      </w:tr>
      <w:tr>
        <w:trPr>
          <w:trHeight w:val="232"/>
        </w:trPr>
        <w:tc>
          <w:tcPr>
            <w:tcW w:w="698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FFFFFF"/>
              </w:rPr>
              <w:t>Proposal</w:t>
            </w:r>
          </w:p>
        </w:tc>
        <w:tc>
          <w:tcPr>
            <w:tcW w:w="4120" w:type="dxa"/>
            <w:vAlign w:val="bottom"/>
            <w:tcBorders>
              <w:bottom w:val="single" w:sz="8" w:color="auto"/>
            </w:tcBorders>
            <w:shd w:val="clear" w:color="auto" w:fill="003E64"/>
          </w:tcPr>
          <w:p>
            <w:pPr>
              <w:jc w:val="center"/>
              <w:ind w:left="2230"/>
              <w:spacing w:after="0"/>
              <w:rPr>
                <w:sz w:val="20"/>
                <w:szCs w:val="20"/>
                <w:color w:val="auto"/>
              </w:rPr>
            </w:pPr>
            <w:r>
              <w:rPr>
                <w:rFonts w:ascii="Arial" w:cs="Arial" w:eastAsia="Arial" w:hAnsi="Arial"/>
                <w:sz w:val="18"/>
                <w:szCs w:val="18"/>
                <w:b w:val="1"/>
                <w:bCs w:val="1"/>
                <w:color w:val="FFFFFF"/>
              </w:rPr>
              <w:t>Recommendation</w:t>
            </w:r>
          </w:p>
        </w:tc>
      </w:tr>
      <w:tr>
        <w:trPr>
          <w:trHeight w:val="324"/>
        </w:trPr>
        <w:tc>
          <w:tcPr>
            <w:tcW w:w="6980" w:type="dxa"/>
            <w:vAlign w:val="bottom"/>
          </w:tcPr>
          <w:p>
            <w:pPr>
              <w:spacing w:after="0"/>
              <w:rPr>
                <w:sz w:val="20"/>
                <w:szCs w:val="20"/>
                <w:color w:val="auto"/>
              </w:rPr>
            </w:pPr>
            <w:r>
              <w:rPr>
                <w:rFonts w:ascii="Arial" w:cs="Arial" w:eastAsia="Arial" w:hAnsi="Arial"/>
                <w:sz w:val="18"/>
                <w:szCs w:val="18"/>
                <w:color w:val="4D4D4F"/>
              </w:rPr>
              <w:t>Election of directors</w:t>
            </w:r>
          </w:p>
        </w:tc>
        <w:tc>
          <w:tcPr>
            <w:tcW w:w="4120" w:type="dxa"/>
            <w:vAlign w:val="bottom"/>
          </w:tcPr>
          <w:p>
            <w:pPr>
              <w:ind w:left="2300"/>
              <w:spacing w:after="0"/>
              <w:rPr>
                <w:sz w:val="20"/>
                <w:szCs w:val="20"/>
                <w:color w:val="auto"/>
              </w:rPr>
            </w:pPr>
            <w:r>
              <w:rPr>
                <w:rFonts w:ascii="Arial" w:cs="Arial" w:eastAsia="Arial" w:hAnsi="Arial"/>
                <w:sz w:val="18"/>
                <w:szCs w:val="18"/>
                <w:b w:val="1"/>
                <w:bCs w:val="1"/>
                <w:color w:val="4D4D4F"/>
              </w:rPr>
              <w:t xml:space="preserve">FOR </w:t>
            </w:r>
            <w:r>
              <w:rPr>
                <w:rFonts w:ascii="Arial" w:cs="Arial" w:eastAsia="Arial" w:hAnsi="Arial"/>
                <w:sz w:val="18"/>
                <w:szCs w:val="18"/>
                <w:color w:val="4D4D4F"/>
              </w:rPr>
              <w:t>each nominee</w:t>
            </w:r>
          </w:p>
        </w:tc>
      </w:tr>
      <w:tr>
        <w:trPr>
          <w:trHeight w:val="94"/>
        </w:trPr>
        <w:tc>
          <w:tcPr>
            <w:tcW w:w="6980" w:type="dxa"/>
            <w:vAlign w:val="bottom"/>
          </w:tcPr>
          <w:p>
            <w:pPr>
              <w:spacing w:after="0"/>
              <w:rPr>
                <w:sz w:val="8"/>
                <w:szCs w:val="8"/>
                <w:color w:val="auto"/>
              </w:rPr>
            </w:pPr>
          </w:p>
        </w:tc>
        <w:tc>
          <w:tcPr>
            <w:tcW w:w="4120" w:type="dxa"/>
            <w:vAlign w:val="bottom"/>
          </w:tcPr>
          <w:p>
            <w:pPr>
              <w:spacing w:after="0"/>
              <w:rPr>
                <w:sz w:val="8"/>
                <w:szCs w:val="8"/>
                <w:color w:val="auto"/>
              </w:rPr>
            </w:pPr>
          </w:p>
        </w:tc>
      </w:tr>
      <w:tr>
        <w:trPr>
          <w:trHeight w:val="324"/>
        </w:trPr>
        <w:tc>
          <w:tcPr>
            <w:tcW w:w="6980" w:type="dxa"/>
            <w:vAlign w:val="bottom"/>
            <w:shd w:val="clear" w:color="auto" w:fill="B7E4FF"/>
          </w:tcPr>
          <w:p>
            <w:pPr>
              <w:spacing w:after="0"/>
              <w:rPr>
                <w:sz w:val="20"/>
                <w:szCs w:val="20"/>
                <w:color w:val="auto"/>
              </w:rPr>
            </w:pPr>
            <w:r>
              <w:rPr>
                <w:rFonts w:ascii="Arial" w:cs="Arial" w:eastAsia="Arial" w:hAnsi="Arial"/>
                <w:sz w:val="18"/>
                <w:szCs w:val="18"/>
                <w:color w:val="4D4D4F"/>
              </w:rPr>
              <w:t>Ratification of appointment of independent auditor for 2020</w:t>
            </w:r>
          </w:p>
        </w:tc>
        <w:tc>
          <w:tcPr>
            <w:tcW w:w="4120" w:type="dxa"/>
            <w:vAlign w:val="bottom"/>
            <w:shd w:val="clear" w:color="auto" w:fill="B7E4FF"/>
          </w:tcPr>
          <w:p>
            <w:pPr>
              <w:ind w:left="2300"/>
              <w:spacing w:after="0"/>
              <w:rPr>
                <w:sz w:val="20"/>
                <w:szCs w:val="20"/>
                <w:color w:val="auto"/>
              </w:rPr>
            </w:pPr>
            <w:r>
              <w:rPr>
                <w:rFonts w:ascii="Arial" w:cs="Arial" w:eastAsia="Arial" w:hAnsi="Arial"/>
                <w:sz w:val="18"/>
                <w:szCs w:val="18"/>
                <w:b w:val="1"/>
                <w:bCs w:val="1"/>
                <w:color w:val="4D4D4F"/>
              </w:rPr>
              <w:t>FOR</w:t>
            </w:r>
          </w:p>
        </w:tc>
      </w:tr>
      <w:tr>
        <w:trPr>
          <w:trHeight w:val="94"/>
        </w:trPr>
        <w:tc>
          <w:tcPr>
            <w:tcW w:w="6980" w:type="dxa"/>
            <w:vAlign w:val="bottom"/>
            <w:shd w:val="clear" w:color="auto" w:fill="B7E4FF"/>
          </w:tcPr>
          <w:p>
            <w:pPr>
              <w:spacing w:after="0"/>
              <w:rPr>
                <w:sz w:val="8"/>
                <w:szCs w:val="8"/>
                <w:color w:val="auto"/>
              </w:rPr>
            </w:pPr>
          </w:p>
        </w:tc>
        <w:tc>
          <w:tcPr>
            <w:tcW w:w="4120" w:type="dxa"/>
            <w:vAlign w:val="bottom"/>
            <w:shd w:val="clear" w:color="auto" w:fill="B7E4FF"/>
          </w:tcPr>
          <w:p>
            <w:pPr>
              <w:spacing w:after="0"/>
              <w:rPr>
                <w:sz w:val="8"/>
                <w:szCs w:val="8"/>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How to Cast Your Vote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D4D4F"/>
        </w:rPr>
        <w:t>You can vote by any of the following methods:</w:t>
      </w:r>
    </w:p>
    <w:p>
      <w:pPr>
        <w:spacing w:after="0" w:line="174"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tcBorders>
            <w:gridSpan w:val="2"/>
            <w:shd w:val="clear" w:color="auto" w:fill="003E64"/>
          </w:tcPr>
          <w:p>
            <w:pPr>
              <w:ind w:left="20"/>
              <w:spacing w:after="0"/>
              <w:rPr>
                <w:sz w:val="20"/>
                <w:szCs w:val="20"/>
                <w:color w:val="auto"/>
              </w:rPr>
            </w:pPr>
            <w:r>
              <w:rPr>
                <w:rFonts w:ascii="Arial" w:cs="Arial" w:eastAsia="Arial" w:hAnsi="Arial"/>
                <w:sz w:val="18"/>
                <w:szCs w:val="18"/>
                <w:b w:val="1"/>
                <w:bCs w:val="1"/>
                <w:color w:val="FFFFFF"/>
              </w:rPr>
              <w:t>Until 11:59 p.m., Eastern time, on June 1, 2020</w:t>
            </w:r>
          </w:p>
        </w:tc>
        <w:tc>
          <w:tcPr>
            <w:tcW w:w="5520" w:type="dxa"/>
            <w:vAlign w:val="bottom"/>
            <w:tcBorders>
              <w:top w:val="single" w:sz="8" w:color="auto"/>
              <w:right w:val="single" w:sz="8" w:color="auto"/>
            </w:tcBorders>
            <w:shd w:val="clear" w:color="auto" w:fill="003E64"/>
          </w:tcPr>
          <w:p>
            <w:pPr>
              <w:ind w:left="800"/>
              <w:spacing w:after="0"/>
              <w:rPr>
                <w:sz w:val="20"/>
                <w:szCs w:val="20"/>
                <w:color w:val="auto"/>
              </w:rPr>
            </w:pPr>
            <w:r>
              <w:rPr>
                <w:rFonts w:ascii="Arial" w:cs="Arial" w:eastAsia="Arial" w:hAnsi="Arial"/>
                <w:sz w:val="18"/>
                <w:szCs w:val="18"/>
                <w:b w:val="1"/>
                <w:bCs w:val="1"/>
                <w:color w:val="FFFFFF"/>
              </w:rPr>
              <w:t>At the Annual Meeting on June 2, 2020</w:t>
            </w:r>
          </w:p>
        </w:tc>
        <w:tc>
          <w:tcPr>
            <w:tcW w:w="0" w:type="dxa"/>
            <w:vAlign w:val="bottom"/>
          </w:tcPr>
          <w:p>
            <w:pPr>
              <w:spacing w:after="0"/>
              <w:rPr>
                <w:sz w:val="1"/>
                <w:szCs w:val="1"/>
                <w:color w:val="auto"/>
              </w:rPr>
            </w:pPr>
          </w:p>
        </w:tc>
      </w:tr>
      <w:tr>
        <w:trPr>
          <w:trHeight w:val="373"/>
        </w:trPr>
        <w:tc>
          <w:tcPr>
            <w:tcW w:w="120" w:type="dxa"/>
            <w:vAlign w:val="bottom"/>
          </w:tcPr>
          <w:p>
            <w:pPr>
              <w:spacing w:after="0"/>
              <w:rPr>
                <w:sz w:val="20"/>
                <w:szCs w:val="20"/>
                <w:color w:val="auto"/>
              </w:rPr>
            </w:pPr>
            <w:r>
              <w:rPr>
                <w:rFonts w:ascii="Arial" w:cs="Arial" w:eastAsia="Arial" w:hAnsi="Arial"/>
                <w:sz w:val="18"/>
                <w:szCs w:val="18"/>
                <w:color w:val="009299"/>
              </w:rPr>
              <w:t>•</w:t>
            </w:r>
          </w:p>
        </w:tc>
        <w:tc>
          <w:tcPr>
            <w:tcW w:w="5460" w:type="dxa"/>
            <w:vAlign w:val="bottom"/>
          </w:tcPr>
          <w:p>
            <w:pPr>
              <w:ind w:left="60"/>
              <w:spacing w:after="0"/>
              <w:rPr>
                <w:sz w:val="20"/>
                <w:szCs w:val="20"/>
                <w:color w:val="auto"/>
              </w:rPr>
            </w:pPr>
            <w:r>
              <w:rPr>
                <w:rFonts w:ascii="Arial" w:cs="Arial" w:eastAsia="Arial" w:hAnsi="Arial"/>
                <w:sz w:val="18"/>
                <w:szCs w:val="18"/>
                <w:b w:val="1"/>
                <w:bCs w:val="1"/>
                <w:color w:val="4D4D4F"/>
              </w:rPr>
              <w:t xml:space="preserve">Internet: </w:t>
            </w:r>
            <w:r>
              <w:rPr>
                <w:rFonts w:ascii="Arial" w:cs="Arial" w:eastAsia="Arial" w:hAnsi="Arial"/>
                <w:sz w:val="18"/>
                <w:szCs w:val="18"/>
                <w:color w:val="4D4D4F"/>
              </w:rPr>
              <w:t>From any web-enabled device at</w:t>
            </w:r>
            <w:r>
              <w:rPr>
                <w:rFonts w:ascii="Arial" w:cs="Arial" w:eastAsia="Arial" w:hAnsi="Arial"/>
                <w:sz w:val="18"/>
                <w:szCs w:val="18"/>
                <w:b w:val="1"/>
                <w:bCs w:val="1"/>
                <w:color w:val="4D4D4F"/>
              </w:rPr>
              <w:t xml:space="preserve"> </w:t>
            </w:r>
            <w:r>
              <w:rPr>
                <w:rFonts w:ascii="Arial" w:cs="Arial" w:eastAsia="Arial" w:hAnsi="Arial"/>
                <w:sz w:val="18"/>
                <w:szCs w:val="18"/>
                <w:i w:val="1"/>
                <w:iCs w:val="1"/>
                <w:color w:val="4D4D4F"/>
              </w:rPr>
              <w:t>proxyvote.com</w:t>
            </w:r>
          </w:p>
        </w:tc>
        <w:tc>
          <w:tcPr>
            <w:tcW w:w="5520" w:type="dxa"/>
            <w:vAlign w:val="bottom"/>
          </w:tcPr>
          <w:p>
            <w:pPr>
              <w:ind w:left="80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Internet:</w:t>
            </w:r>
            <w:r>
              <w:rPr>
                <w:rFonts w:ascii="Arial" w:cs="Arial" w:eastAsia="Arial" w:hAnsi="Arial"/>
                <w:sz w:val="18"/>
                <w:szCs w:val="18"/>
                <w:color w:val="009299"/>
              </w:rPr>
              <w:t xml:space="preserve"> </w:t>
            </w:r>
            <w:r>
              <w:rPr>
                <w:rFonts w:ascii="Arial" w:cs="Arial" w:eastAsia="Arial" w:hAnsi="Arial"/>
                <w:sz w:val="18"/>
                <w:szCs w:val="18"/>
                <w:color w:val="000000"/>
              </w:rPr>
              <w:t>J</w:t>
            </w:r>
            <w:r>
              <w:rPr>
                <w:rFonts w:ascii="Arial" w:cs="Arial" w:eastAsia="Arial" w:hAnsi="Arial"/>
                <w:sz w:val="18"/>
                <w:szCs w:val="18"/>
                <w:color w:val="4D4D4F"/>
              </w:rPr>
              <w:t>oining the Annual Meeting at</w:t>
            </w:r>
          </w:p>
        </w:tc>
        <w:tc>
          <w:tcPr>
            <w:tcW w:w="0" w:type="dxa"/>
            <w:vAlign w:val="bottom"/>
          </w:tcPr>
          <w:p>
            <w:pPr>
              <w:spacing w:after="0"/>
              <w:rPr>
                <w:sz w:val="1"/>
                <w:szCs w:val="1"/>
                <w:color w:val="auto"/>
              </w:rPr>
            </w:pPr>
          </w:p>
        </w:tc>
      </w:tr>
      <w:tr>
        <w:trPr>
          <w:trHeight w:val="235"/>
        </w:trPr>
        <w:tc>
          <w:tcPr>
            <w:tcW w:w="120" w:type="dxa"/>
            <w:vAlign w:val="bottom"/>
            <w:vMerge w:val="restart"/>
          </w:tcPr>
          <w:p>
            <w:pPr>
              <w:spacing w:after="0"/>
              <w:rPr>
                <w:sz w:val="20"/>
                <w:szCs w:val="20"/>
                <w:color w:val="auto"/>
              </w:rPr>
            </w:pPr>
            <w:r>
              <w:rPr>
                <w:rFonts w:ascii="Arial" w:cs="Arial" w:eastAsia="Arial" w:hAnsi="Arial"/>
                <w:sz w:val="18"/>
                <w:szCs w:val="18"/>
                <w:color w:val="009299"/>
              </w:rPr>
              <w:t>•</w:t>
            </w:r>
          </w:p>
        </w:tc>
        <w:tc>
          <w:tcPr>
            <w:tcW w:w="5460" w:type="dxa"/>
            <w:vAlign w:val="bottom"/>
            <w:vMerge w:val="restart"/>
          </w:tcPr>
          <w:p>
            <w:pPr>
              <w:ind w:left="60"/>
              <w:spacing w:after="0"/>
              <w:rPr>
                <w:sz w:val="20"/>
                <w:szCs w:val="20"/>
                <w:color w:val="auto"/>
              </w:rPr>
            </w:pPr>
            <w:r>
              <w:rPr>
                <w:rFonts w:ascii="Arial" w:cs="Arial" w:eastAsia="Arial" w:hAnsi="Arial"/>
                <w:sz w:val="18"/>
                <w:szCs w:val="18"/>
                <w:b w:val="1"/>
                <w:bCs w:val="1"/>
                <w:color w:val="4D4D4F"/>
              </w:rPr>
              <w:t xml:space="preserve">Telephone: </w:t>
            </w:r>
            <w:r>
              <w:rPr>
                <w:rFonts w:ascii="Arial" w:cs="Arial" w:eastAsia="Arial" w:hAnsi="Arial"/>
                <w:sz w:val="18"/>
                <w:szCs w:val="18"/>
                <w:color w:val="4D4D4F"/>
              </w:rPr>
              <w:t>+1.800.690.6903</w:t>
            </w:r>
          </w:p>
        </w:tc>
        <w:tc>
          <w:tcPr>
            <w:tcW w:w="5520" w:type="dxa"/>
            <w:vAlign w:val="bottom"/>
          </w:tcPr>
          <w:p>
            <w:pPr>
              <w:ind w:left="960"/>
              <w:spacing w:after="0"/>
              <w:rPr>
                <w:sz w:val="20"/>
                <w:szCs w:val="20"/>
                <w:color w:val="auto"/>
              </w:rPr>
            </w:pPr>
            <w:r>
              <w:rPr>
                <w:rFonts w:ascii="Arial" w:cs="Arial" w:eastAsia="Arial" w:hAnsi="Arial"/>
                <w:sz w:val="18"/>
                <w:szCs w:val="18"/>
                <w:i w:val="1"/>
                <w:iCs w:val="1"/>
                <w:color w:val="4D4D4F"/>
              </w:rPr>
              <w:t>virtualshareholdermeeting.com/ACMR2020</w:t>
            </w:r>
          </w:p>
        </w:tc>
        <w:tc>
          <w:tcPr>
            <w:tcW w:w="0" w:type="dxa"/>
            <w:vAlign w:val="bottom"/>
          </w:tcPr>
          <w:p>
            <w:pPr>
              <w:spacing w:after="0"/>
              <w:rPr>
                <w:sz w:val="1"/>
                <w:szCs w:val="1"/>
                <w:color w:val="auto"/>
              </w:rPr>
            </w:pPr>
          </w:p>
        </w:tc>
      </w:tr>
      <w:tr>
        <w:trPr>
          <w:trHeight w:val="175"/>
        </w:trPr>
        <w:tc>
          <w:tcPr>
            <w:tcW w:w="120" w:type="dxa"/>
            <w:vAlign w:val="bottom"/>
            <w:vMerge w:val="continue"/>
          </w:tcPr>
          <w:p>
            <w:pPr>
              <w:spacing w:after="0"/>
              <w:rPr>
                <w:sz w:val="15"/>
                <w:szCs w:val="15"/>
                <w:color w:val="auto"/>
              </w:rPr>
            </w:pPr>
          </w:p>
        </w:tc>
        <w:tc>
          <w:tcPr>
            <w:tcW w:w="5460" w:type="dxa"/>
            <w:vAlign w:val="bottom"/>
            <w:vMerge w:val="continue"/>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009299"/>
              </w:rPr>
              <w:t>•</w:t>
            </w:r>
          </w:p>
        </w:tc>
        <w:tc>
          <w:tcPr>
            <w:tcW w:w="5460" w:type="dxa"/>
            <w:vAlign w:val="bottom"/>
          </w:tcPr>
          <w:p>
            <w:pPr>
              <w:ind w:left="60"/>
              <w:spacing w:after="0"/>
              <w:rPr>
                <w:sz w:val="20"/>
                <w:szCs w:val="20"/>
                <w:color w:val="auto"/>
              </w:rPr>
            </w:pPr>
            <w:r>
              <w:rPr>
                <w:rFonts w:ascii="Arial" w:cs="Arial" w:eastAsia="Arial" w:hAnsi="Arial"/>
                <w:sz w:val="18"/>
                <w:szCs w:val="18"/>
                <w:color w:val="4D4D4F"/>
              </w:rPr>
              <w:t xml:space="preserve">Completed, signed and returned </w:t>
            </w:r>
            <w:r>
              <w:rPr>
                <w:rFonts w:ascii="Arial" w:cs="Arial" w:eastAsia="Arial" w:hAnsi="Arial"/>
                <w:sz w:val="18"/>
                <w:szCs w:val="18"/>
                <w:b w:val="1"/>
                <w:bCs w:val="1"/>
                <w:color w:val="4D4D4F"/>
              </w:rPr>
              <w:t>proxy card</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113030</wp:posOffset>
            </wp:positionV>
            <wp:extent cx="7101840" cy="5438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1840" cy="543877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sz w:val="1"/>
          <w:szCs w:val="1"/>
          <w:color w:val="auto"/>
        </w:rPr>
        <w:drawing>
          <wp:inline distT="0" distB="0" distL="0" distR="0">
            <wp:extent cx="265430" cy="2654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430" cy="265430"/>
                    </a:xfrm>
                    <a:prstGeom prst="rect">
                      <a:avLst/>
                    </a:prstGeom>
                    <a:noFill/>
                    <a:ln>
                      <a:noFill/>
                    </a:ln>
                  </pic:spPr>
                </pic:pic>
              </a:graphicData>
            </a:graphic>
          </wp:inline>
        </w:drawing>
      </w:r>
      <w:r>
        <w:rPr>
          <w:rFonts w:ascii="Arial" w:cs="Arial" w:eastAsia="Arial" w:hAnsi="Arial"/>
          <w:sz w:val="22"/>
          <w:szCs w:val="22"/>
          <w:b w:val="1"/>
          <w:bCs w:val="1"/>
          <w:color w:val="0079C0"/>
        </w:rPr>
        <w:t xml:space="preserve"> Election of Directors</w:t>
      </w:r>
    </w:p>
    <w:p>
      <w:pPr>
        <w:spacing w:after="0" w:line="256" w:lineRule="exact"/>
        <w:rPr>
          <w:sz w:val="20"/>
          <w:szCs w:val="20"/>
          <w:color w:val="auto"/>
        </w:rPr>
      </w:pPr>
    </w:p>
    <w:p>
      <w:pPr>
        <w:ind w:left="220"/>
        <w:spacing w:after="0" w:line="246" w:lineRule="auto"/>
        <w:rPr>
          <w:sz w:val="20"/>
          <w:szCs w:val="20"/>
          <w:color w:val="auto"/>
        </w:rPr>
      </w:pPr>
      <w:r>
        <w:rPr>
          <w:rFonts w:ascii="Arial" w:cs="Arial" w:eastAsia="Arial" w:hAnsi="Arial"/>
          <w:sz w:val="18"/>
          <w:szCs w:val="18"/>
          <w:color w:val="auto"/>
        </w:rPr>
        <w:t>As the first proposal, we are asking stockholders to elect the following six director nominees, each of whom currently serves as a member of the board of directors. The following information pertains to each director nominee as of April 8, 2020.</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620" w:type="dxa"/>
            <w:vAlign w:val="bottom"/>
            <w:tcBorders>
              <w:top w:val="single" w:sz="8" w:color="auto"/>
            </w:tcBorders>
            <w:shd w:val="clear" w:color="auto" w:fill="003E64"/>
          </w:tcPr>
          <w:p>
            <w:pPr>
              <w:spacing w:after="0"/>
              <w:rPr>
                <w:sz w:val="17"/>
                <w:szCs w:val="17"/>
                <w:color w:val="auto"/>
              </w:rPr>
            </w:pPr>
          </w:p>
        </w:tc>
        <w:tc>
          <w:tcPr>
            <w:tcW w:w="420" w:type="dxa"/>
            <w:vAlign w:val="bottom"/>
            <w:tcBorders>
              <w:top w:val="single" w:sz="8" w:color="auto"/>
            </w:tcBorders>
            <w:shd w:val="clear" w:color="auto" w:fill="003E64"/>
          </w:tcPr>
          <w:p>
            <w:pPr>
              <w:spacing w:after="0"/>
              <w:rPr>
                <w:sz w:val="17"/>
                <w:szCs w:val="17"/>
                <w:color w:val="auto"/>
              </w:rPr>
            </w:pPr>
          </w:p>
        </w:tc>
        <w:tc>
          <w:tcPr>
            <w:tcW w:w="880" w:type="dxa"/>
            <w:vAlign w:val="bottom"/>
            <w:tcBorders>
              <w:top w:val="single" w:sz="8" w:color="auto"/>
            </w:tcBorders>
            <w:shd w:val="clear" w:color="auto" w:fill="003E64"/>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2100" w:type="dxa"/>
            <w:vAlign w:val="bottom"/>
            <w:tcBorders>
              <w:top w:val="single" w:sz="8" w:color="auto"/>
            </w:tcBorders>
            <w:shd w:val="clear" w:color="auto" w:fill="003E64"/>
          </w:tcPr>
          <w:p>
            <w:pPr>
              <w:spacing w:after="0"/>
              <w:rPr>
                <w:sz w:val="17"/>
                <w:szCs w:val="17"/>
                <w:color w:val="auto"/>
              </w:rPr>
            </w:pPr>
          </w:p>
        </w:tc>
        <w:tc>
          <w:tcPr>
            <w:tcW w:w="120" w:type="dxa"/>
            <w:vAlign w:val="bottom"/>
            <w:tcBorders>
              <w:top w:val="single" w:sz="8" w:color="auto"/>
            </w:tcBorders>
            <w:shd w:val="clear" w:color="auto" w:fill="003E64"/>
          </w:tcPr>
          <w:p>
            <w:pPr>
              <w:spacing w:after="0"/>
              <w:rPr>
                <w:sz w:val="17"/>
                <w:szCs w:val="17"/>
                <w:color w:val="auto"/>
              </w:rPr>
            </w:pPr>
          </w:p>
        </w:tc>
        <w:tc>
          <w:tcPr>
            <w:tcW w:w="1160" w:type="dxa"/>
            <w:vAlign w:val="bottom"/>
            <w:tcBorders>
              <w:top w:val="single" w:sz="8" w:color="auto"/>
            </w:tcBorders>
            <w:shd w:val="clear" w:color="auto" w:fill="003E64"/>
          </w:tcPr>
          <w:p>
            <w:pPr>
              <w:jc w:val="center"/>
              <w:spacing w:after="0"/>
              <w:rPr>
                <w:sz w:val="20"/>
                <w:szCs w:val="20"/>
                <w:color w:val="auto"/>
              </w:rPr>
            </w:pPr>
            <w:r>
              <w:rPr>
                <w:rFonts w:ascii="Arial" w:cs="Arial" w:eastAsia="Arial" w:hAnsi="Arial"/>
                <w:sz w:val="13"/>
                <w:szCs w:val="13"/>
                <w:b w:val="1"/>
                <w:bCs w:val="1"/>
                <w:color w:val="FFFFFF"/>
                <w:w w:val="98"/>
              </w:rPr>
              <w:t>Experience/</w:t>
            </w:r>
          </w:p>
        </w:tc>
        <w:tc>
          <w:tcPr>
            <w:tcW w:w="1260" w:type="dxa"/>
            <w:vAlign w:val="bottom"/>
            <w:tcBorders>
              <w:top w:val="single" w:sz="8" w:color="auto"/>
            </w:tcBorders>
            <w:gridSpan w:val="2"/>
            <w:shd w:val="clear" w:color="auto" w:fill="003E64"/>
          </w:tcPr>
          <w:p>
            <w:pPr>
              <w:ind w:left="200"/>
              <w:spacing w:after="0"/>
              <w:rPr>
                <w:sz w:val="20"/>
                <w:szCs w:val="20"/>
                <w:color w:val="auto"/>
              </w:rPr>
            </w:pPr>
            <w:r>
              <w:rPr>
                <w:rFonts w:ascii="Arial" w:cs="Arial" w:eastAsia="Arial" w:hAnsi="Arial"/>
                <w:sz w:val="13"/>
                <w:szCs w:val="13"/>
                <w:b w:val="1"/>
                <w:bCs w:val="1"/>
                <w:color w:val="FFFFFF"/>
              </w:rPr>
              <w:t>Independent</w:t>
            </w:r>
          </w:p>
        </w:tc>
        <w:tc>
          <w:tcPr>
            <w:tcW w:w="1680" w:type="dxa"/>
            <w:vAlign w:val="bottom"/>
            <w:tcBorders>
              <w:top w:val="single" w:sz="8" w:color="auto"/>
            </w:tcBorders>
            <w:shd w:val="clear" w:color="auto" w:fill="003E64"/>
          </w:tcPr>
          <w:p>
            <w:pPr>
              <w:jc w:val="center"/>
              <w:ind w:right="137"/>
              <w:spacing w:after="0"/>
              <w:rPr>
                <w:sz w:val="20"/>
                <w:szCs w:val="20"/>
                <w:color w:val="auto"/>
              </w:rPr>
            </w:pPr>
            <w:r>
              <w:rPr>
                <w:rFonts w:ascii="Arial" w:cs="Arial" w:eastAsia="Arial" w:hAnsi="Arial"/>
                <w:sz w:val="13"/>
                <w:szCs w:val="13"/>
                <w:b w:val="1"/>
                <w:bCs w:val="1"/>
                <w:color w:val="FFFFFF"/>
                <w:w w:val="95"/>
              </w:rPr>
              <w:t>Committee</w:t>
            </w:r>
          </w:p>
        </w:tc>
        <w:tc>
          <w:tcPr>
            <w:tcW w:w="1880" w:type="dxa"/>
            <w:vAlign w:val="bottom"/>
            <w:tcBorders>
              <w:top w:val="single" w:sz="8" w:color="auto"/>
            </w:tcBorders>
            <w:shd w:val="clear" w:color="auto" w:fill="003E64"/>
          </w:tcPr>
          <w:p>
            <w:pPr>
              <w:spacing w:after="0"/>
              <w:rPr>
                <w:sz w:val="17"/>
                <w:szCs w:val="17"/>
                <w:color w:val="auto"/>
              </w:rPr>
            </w:pPr>
          </w:p>
        </w:tc>
      </w:tr>
      <w:tr>
        <w:trPr>
          <w:trHeight w:val="189"/>
        </w:trPr>
        <w:tc>
          <w:tcPr>
            <w:tcW w:w="1620" w:type="dxa"/>
            <w:vAlign w:val="bottom"/>
            <w:shd w:val="clear" w:color="auto" w:fill="003E64"/>
          </w:tcPr>
          <w:p>
            <w:pPr>
              <w:ind w:left="640"/>
              <w:spacing w:after="0"/>
              <w:rPr>
                <w:sz w:val="20"/>
                <w:szCs w:val="20"/>
                <w:color w:val="auto"/>
              </w:rPr>
            </w:pPr>
            <w:r>
              <w:rPr>
                <w:rFonts w:ascii="Arial" w:cs="Arial" w:eastAsia="Arial" w:hAnsi="Arial"/>
                <w:sz w:val="13"/>
                <w:szCs w:val="13"/>
                <w:b w:val="1"/>
                <w:bCs w:val="1"/>
                <w:color w:val="FFFFFF"/>
              </w:rPr>
              <w:t>Name</w:t>
            </w:r>
          </w:p>
        </w:tc>
        <w:tc>
          <w:tcPr>
            <w:tcW w:w="42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Age</w:t>
            </w:r>
          </w:p>
        </w:tc>
        <w:tc>
          <w:tcPr>
            <w:tcW w:w="88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2"/>
              </w:rPr>
              <w:t>Since</w:t>
            </w:r>
          </w:p>
        </w:tc>
        <w:tc>
          <w:tcPr>
            <w:tcW w:w="2100" w:type="dxa"/>
            <w:vAlign w:val="bottom"/>
            <w:shd w:val="clear" w:color="auto" w:fill="003E64"/>
          </w:tcPr>
          <w:p>
            <w:pPr>
              <w:ind w:left="720"/>
              <w:spacing w:after="0"/>
              <w:rPr>
                <w:sz w:val="20"/>
                <w:szCs w:val="20"/>
                <w:color w:val="auto"/>
              </w:rPr>
            </w:pPr>
            <w:r>
              <w:rPr>
                <w:rFonts w:ascii="Arial" w:cs="Arial" w:eastAsia="Arial" w:hAnsi="Arial"/>
                <w:sz w:val="13"/>
                <w:szCs w:val="13"/>
                <w:b w:val="1"/>
                <w:bCs w:val="1"/>
                <w:color w:val="FFFFFF"/>
              </w:rPr>
              <w:t>Occupation</w:t>
            </w:r>
          </w:p>
        </w:tc>
        <w:tc>
          <w:tcPr>
            <w:tcW w:w="120" w:type="dxa"/>
            <w:vAlign w:val="bottom"/>
            <w:shd w:val="clear" w:color="auto" w:fill="003E64"/>
          </w:tcPr>
          <w:p>
            <w:pPr>
              <w:spacing w:after="0"/>
              <w:rPr>
                <w:sz w:val="16"/>
                <w:szCs w:val="16"/>
                <w:color w:val="auto"/>
              </w:rPr>
            </w:pPr>
          </w:p>
        </w:tc>
        <w:tc>
          <w:tcPr>
            <w:tcW w:w="116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Qualifications</w:t>
            </w:r>
          </w:p>
        </w:tc>
        <w:tc>
          <w:tcPr>
            <w:tcW w:w="580" w:type="dxa"/>
            <w:vAlign w:val="bottom"/>
            <w:shd w:val="clear" w:color="auto" w:fill="003E64"/>
          </w:tcPr>
          <w:p>
            <w:pPr>
              <w:ind w:left="200"/>
              <w:spacing w:after="0"/>
              <w:rPr>
                <w:sz w:val="20"/>
                <w:szCs w:val="20"/>
                <w:color w:val="auto"/>
              </w:rPr>
            </w:pPr>
            <w:r>
              <w:rPr>
                <w:rFonts w:ascii="Arial" w:cs="Arial" w:eastAsia="Arial" w:hAnsi="Arial"/>
                <w:sz w:val="13"/>
                <w:szCs w:val="13"/>
                <w:b w:val="1"/>
                <w:bCs w:val="1"/>
                <w:color w:val="FFFFFF"/>
              </w:rPr>
              <w:t>Yes</w:t>
            </w:r>
          </w:p>
        </w:tc>
        <w:tc>
          <w:tcPr>
            <w:tcW w:w="680" w:type="dxa"/>
            <w:vAlign w:val="bottom"/>
            <w:shd w:val="clear" w:color="auto" w:fill="003E64"/>
          </w:tcPr>
          <w:p>
            <w:pPr>
              <w:jc w:val="center"/>
              <w:ind w:right="113"/>
              <w:spacing w:after="0"/>
              <w:rPr>
                <w:sz w:val="20"/>
                <w:szCs w:val="20"/>
                <w:color w:val="auto"/>
              </w:rPr>
            </w:pPr>
            <w:r>
              <w:rPr>
                <w:rFonts w:ascii="Arial" w:cs="Arial" w:eastAsia="Arial" w:hAnsi="Arial"/>
                <w:sz w:val="13"/>
                <w:szCs w:val="13"/>
                <w:b w:val="1"/>
                <w:bCs w:val="1"/>
                <w:color w:val="FFFFFF"/>
              </w:rPr>
              <w:t>No</w:t>
            </w:r>
          </w:p>
        </w:tc>
        <w:tc>
          <w:tcPr>
            <w:tcW w:w="1680" w:type="dxa"/>
            <w:vAlign w:val="bottom"/>
            <w:shd w:val="clear" w:color="auto" w:fill="003E64"/>
          </w:tcPr>
          <w:p>
            <w:pPr>
              <w:jc w:val="center"/>
              <w:ind w:right="137"/>
              <w:spacing w:after="0"/>
              <w:rPr>
                <w:sz w:val="20"/>
                <w:szCs w:val="20"/>
                <w:color w:val="auto"/>
              </w:rPr>
            </w:pPr>
            <w:r>
              <w:rPr>
                <w:rFonts w:ascii="Arial" w:cs="Arial" w:eastAsia="Arial" w:hAnsi="Arial"/>
                <w:sz w:val="13"/>
                <w:szCs w:val="13"/>
                <w:b w:val="1"/>
                <w:bCs w:val="1"/>
                <w:color w:val="FFFFFF"/>
                <w:w w:val="95"/>
              </w:rPr>
              <w:t>Memberships</w:t>
            </w:r>
          </w:p>
        </w:tc>
        <w:tc>
          <w:tcPr>
            <w:tcW w:w="1880" w:type="dxa"/>
            <w:vAlign w:val="bottom"/>
            <w:shd w:val="clear" w:color="auto" w:fill="003E64"/>
          </w:tcPr>
          <w:p>
            <w:pPr>
              <w:ind w:left="520"/>
              <w:spacing w:after="0"/>
              <w:rPr>
                <w:sz w:val="20"/>
                <w:szCs w:val="20"/>
                <w:color w:val="auto"/>
              </w:rPr>
            </w:pPr>
            <w:r>
              <w:rPr>
                <w:rFonts w:ascii="Arial" w:cs="Arial" w:eastAsia="Arial" w:hAnsi="Arial"/>
                <w:sz w:val="13"/>
                <w:szCs w:val="13"/>
                <w:b w:val="1"/>
                <w:bCs w:val="1"/>
                <w:color w:val="FFFFFF"/>
              </w:rPr>
              <w:t>Other Boards</w:t>
            </w:r>
          </w:p>
        </w:tc>
      </w:tr>
      <w:tr>
        <w:trPr>
          <w:trHeight w:val="356"/>
        </w:trPr>
        <w:tc>
          <w:tcPr>
            <w:tcW w:w="1620" w:type="dxa"/>
            <w:vAlign w:val="bottom"/>
          </w:tcPr>
          <w:p>
            <w:pPr>
              <w:spacing w:after="0"/>
              <w:rPr>
                <w:sz w:val="20"/>
                <w:szCs w:val="20"/>
                <w:color w:val="auto"/>
              </w:rPr>
            </w:pPr>
            <w:r>
              <w:rPr>
                <w:rFonts w:ascii="Arial" w:cs="Arial" w:eastAsia="Arial" w:hAnsi="Arial"/>
                <w:sz w:val="14"/>
                <w:szCs w:val="14"/>
                <w:color w:val="4D4D4F"/>
              </w:rPr>
              <w:t>David H. Wang</w:t>
            </w:r>
          </w:p>
        </w:tc>
        <w:tc>
          <w:tcPr>
            <w:tcW w:w="420" w:type="dxa"/>
            <w:vAlign w:val="bottom"/>
          </w:tcPr>
          <w:p>
            <w:pPr>
              <w:jc w:val="right"/>
              <w:ind w:right="53"/>
              <w:spacing w:after="0"/>
              <w:rPr>
                <w:sz w:val="20"/>
                <w:szCs w:val="20"/>
                <w:color w:val="auto"/>
              </w:rPr>
            </w:pPr>
            <w:r>
              <w:rPr>
                <w:rFonts w:ascii="Arial" w:cs="Arial" w:eastAsia="Arial" w:hAnsi="Arial"/>
                <w:sz w:val="14"/>
                <w:szCs w:val="14"/>
                <w:color w:val="4D4D4F"/>
              </w:rPr>
              <w:t>58</w:t>
            </w:r>
          </w:p>
        </w:tc>
        <w:tc>
          <w:tcPr>
            <w:tcW w:w="880" w:type="dxa"/>
            <w:vAlign w:val="bottom"/>
          </w:tcPr>
          <w:p>
            <w:pPr>
              <w:jc w:val="center"/>
              <w:spacing w:after="0"/>
              <w:rPr>
                <w:sz w:val="20"/>
                <w:szCs w:val="20"/>
                <w:color w:val="auto"/>
              </w:rPr>
            </w:pPr>
            <w:r>
              <w:rPr>
                <w:rFonts w:ascii="Arial" w:cs="Arial" w:eastAsia="Arial" w:hAnsi="Arial"/>
                <w:sz w:val="14"/>
                <w:szCs w:val="14"/>
                <w:color w:val="4D4D4F"/>
              </w:rPr>
              <w:t>1998</w:t>
            </w:r>
          </w:p>
        </w:tc>
        <w:tc>
          <w:tcPr>
            <w:tcW w:w="2100" w:type="dxa"/>
            <w:vAlign w:val="bottom"/>
          </w:tcPr>
          <w:p>
            <w:pPr>
              <w:spacing w:after="0"/>
              <w:rPr>
                <w:sz w:val="20"/>
                <w:szCs w:val="20"/>
                <w:color w:val="auto"/>
              </w:rPr>
            </w:pPr>
            <w:r>
              <w:rPr>
                <w:rFonts w:ascii="Arial" w:cs="Arial" w:eastAsia="Arial" w:hAnsi="Arial"/>
                <w:sz w:val="14"/>
                <w:szCs w:val="14"/>
                <w:color w:val="4D4D4F"/>
              </w:rPr>
              <w:t>Founder, Chief Executive Officer</w:t>
            </w:r>
          </w:p>
        </w:tc>
        <w:tc>
          <w:tcPr>
            <w:tcW w:w="120" w:type="dxa"/>
            <w:vAlign w:val="bottom"/>
          </w:tcPr>
          <w:p>
            <w:pPr>
              <w:ind w:left="40"/>
              <w:spacing w:after="0"/>
              <w:rPr>
                <w:sz w:val="20"/>
                <w:szCs w:val="20"/>
                <w:color w:val="auto"/>
              </w:rPr>
            </w:pPr>
            <w:r>
              <w:rPr>
                <w:rFonts w:ascii="Arial" w:cs="Arial" w:eastAsia="Arial" w:hAnsi="Arial"/>
                <w:sz w:val="14"/>
                <w:szCs w:val="14"/>
                <w:color w:val="0079C0"/>
              </w:rPr>
              <w:t>•</w:t>
            </w:r>
          </w:p>
        </w:tc>
        <w:tc>
          <w:tcPr>
            <w:tcW w:w="1160" w:type="dxa"/>
            <w:vAlign w:val="bottom"/>
          </w:tcPr>
          <w:p>
            <w:pPr>
              <w:ind w:left="40"/>
              <w:spacing w:after="0"/>
              <w:rPr>
                <w:sz w:val="20"/>
                <w:szCs w:val="20"/>
                <w:color w:val="auto"/>
              </w:rPr>
            </w:pPr>
            <w:r>
              <w:rPr>
                <w:rFonts w:ascii="Arial" w:cs="Arial" w:eastAsia="Arial" w:hAnsi="Arial"/>
                <w:sz w:val="14"/>
                <w:szCs w:val="14"/>
                <w:color w:val="4D4D4F"/>
              </w:rPr>
              <w:t>Industry</w:t>
            </w:r>
          </w:p>
        </w:tc>
        <w:tc>
          <w:tcPr>
            <w:tcW w:w="580" w:type="dxa"/>
            <w:vAlign w:val="bottom"/>
          </w:tcPr>
          <w:p>
            <w:pPr>
              <w:spacing w:after="0"/>
              <w:rPr>
                <w:sz w:val="24"/>
                <w:szCs w:val="24"/>
                <w:color w:val="auto"/>
              </w:rPr>
            </w:pPr>
          </w:p>
        </w:tc>
        <w:tc>
          <w:tcPr>
            <w:tcW w:w="680" w:type="dxa"/>
            <w:vAlign w:val="bottom"/>
          </w:tcPr>
          <w:p>
            <w:pPr>
              <w:jc w:val="center"/>
              <w:ind w:right="133"/>
              <w:spacing w:after="0" w:line="141" w:lineRule="exact"/>
              <w:rPr>
                <w:sz w:val="20"/>
                <w:szCs w:val="20"/>
                <w:color w:val="auto"/>
              </w:rPr>
            </w:pPr>
            <w:r>
              <w:rPr>
                <w:rFonts w:ascii="MS PGothic" w:cs="MS PGothic" w:eastAsia="MS PGothic" w:hAnsi="MS PGothic"/>
                <w:sz w:val="14"/>
                <w:szCs w:val="14"/>
                <w:color w:val="auto"/>
                <w:w w:val="85"/>
              </w:rPr>
              <w:t>✔</w:t>
            </w: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3"/>
        </w:trPr>
        <w:tc>
          <w:tcPr>
            <w:tcW w:w="1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00" w:type="dxa"/>
            <w:vAlign w:val="bottom"/>
          </w:tcPr>
          <w:p>
            <w:pPr>
              <w:spacing w:after="0"/>
              <w:rPr>
                <w:sz w:val="20"/>
                <w:szCs w:val="20"/>
                <w:color w:val="auto"/>
              </w:rPr>
            </w:pPr>
            <w:r>
              <w:rPr>
                <w:rFonts w:ascii="Arial" w:cs="Arial" w:eastAsia="Arial" w:hAnsi="Arial"/>
                <w:sz w:val="14"/>
                <w:szCs w:val="14"/>
                <w:color w:val="4D4D4F"/>
              </w:rPr>
              <w:t>and President of ACM Research</w:t>
            </w:r>
          </w:p>
        </w:tc>
        <w:tc>
          <w:tcPr>
            <w:tcW w:w="120" w:type="dxa"/>
            <w:vAlign w:val="bottom"/>
          </w:tcPr>
          <w:p>
            <w:pPr>
              <w:ind w:left="40"/>
              <w:spacing w:after="0"/>
              <w:rPr>
                <w:sz w:val="20"/>
                <w:szCs w:val="20"/>
                <w:color w:val="auto"/>
              </w:rPr>
            </w:pPr>
            <w:r>
              <w:rPr>
                <w:rFonts w:ascii="Arial" w:cs="Arial" w:eastAsia="Arial" w:hAnsi="Arial"/>
                <w:sz w:val="14"/>
                <w:szCs w:val="14"/>
                <w:color w:val="0079C0"/>
              </w:rPr>
              <w:t>•</w:t>
            </w:r>
          </w:p>
        </w:tc>
        <w:tc>
          <w:tcPr>
            <w:tcW w:w="1160" w:type="dxa"/>
            <w:vAlign w:val="bottom"/>
          </w:tcPr>
          <w:p>
            <w:pPr>
              <w:ind w:left="40"/>
              <w:spacing w:after="0"/>
              <w:rPr>
                <w:sz w:val="20"/>
                <w:szCs w:val="20"/>
                <w:color w:val="auto"/>
              </w:rPr>
            </w:pPr>
            <w:r>
              <w:rPr>
                <w:rFonts w:ascii="Arial" w:cs="Arial" w:eastAsia="Arial" w:hAnsi="Arial"/>
                <w:sz w:val="14"/>
                <w:szCs w:val="14"/>
                <w:color w:val="4D4D4F"/>
              </w:rPr>
              <w:t>Innovation</w:t>
            </w: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84" w:lineRule="exact"/>
        <w:rPr>
          <w:sz w:val="20"/>
          <w:szCs w:val="20"/>
          <w:color w:val="auto"/>
        </w:rPr>
      </w:pPr>
    </w:p>
    <w:p>
      <w:pPr>
        <w:ind w:left="5220" w:hanging="123"/>
        <w:spacing w:after="0"/>
        <w:tabs>
          <w:tab w:leader="none" w:pos="5220" w:val="left"/>
        </w:tabs>
        <w:numPr>
          <w:ilvl w:val="0"/>
          <w:numId w:val="5"/>
        </w:numPr>
        <w:rPr>
          <w:rFonts w:ascii="Arial" w:cs="Arial" w:eastAsia="Arial" w:hAnsi="Arial"/>
          <w:sz w:val="14"/>
          <w:szCs w:val="14"/>
          <w:color w:val="0079C0"/>
        </w:rPr>
      </w:pPr>
      <w:r>
        <w:rPr>
          <w:rFonts w:ascii="Arial" w:cs="Arial" w:eastAsia="Arial" w:hAnsi="Arial"/>
          <w:sz w:val="14"/>
          <w:szCs w:val="14"/>
          <w:color w:val="4D4D4F"/>
        </w:rPr>
        <w:t>Leadership</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356"/>
        </w:trPr>
        <w:tc>
          <w:tcPr>
            <w:tcW w:w="1420" w:type="dxa"/>
            <w:vAlign w:val="bottom"/>
            <w:shd w:val="clear" w:color="auto" w:fill="B7E4FF"/>
          </w:tcPr>
          <w:p>
            <w:pPr>
              <w:spacing w:after="0"/>
              <w:rPr>
                <w:sz w:val="20"/>
                <w:szCs w:val="20"/>
                <w:color w:val="auto"/>
              </w:rPr>
            </w:pPr>
            <w:r>
              <w:rPr>
                <w:rFonts w:ascii="Arial" w:cs="Arial" w:eastAsia="Arial" w:hAnsi="Arial"/>
                <w:sz w:val="14"/>
                <w:szCs w:val="14"/>
                <w:color w:val="4D4D4F"/>
              </w:rPr>
              <w:t>Haiping Dun</w:t>
            </w:r>
          </w:p>
        </w:tc>
        <w:tc>
          <w:tcPr>
            <w:tcW w:w="70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70</w:t>
            </w:r>
          </w:p>
        </w:tc>
        <w:tc>
          <w:tcPr>
            <w:tcW w:w="660" w:type="dxa"/>
            <w:vAlign w:val="bottom"/>
            <w:shd w:val="clear" w:color="auto" w:fill="B7E4FF"/>
          </w:tcPr>
          <w:p>
            <w:pPr>
              <w:jc w:val="right"/>
              <w:ind w:right="68"/>
              <w:spacing w:after="0"/>
              <w:rPr>
                <w:sz w:val="20"/>
                <w:szCs w:val="20"/>
                <w:color w:val="auto"/>
              </w:rPr>
            </w:pPr>
            <w:r>
              <w:rPr>
                <w:rFonts w:ascii="Arial" w:cs="Arial" w:eastAsia="Arial" w:hAnsi="Arial"/>
                <w:sz w:val="14"/>
                <w:szCs w:val="14"/>
                <w:color w:val="4D4D4F"/>
              </w:rPr>
              <w:t>2003</w:t>
            </w:r>
          </w:p>
        </w:tc>
        <w:tc>
          <w:tcPr>
            <w:tcW w:w="226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Former Senior Director of Intel</w:t>
            </w:r>
          </w:p>
        </w:tc>
        <w:tc>
          <w:tcPr>
            <w:tcW w:w="100" w:type="dxa"/>
            <w:vAlign w:val="bottom"/>
            <w:shd w:val="clear" w:color="auto" w:fill="B7E4FF"/>
          </w:tcPr>
          <w:p>
            <w:pPr>
              <w:ind w:left="20"/>
              <w:spacing w:after="0"/>
              <w:rPr>
                <w:sz w:val="20"/>
                <w:szCs w:val="20"/>
                <w:color w:val="auto"/>
              </w:rPr>
            </w:pPr>
            <w:r>
              <w:rPr>
                <w:rFonts w:ascii="Arial" w:cs="Arial" w:eastAsia="Arial" w:hAnsi="Arial"/>
                <w:sz w:val="14"/>
                <w:szCs w:val="14"/>
                <w:color w:val="003E64"/>
              </w:rPr>
              <w:t>•</w:t>
            </w:r>
          </w:p>
        </w:tc>
        <w:tc>
          <w:tcPr>
            <w:tcW w:w="124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Industry</w:t>
            </w:r>
          </w:p>
        </w:tc>
        <w:tc>
          <w:tcPr>
            <w:tcW w:w="640" w:type="dxa"/>
            <w:vAlign w:val="bottom"/>
            <w:shd w:val="clear" w:color="auto" w:fill="B7E4FF"/>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shd w:val="clear" w:color="auto" w:fill="B7E4FF"/>
          </w:tcPr>
          <w:p>
            <w:pPr>
              <w:ind w:left="380"/>
              <w:spacing w:after="0"/>
              <w:rPr>
                <w:sz w:val="20"/>
                <w:szCs w:val="20"/>
                <w:color w:val="auto"/>
              </w:rPr>
            </w:pPr>
            <w:r>
              <w:rPr>
                <w:rFonts w:ascii="Arial" w:cs="Arial" w:eastAsia="Arial" w:hAnsi="Arial"/>
                <w:sz w:val="14"/>
                <w:szCs w:val="14"/>
                <w:color w:val="003E64"/>
              </w:rPr>
              <w:t>•</w:t>
            </w:r>
          </w:p>
        </w:tc>
        <w:tc>
          <w:tcPr>
            <w:tcW w:w="138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Audit</w:t>
            </w:r>
          </w:p>
        </w:tc>
        <w:tc>
          <w:tcPr>
            <w:tcW w:w="440" w:type="dxa"/>
            <w:vAlign w:val="bottom"/>
            <w:shd w:val="clear" w:color="auto" w:fill="B7E4FF"/>
          </w:tcPr>
          <w:p>
            <w:pPr>
              <w:spacing w:after="0"/>
              <w:rPr>
                <w:sz w:val="24"/>
                <w:szCs w:val="24"/>
                <w:color w:val="auto"/>
              </w:rPr>
            </w:pPr>
          </w:p>
        </w:tc>
        <w:tc>
          <w:tcPr>
            <w:tcW w:w="1820" w:type="dxa"/>
            <w:vAlign w:val="bottom"/>
            <w:shd w:val="clear" w:color="auto" w:fill="B7E4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20" w:type="dxa"/>
            <w:vAlign w:val="bottom"/>
            <w:shd w:val="clear" w:color="auto" w:fill="B7E4FF"/>
          </w:tcPr>
          <w:p>
            <w:pPr>
              <w:spacing w:after="0"/>
              <w:rPr>
                <w:sz w:val="14"/>
                <w:szCs w:val="14"/>
                <w:color w:val="auto"/>
              </w:rPr>
            </w:pPr>
          </w:p>
        </w:tc>
        <w:tc>
          <w:tcPr>
            <w:tcW w:w="700" w:type="dxa"/>
            <w:vAlign w:val="bottom"/>
            <w:shd w:val="clear" w:color="auto" w:fill="B7E4FF"/>
          </w:tcPr>
          <w:p>
            <w:pPr>
              <w:spacing w:after="0"/>
              <w:rPr>
                <w:sz w:val="14"/>
                <w:szCs w:val="14"/>
                <w:color w:val="auto"/>
              </w:rPr>
            </w:pPr>
          </w:p>
        </w:tc>
        <w:tc>
          <w:tcPr>
            <w:tcW w:w="660" w:type="dxa"/>
            <w:vAlign w:val="bottom"/>
            <w:shd w:val="clear" w:color="auto" w:fill="B7E4FF"/>
          </w:tcPr>
          <w:p>
            <w:pPr>
              <w:spacing w:after="0"/>
              <w:rPr>
                <w:sz w:val="14"/>
                <w:szCs w:val="14"/>
                <w:color w:val="auto"/>
              </w:rPr>
            </w:pPr>
          </w:p>
        </w:tc>
        <w:tc>
          <w:tcPr>
            <w:tcW w:w="226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Corporation</w:t>
            </w:r>
          </w:p>
        </w:tc>
        <w:tc>
          <w:tcPr>
            <w:tcW w:w="100" w:type="dxa"/>
            <w:vAlign w:val="bottom"/>
            <w:vMerge w:val="restart"/>
            <w:shd w:val="clear" w:color="auto" w:fill="B7E4FF"/>
          </w:tcPr>
          <w:p>
            <w:pPr>
              <w:ind w:left="20"/>
              <w:spacing w:after="0"/>
              <w:rPr>
                <w:sz w:val="20"/>
                <w:szCs w:val="20"/>
                <w:color w:val="auto"/>
              </w:rPr>
            </w:pPr>
            <w:r>
              <w:rPr>
                <w:rFonts w:ascii="Arial" w:cs="Arial" w:eastAsia="Arial" w:hAnsi="Arial"/>
                <w:sz w:val="14"/>
                <w:szCs w:val="14"/>
                <w:color w:val="003E64"/>
              </w:rPr>
              <w:t>•</w:t>
            </w:r>
          </w:p>
        </w:tc>
        <w:tc>
          <w:tcPr>
            <w:tcW w:w="1240" w:type="dxa"/>
            <w:vAlign w:val="bottom"/>
            <w:vMerge w:val="restart"/>
            <w:shd w:val="clear" w:color="auto" w:fill="B7E4FF"/>
          </w:tcPr>
          <w:p>
            <w:pPr>
              <w:ind w:left="40"/>
              <w:spacing w:after="0"/>
              <w:rPr>
                <w:sz w:val="20"/>
                <w:szCs w:val="20"/>
                <w:color w:val="auto"/>
              </w:rPr>
            </w:pPr>
            <w:r>
              <w:rPr>
                <w:rFonts w:ascii="Arial" w:cs="Arial" w:eastAsia="Arial" w:hAnsi="Arial"/>
                <w:sz w:val="14"/>
                <w:szCs w:val="14"/>
                <w:color w:val="4D4D4F"/>
              </w:rPr>
              <w:t>Global</w:t>
            </w:r>
          </w:p>
        </w:tc>
        <w:tc>
          <w:tcPr>
            <w:tcW w:w="640" w:type="dxa"/>
            <w:vAlign w:val="bottom"/>
            <w:shd w:val="clear" w:color="auto" w:fill="B7E4FF"/>
          </w:tcPr>
          <w:p>
            <w:pPr>
              <w:spacing w:after="0"/>
              <w:rPr>
                <w:sz w:val="14"/>
                <w:szCs w:val="14"/>
                <w:color w:val="auto"/>
              </w:rPr>
            </w:pPr>
          </w:p>
        </w:tc>
        <w:tc>
          <w:tcPr>
            <w:tcW w:w="460" w:type="dxa"/>
            <w:vAlign w:val="bottom"/>
            <w:vMerge w:val="restart"/>
            <w:shd w:val="clear" w:color="auto" w:fill="B7E4FF"/>
          </w:tcPr>
          <w:p>
            <w:pPr>
              <w:ind w:left="380"/>
              <w:spacing w:after="0"/>
              <w:rPr>
                <w:sz w:val="20"/>
                <w:szCs w:val="20"/>
                <w:color w:val="auto"/>
              </w:rPr>
            </w:pPr>
            <w:r>
              <w:rPr>
                <w:rFonts w:ascii="Arial" w:cs="Arial" w:eastAsia="Arial" w:hAnsi="Arial"/>
                <w:sz w:val="14"/>
                <w:szCs w:val="14"/>
                <w:color w:val="003E64"/>
              </w:rPr>
              <w:t>•</w:t>
            </w:r>
          </w:p>
        </w:tc>
        <w:tc>
          <w:tcPr>
            <w:tcW w:w="1380" w:type="dxa"/>
            <w:vAlign w:val="bottom"/>
            <w:vMerge w:val="restart"/>
            <w:shd w:val="clear" w:color="auto" w:fill="B7E4FF"/>
          </w:tcPr>
          <w:p>
            <w:pPr>
              <w:ind w:left="40"/>
              <w:spacing w:after="0"/>
              <w:rPr>
                <w:sz w:val="20"/>
                <w:szCs w:val="20"/>
                <w:color w:val="auto"/>
              </w:rPr>
            </w:pPr>
            <w:r>
              <w:rPr>
                <w:rFonts w:ascii="Arial" w:cs="Arial" w:eastAsia="Arial" w:hAnsi="Arial"/>
                <w:sz w:val="14"/>
                <w:szCs w:val="14"/>
                <w:color w:val="4D4D4F"/>
              </w:rPr>
              <w:t>Compensation</w:t>
            </w:r>
          </w:p>
        </w:tc>
        <w:tc>
          <w:tcPr>
            <w:tcW w:w="440" w:type="dxa"/>
            <w:vAlign w:val="bottom"/>
            <w:shd w:val="clear" w:color="auto" w:fill="B7E4FF"/>
          </w:tcPr>
          <w:p>
            <w:pPr>
              <w:spacing w:after="0"/>
              <w:rPr>
                <w:sz w:val="14"/>
                <w:szCs w:val="14"/>
                <w:color w:val="auto"/>
              </w:rPr>
            </w:pPr>
          </w:p>
        </w:tc>
        <w:tc>
          <w:tcPr>
            <w:tcW w:w="18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20" w:type="dxa"/>
            <w:vAlign w:val="bottom"/>
            <w:shd w:val="clear" w:color="auto" w:fill="B7E4FF"/>
          </w:tcPr>
          <w:p>
            <w:pPr>
              <w:spacing w:after="0"/>
              <w:rPr>
                <w:sz w:val="7"/>
                <w:szCs w:val="7"/>
                <w:color w:val="auto"/>
              </w:rPr>
            </w:pPr>
          </w:p>
        </w:tc>
        <w:tc>
          <w:tcPr>
            <w:tcW w:w="700" w:type="dxa"/>
            <w:vAlign w:val="bottom"/>
            <w:shd w:val="clear" w:color="auto" w:fill="B7E4FF"/>
          </w:tcPr>
          <w:p>
            <w:pPr>
              <w:spacing w:after="0"/>
              <w:rPr>
                <w:sz w:val="7"/>
                <w:szCs w:val="7"/>
                <w:color w:val="auto"/>
              </w:rPr>
            </w:pPr>
          </w:p>
        </w:tc>
        <w:tc>
          <w:tcPr>
            <w:tcW w:w="660" w:type="dxa"/>
            <w:vAlign w:val="bottom"/>
            <w:shd w:val="clear" w:color="auto" w:fill="B7E4FF"/>
          </w:tcPr>
          <w:p>
            <w:pPr>
              <w:spacing w:after="0"/>
              <w:rPr>
                <w:sz w:val="7"/>
                <w:szCs w:val="7"/>
                <w:color w:val="auto"/>
              </w:rPr>
            </w:pPr>
          </w:p>
        </w:tc>
        <w:tc>
          <w:tcPr>
            <w:tcW w:w="2260" w:type="dxa"/>
            <w:vAlign w:val="bottom"/>
            <w:vMerge w:val="restart"/>
            <w:shd w:val="clear" w:color="auto" w:fill="B7E4FF"/>
          </w:tcPr>
          <w:p>
            <w:pPr>
              <w:ind w:left="140"/>
              <w:spacing w:after="0"/>
              <w:rPr>
                <w:sz w:val="20"/>
                <w:szCs w:val="20"/>
                <w:color w:val="auto"/>
              </w:rPr>
            </w:pPr>
            <w:r>
              <w:rPr>
                <w:rFonts w:ascii="Arial" w:cs="Arial" w:eastAsia="Arial" w:hAnsi="Arial"/>
                <w:sz w:val="14"/>
                <w:szCs w:val="14"/>
                <w:color w:val="4D4D4F"/>
              </w:rPr>
              <w:t>Former President of Champion</w:t>
            </w:r>
          </w:p>
        </w:tc>
        <w:tc>
          <w:tcPr>
            <w:tcW w:w="100" w:type="dxa"/>
            <w:vAlign w:val="bottom"/>
            <w:vMerge w:val="continue"/>
            <w:shd w:val="clear" w:color="auto" w:fill="B7E4FF"/>
          </w:tcPr>
          <w:p>
            <w:pPr>
              <w:spacing w:after="0"/>
              <w:rPr>
                <w:sz w:val="7"/>
                <w:szCs w:val="7"/>
                <w:color w:val="auto"/>
              </w:rPr>
            </w:pPr>
          </w:p>
        </w:tc>
        <w:tc>
          <w:tcPr>
            <w:tcW w:w="1240" w:type="dxa"/>
            <w:vAlign w:val="bottom"/>
            <w:vMerge w:val="continue"/>
            <w:shd w:val="clear" w:color="auto" w:fill="B7E4FF"/>
          </w:tcPr>
          <w:p>
            <w:pPr>
              <w:spacing w:after="0"/>
              <w:rPr>
                <w:sz w:val="7"/>
                <w:szCs w:val="7"/>
                <w:color w:val="auto"/>
              </w:rPr>
            </w:pPr>
          </w:p>
        </w:tc>
        <w:tc>
          <w:tcPr>
            <w:tcW w:w="640" w:type="dxa"/>
            <w:vAlign w:val="bottom"/>
            <w:shd w:val="clear" w:color="auto" w:fill="B7E4FF"/>
          </w:tcPr>
          <w:p>
            <w:pPr>
              <w:spacing w:after="0"/>
              <w:rPr>
                <w:sz w:val="7"/>
                <w:szCs w:val="7"/>
                <w:color w:val="auto"/>
              </w:rPr>
            </w:pPr>
          </w:p>
        </w:tc>
        <w:tc>
          <w:tcPr>
            <w:tcW w:w="460" w:type="dxa"/>
            <w:vAlign w:val="bottom"/>
            <w:vMerge w:val="continue"/>
            <w:shd w:val="clear" w:color="auto" w:fill="B7E4FF"/>
          </w:tcPr>
          <w:p>
            <w:pPr>
              <w:spacing w:after="0"/>
              <w:rPr>
                <w:sz w:val="7"/>
                <w:szCs w:val="7"/>
                <w:color w:val="auto"/>
              </w:rPr>
            </w:pPr>
          </w:p>
        </w:tc>
        <w:tc>
          <w:tcPr>
            <w:tcW w:w="1380" w:type="dxa"/>
            <w:vAlign w:val="bottom"/>
            <w:vMerge w:val="continue"/>
            <w:shd w:val="clear" w:color="auto" w:fill="B7E4FF"/>
          </w:tcPr>
          <w:p>
            <w:pPr>
              <w:spacing w:after="0"/>
              <w:rPr>
                <w:sz w:val="7"/>
                <w:szCs w:val="7"/>
                <w:color w:val="auto"/>
              </w:rPr>
            </w:pPr>
          </w:p>
        </w:tc>
        <w:tc>
          <w:tcPr>
            <w:tcW w:w="440" w:type="dxa"/>
            <w:vAlign w:val="bottom"/>
            <w:shd w:val="clear" w:color="auto" w:fill="B7E4FF"/>
          </w:tcPr>
          <w:p>
            <w:pPr>
              <w:spacing w:after="0"/>
              <w:rPr>
                <w:sz w:val="7"/>
                <w:szCs w:val="7"/>
                <w:color w:val="auto"/>
              </w:rPr>
            </w:pPr>
          </w:p>
        </w:tc>
        <w:tc>
          <w:tcPr>
            <w:tcW w:w="1820" w:type="dxa"/>
            <w:vAlign w:val="bottom"/>
            <w:shd w:val="clear" w:color="auto" w:fill="B7E4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420" w:type="dxa"/>
            <w:vAlign w:val="bottom"/>
            <w:shd w:val="clear" w:color="auto" w:fill="B7E4FF"/>
          </w:tcPr>
          <w:p>
            <w:pPr>
              <w:spacing w:after="0"/>
              <w:rPr>
                <w:sz w:val="13"/>
                <w:szCs w:val="13"/>
                <w:color w:val="auto"/>
              </w:rPr>
            </w:pPr>
          </w:p>
        </w:tc>
        <w:tc>
          <w:tcPr>
            <w:tcW w:w="700" w:type="dxa"/>
            <w:vAlign w:val="bottom"/>
            <w:shd w:val="clear" w:color="auto" w:fill="B7E4FF"/>
          </w:tcPr>
          <w:p>
            <w:pPr>
              <w:spacing w:after="0"/>
              <w:rPr>
                <w:sz w:val="13"/>
                <w:szCs w:val="13"/>
                <w:color w:val="auto"/>
              </w:rPr>
            </w:pPr>
          </w:p>
        </w:tc>
        <w:tc>
          <w:tcPr>
            <w:tcW w:w="660" w:type="dxa"/>
            <w:vAlign w:val="bottom"/>
            <w:shd w:val="clear" w:color="auto" w:fill="B7E4FF"/>
          </w:tcPr>
          <w:p>
            <w:pPr>
              <w:spacing w:after="0"/>
              <w:rPr>
                <w:sz w:val="13"/>
                <w:szCs w:val="13"/>
                <w:color w:val="auto"/>
              </w:rPr>
            </w:pPr>
          </w:p>
        </w:tc>
        <w:tc>
          <w:tcPr>
            <w:tcW w:w="2260" w:type="dxa"/>
            <w:vAlign w:val="bottom"/>
            <w:vMerge w:val="continue"/>
            <w:shd w:val="clear" w:color="auto" w:fill="B7E4FF"/>
          </w:tcPr>
          <w:p>
            <w:pPr>
              <w:spacing w:after="0"/>
              <w:rPr>
                <w:sz w:val="13"/>
                <w:szCs w:val="13"/>
                <w:color w:val="auto"/>
              </w:rPr>
            </w:pPr>
          </w:p>
        </w:tc>
        <w:tc>
          <w:tcPr>
            <w:tcW w:w="100" w:type="dxa"/>
            <w:vAlign w:val="bottom"/>
            <w:vMerge w:val="restart"/>
            <w:shd w:val="clear" w:color="auto" w:fill="B7E4FF"/>
          </w:tcPr>
          <w:p>
            <w:pPr>
              <w:ind w:left="20"/>
              <w:spacing w:after="0"/>
              <w:rPr>
                <w:sz w:val="20"/>
                <w:szCs w:val="20"/>
                <w:color w:val="auto"/>
              </w:rPr>
            </w:pPr>
            <w:r>
              <w:rPr>
                <w:rFonts w:ascii="Arial" w:cs="Arial" w:eastAsia="Arial" w:hAnsi="Arial"/>
                <w:sz w:val="14"/>
                <w:szCs w:val="14"/>
                <w:color w:val="003E64"/>
              </w:rPr>
              <w:t>•</w:t>
            </w:r>
          </w:p>
        </w:tc>
        <w:tc>
          <w:tcPr>
            <w:tcW w:w="1240" w:type="dxa"/>
            <w:vAlign w:val="bottom"/>
            <w:vMerge w:val="restart"/>
            <w:shd w:val="clear" w:color="auto" w:fill="B7E4FF"/>
          </w:tcPr>
          <w:p>
            <w:pPr>
              <w:ind w:left="40"/>
              <w:spacing w:after="0"/>
              <w:rPr>
                <w:sz w:val="20"/>
                <w:szCs w:val="20"/>
                <w:color w:val="auto"/>
              </w:rPr>
            </w:pPr>
            <w:r>
              <w:rPr>
                <w:rFonts w:ascii="Arial" w:cs="Arial" w:eastAsia="Arial" w:hAnsi="Arial"/>
                <w:sz w:val="14"/>
                <w:szCs w:val="14"/>
                <w:color w:val="4D4D4F"/>
              </w:rPr>
              <w:t>Leadership</w:t>
            </w:r>
          </w:p>
        </w:tc>
        <w:tc>
          <w:tcPr>
            <w:tcW w:w="640" w:type="dxa"/>
            <w:vAlign w:val="bottom"/>
            <w:shd w:val="clear" w:color="auto" w:fill="B7E4FF"/>
          </w:tcPr>
          <w:p>
            <w:pPr>
              <w:spacing w:after="0"/>
              <w:rPr>
                <w:sz w:val="13"/>
                <w:szCs w:val="13"/>
                <w:color w:val="auto"/>
              </w:rPr>
            </w:pPr>
          </w:p>
        </w:tc>
        <w:tc>
          <w:tcPr>
            <w:tcW w:w="460" w:type="dxa"/>
            <w:vAlign w:val="bottom"/>
            <w:shd w:val="clear" w:color="auto" w:fill="B7E4FF"/>
          </w:tcPr>
          <w:p>
            <w:pPr>
              <w:spacing w:after="0"/>
              <w:rPr>
                <w:sz w:val="13"/>
                <w:szCs w:val="13"/>
                <w:color w:val="auto"/>
              </w:rPr>
            </w:pPr>
          </w:p>
        </w:tc>
        <w:tc>
          <w:tcPr>
            <w:tcW w:w="1380" w:type="dxa"/>
            <w:vAlign w:val="bottom"/>
            <w:shd w:val="clear" w:color="auto" w:fill="B7E4FF"/>
          </w:tcPr>
          <w:p>
            <w:pPr>
              <w:spacing w:after="0"/>
              <w:rPr>
                <w:sz w:val="13"/>
                <w:szCs w:val="13"/>
                <w:color w:val="auto"/>
              </w:rPr>
            </w:pPr>
          </w:p>
        </w:tc>
        <w:tc>
          <w:tcPr>
            <w:tcW w:w="440" w:type="dxa"/>
            <w:vAlign w:val="bottom"/>
            <w:shd w:val="clear" w:color="auto" w:fill="B7E4FF"/>
          </w:tcPr>
          <w:p>
            <w:pPr>
              <w:spacing w:after="0"/>
              <w:rPr>
                <w:sz w:val="13"/>
                <w:szCs w:val="13"/>
                <w:color w:val="auto"/>
              </w:rPr>
            </w:pPr>
          </w:p>
        </w:tc>
        <w:tc>
          <w:tcPr>
            <w:tcW w:w="1820" w:type="dxa"/>
            <w:vAlign w:val="bottom"/>
            <w:shd w:val="clear" w:color="auto" w:fill="B7E4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420" w:type="dxa"/>
            <w:vAlign w:val="bottom"/>
            <w:shd w:val="clear" w:color="auto" w:fill="B7E4FF"/>
          </w:tcPr>
          <w:p>
            <w:pPr>
              <w:spacing w:after="0"/>
              <w:rPr>
                <w:sz w:val="9"/>
                <w:szCs w:val="9"/>
                <w:color w:val="auto"/>
              </w:rPr>
            </w:pPr>
          </w:p>
        </w:tc>
        <w:tc>
          <w:tcPr>
            <w:tcW w:w="700" w:type="dxa"/>
            <w:vAlign w:val="bottom"/>
            <w:shd w:val="clear" w:color="auto" w:fill="B7E4FF"/>
          </w:tcPr>
          <w:p>
            <w:pPr>
              <w:spacing w:after="0"/>
              <w:rPr>
                <w:sz w:val="9"/>
                <w:szCs w:val="9"/>
                <w:color w:val="auto"/>
              </w:rPr>
            </w:pPr>
          </w:p>
        </w:tc>
        <w:tc>
          <w:tcPr>
            <w:tcW w:w="660" w:type="dxa"/>
            <w:vAlign w:val="bottom"/>
            <w:shd w:val="clear" w:color="auto" w:fill="B7E4FF"/>
          </w:tcPr>
          <w:p>
            <w:pPr>
              <w:spacing w:after="0"/>
              <w:rPr>
                <w:sz w:val="9"/>
                <w:szCs w:val="9"/>
                <w:color w:val="auto"/>
              </w:rPr>
            </w:pPr>
          </w:p>
        </w:tc>
        <w:tc>
          <w:tcPr>
            <w:tcW w:w="2260" w:type="dxa"/>
            <w:vAlign w:val="bottom"/>
            <w:vMerge w:val="restart"/>
            <w:shd w:val="clear" w:color="auto" w:fill="B7E4FF"/>
          </w:tcPr>
          <w:p>
            <w:pPr>
              <w:ind w:left="140"/>
              <w:spacing w:after="0"/>
              <w:rPr>
                <w:sz w:val="20"/>
                <w:szCs w:val="20"/>
                <w:color w:val="auto"/>
              </w:rPr>
            </w:pPr>
            <w:r>
              <w:rPr>
                <w:rFonts w:ascii="Arial" w:cs="Arial" w:eastAsia="Arial" w:hAnsi="Arial"/>
                <w:sz w:val="14"/>
                <w:szCs w:val="14"/>
                <w:color w:val="4D4D4F"/>
              </w:rPr>
              <w:t>Microelectronic Corp.</w:t>
            </w:r>
          </w:p>
        </w:tc>
        <w:tc>
          <w:tcPr>
            <w:tcW w:w="100" w:type="dxa"/>
            <w:vAlign w:val="bottom"/>
            <w:vMerge w:val="continue"/>
            <w:shd w:val="clear" w:color="auto" w:fill="B7E4FF"/>
          </w:tcPr>
          <w:p>
            <w:pPr>
              <w:spacing w:after="0"/>
              <w:rPr>
                <w:sz w:val="9"/>
                <w:szCs w:val="9"/>
                <w:color w:val="auto"/>
              </w:rPr>
            </w:pPr>
          </w:p>
        </w:tc>
        <w:tc>
          <w:tcPr>
            <w:tcW w:w="1240" w:type="dxa"/>
            <w:vAlign w:val="bottom"/>
            <w:vMerge w:val="continue"/>
            <w:shd w:val="clear" w:color="auto" w:fill="B7E4FF"/>
          </w:tcPr>
          <w:p>
            <w:pPr>
              <w:spacing w:after="0"/>
              <w:rPr>
                <w:sz w:val="9"/>
                <w:szCs w:val="9"/>
                <w:color w:val="auto"/>
              </w:rPr>
            </w:pPr>
          </w:p>
        </w:tc>
        <w:tc>
          <w:tcPr>
            <w:tcW w:w="640" w:type="dxa"/>
            <w:vAlign w:val="bottom"/>
            <w:shd w:val="clear" w:color="auto" w:fill="B7E4FF"/>
          </w:tcPr>
          <w:p>
            <w:pPr>
              <w:spacing w:after="0"/>
              <w:rPr>
                <w:sz w:val="9"/>
                <w:szCs w:val="9"/>
                <w:color w:val="auto"/>
              </w:rPr>
            </w:pPr>
          </w:p>
        </w:tc>
        <w:tc>
          <w:tcPr>
            <w:tcW w:w="460" w:type="dxa"/>
            <w:vAlign w:val="bottom"/>
            <w:shd w:val="clear" w:color="auto" w:fill="B7E4FF"/>
          </w:tcPr>
          <w:p>
            <w:pPr>
              <w:spacing w:after="0"/>
              <w:rPr>
                <w:sz w:val="9"/>
                <w:szCs w:val="9"/>
                <w:color w:val="auto"/>
              </w:rPr>
            </w:pPr>
          </w:p>
        </w:tc>
        <w:tc>
          <w:tcPr>
            <w:tcW w:w="1380" w:type="dxa"/>
            <w:vAlign w:val="bottom"/>
            <w:shd w:val="clear" w:color="auto" w:fill="B7E4FF"/>
          </w:tcPr>
          <w:p>
            <w:pPr>
              <w:spacing w:after="0"/>
              <w:rPr>
                <w:sz w:val="9"/>
                <w:szCs w:val="9"/>
                <w:color w:val="auto"/>
              </w:rPr>
            </w:pPr>
          </w:p>
        </w:tc>
        <w:tc>
          <w:tcPr>
            <w:tcW w:w="440" w:type="dxa"/>
            <w:vAlign w:val="bottom"/>
            <w:shd w:val="clear" w:color="auto" w:fill="B7E4FF"/>
          </w:tcPr>
          <w:p>
            <w:pPr>
              <w:spacing w:after="0"/>
              <w:rPr>
                <w:sz w:val="9"/>
                <w:szCs w:val="9"/>
                <w:color w:val="auto"/>
              </w:rPr>
            </w:pPr>
          </w:p>
        </w:tc>
        <w:tc>
          <w:tcPr>
            <w:tcW w:w="1820" w:type="dxa"/>
            <w:vAlign w:val="bottom"/>
            <w:shd w:val="clear" w:color="auto" w:fill="B7E4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20" w:type="dxa"/>
            <w:vAlign w:val="bottom"/>
            <w:shd w:val="clear" w:color="auto" w:fill="B7E4FF"/>
          </w:tcPr>
          <w:p>
            <w:pPr>
              <w:spacing w:after="0"/>
              <w:rPr>
                <w:sz w:val="5"/>
                <w:szCs w:val="5"/>
                <w:color w:val="auto"/>
              </w:rPr>
            </w:pPr>
          </w:p>
        </w:tc>
        <w:tc>
          <w:tcPr>
            <w:tcW w:w="700" w:type="dxa"/>
            <w:vAlign w:val="bottom"/>
            <w:shd w:val="clear" w:color="auto" w:fill="B7E4FF"/>
          </w:tcPr>
          <w:p>
            <w:pPr>
              <w:spacing w:after="0"/>
              <w:rPr>
                <w:sz w:val="5"/>
                <w:szCs w:val="5"/>
                <w:color w:val="auto"/>
              </w:rPr>
            </w:pPr>
          </w:p>
        </w:tc>
        <w:tc>
          <w:tcPr>
            <w:tcW w:w="660" w:type="dxa"/>
            <w:vAlign w:val="bottom"/>
            <w:shd w:val="clear" w:color="auto" w:fill="B7E4FF"/>
          </w:tcPr>
          <w:p>
            <w:pPr>
              <w:spacing w:after="0"/>
              <w:rPr>
                <w:sz w:val="5"/>
                <w:szCs w:val="5"/>
                <w:color w:val="auto"/>
              </w:rPr>
            </w:pPr>
          </w:p>
        </w:tc>
        <w:tc>
          <w:tcPr>
            <w:tcW w:w="2260" w:type="dxa"/>
            <w:vAlign w:val="bottom"/>
            <w:vMerge w:val="continue"/>
            <w:shd w:val="clear" w:color="auto" w:fill="B7E4FF"/>
          </w:tcPr>
          <w:p>
            <w:pPr>
              <w:spacing w:after="0"/>
              <w:rPr>
                <w:sz w:val="5"/>
                <w:szCs w:val="5"/>
                <w:color w:val="auto"/>
              </w:rPr>
            </w:pPr>
          </w:p>
        </w:tc>
        <w:tc>
          <w:tcPr>
            <w:tcW w:w="100" w:type="dxa"/>
            <w:vAlign w:val="bottom"/>
            <w:shd w:val="clear" w:color="auto" w:fill="B7E4FF"/>
          </w:tcPr>
          <w:p>
            <w:pPr>
              <w:spacing w:after="0"/>
              <w:rPr>
                <w:sz w:val="5"/>
                <w:szCs w:val="5"/>
                <w:color w:val="auto"/>
              </w:rPr>
            </w:pPr>
          </w:p>
        </w:tc>
        <w:tc>
          <w:tcPr>
            <w:tcW w:w="1240" w:type="dxa"/>
            <w:vAlign w:val="bottom"/>
            <w:shd w:val="clear" w:color="auto" w:fill="B7E4FF"/>
          </w:tcPr>
          <w:p>
            <w:pPr>
              <w:spacing w:after="0"/>
              <w:rPr>
                <w:sz w:val="5"/>
                <w:szCs w:val="5"/>
                <w:color w:val="auto"/>
              </w:rPr>
            </w:pPr>
          </w:p>
        </w:tc>
        <w:tc>
          <w:tcPr>
            <w:tcW w:w="640" w:type="dxa"/>
            <w:vAlign w:val="bottom"/>
            <w:shd w:val="clear" w:color="auto" w:fill="B7E4FF"/>
          </w:tcPr>
          <w:p>
            <w:pPr>
              <w:spacing w:after="0"/>
              <w:rPr>
                <w:sz w:val="5"/>
                <w:szCs w:val="5"/>
                <w:color w:val="auto"/>
              </w:rPr>
            </w:pPr>
          </w:p>
        </w:tc>
        <w:tc>
          <w:tcPr>
            <w:tcW w:w="460" w:type="dxa"/>
            <w:vAlign w:val="bottom"/>
            <w:shd w:val="clear" w:color="auto" w:fill="B7E4FF"/>
          </w:tcPr>
          <w:p>
            <w:pPr>
              <w:spacing w:after="0"/>
              <w:rPr>
                <w:sz w:val="5"/>
                <w:szCs w:val="5"/>
                <w:color w:val="auto"/>
              </w:rPr>
            </w:pPr>
          </w:p>
        </w:tc>
        <w:tc>
          <w:tcPr>
            <w:tcW w:w="1380" w:type="dxa"/>
            <w:vAlign w:val="bottom"/>
            <w:shd w:val="clear" w:color="auto" w:fill="B7E4FF"/>
          </w:tcPr>
          <w:p>
            <w:pPr>
              <w:spacing w:after="0"/>
              <w:rPr>
                <w:sz w:val="5"/>
                <w:szCs w:val="5"/>
                <w:color w:val="auto"/>
              </w:rPr>
            </w:pPr>
          </w:p>
        </w:tc>
        <w:tc>
          <w:tcPr>
            <w:tcW w:w="440" w:type="dxa"/>
            <w:vAlign w:val="bottom"/>
            <w:shd w:val="clear" w:color="auto" w:fill="B7E4FF"/>
          </w:tcPr>
          <w:p>
            <w:pPr>
              <w:spacing w:after="0"/>
              <w:rPr>
                <w:sz w:val="5"/>
                <w:szCs w:val="5"/>
                <w:color w:val="auto"/>
              </w:rPr>
            </w:pPr>
          </w:p>
        </w:tc>
        <w:tc>
          <w:tcPr>
            <w:tcW w:w="1820" w:type="dxa"/>
            <w:vAlign w:val="bottom"/>
            <w:shd w:val="clear" w:color="auto" w:fill="B7E4FF"/>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420" w:type="dxa"/>
            <w:vAlign w:val="bottom"/>
            <w:shd w:val="clear" w:color="auto" w:fill="B7E4FF"/>
          </w:tcPr>
          <w:p>
            <w:pPr>
              <w:spacing w:after="0"/>
              <w:rPr>
                <w:sz w:val="24"/>
                <w:szCs w:val="24"/>
                <w:color w:val="auto"/>
              </w:rPr>
            </w:pPr>
          </w:p>
        </w:tc>
        <w:tc>
          <w:tcPr>
            <w:tcW w:w="700" w:type="dxa"/>
            <w:vAlign w:val="bottom"/>
            <w:shd w:val="clear" w:color="auto" w:fill="B7E4FF"/>
          </w:tcPr>
          <w:p>
            <w:pPr>
              <w:spacing w:after="0"/>
              <w:rPr>
                <w:sz w:val="24"/>
                <w:szCs w:val="24"/>
                <w:color w:val="auto"/>
              </w:rPr>
            </w:pPr>
          </w:p>
        </w:tc>
        <w:tc>
          <w:tcPr>
            <w:tcW w:w="660" w:type="dxa"/>
            <w:vAlign w:val="bottom"/>
            <w:shd w:val="clear" w:color="auto" w:fill="B7E4FF"/>
          </w:tcPr>
          <w:p>
            <w:pPr>
              <w:spacing w:after="0"/>
              <w:rPr>
                <w:sz w:val="24"/>
                <w:szCs w:val="24"/>
                <w:color w:val="auto"/>
              </w:rPr>
            </w:pPr>
          </w:p>
        </w:tc>
        <w:tc>
          <w:tcPr>
            <w:tcW w:w="2260" w:type="dxa"/>
            <w:vAlign w:val="bottom"/>
            <w:shd w:val="clear" w:color="auto" w:fill="B7E4FF"/>
          </w:tcPr>
          <w:p>
            <w:pPr>
              <w:spacing w:after="0"/>
              <w:rPr>
                <w:sz w:val="24"/>
                <w:szCs w:val="24"/>
                <w:color w:val="auto"/>
              </w:rPr>
            </w:pPr>
          </w:p>
        </w:tc>
        <w:tc>
          <w:tcPr>
            <w:tcW w:w="100" w:type="dxa"/>
            <w:vAlign w:val="bottom"/>
            <w:shd w:val="clear" w:color="auto" w:fill="B7E4FF"/>
          </w:tcPr>
          <w:p>
            <w:pPr>
              <w:spacing w:after="0"/>
              <w:rPr>
                <w:sz w:val="24"/>
                <w:szCs w:val="24"/>
                <w:color w:val="auto"/>
              </w:rPr>
            </w:pPr>
          </w:p>
        </w:tc>
        <w:tc>
          <w:tcPr>
            <w:tcW w:w="1240" w:type="dxa"/>
            <w:vAlign w:val="bottom"/>
            <w:shd w:val="clear" w:color="auto" w:fill="B7E4FF"/>
          </w:tcPr>
          <w:p>
            <w:pPr>
              <w:spacing w:after="0"/>
              <w:rPr>
                <w:sz w:val="24"/>
                <w:szCs w:val="24"/>
                <w:color w:val="auto"/>
              </w:rPr>
            </w:pPr>
          </w:p>
        </w:tc>
        <w:tc>
          <w:tcPr>
            <w:tcW w:w="640" w:type="dxa"/>
            <w:vAlign w:val="bottom"/>
            <w:shd w:val="clear" w:color="auto" w:fill="B7E4FF"/>
          </w:tcPr>
          <w:p>
            <w:pPr>
              <w:spacing w:after="0"/>
              <w:rPr>
                <w:sz w:val="24"/>
                <w:szCs w:val="24"/>
                <w:color w:val="auto"/>
              </w:rPr>
            </w:pPr>
          </w:p>
        </w:tc>
        <w:tc>
          <w:tcPr>
            <w:tcW w:w="460" w:type="dxa"/>
            <w:vAlign w:val="bottom"/>
            <w:shd w:val="clear" w:color="auto" w:fill="B7E4FF"/>
          </w:tcPr>
          <w:p>
            <w:pPr>
              <w:spacing w:after="0"/>
              <w:rPr>
                <w:sz w:val="24"/>
                <w:szCs w:val="24"/>
                <w:color w:val="auto"/>
              </w:rPr>
            </w:pPr>
          </w:p>
        </w:tc>
        <w:tc>
          <w:tcPr>
            <w:tcW w:w="1380" w:type="dxa"/>
            <w:vAlign w:val="bottom"/>
            <w:shd w:val="clear" w:color="auto" w:fill="B7E4FF"/>
          </w:tcPr>
          <w:p>
            <w:pPr>
              <w:spacing w:after="0"/>
              <w:rPr>
                <w:sz w:val="24"/>
                <w:szCs w:val="24"/>
                <w:color w:val="auto"/>
              </w:rPr>
            </w:pPr>
          </w:p>
        </w:tc>
        <w:tc>
          <w:tcPr>
            <w:tcW w:w="440" w:type="dxa"/>
            <w:vAlign w:val="bottom"/>
            <w:shd w:val="clear" w:color="auto" w:fill="B7E4FF"/>
          </w:tcPr>
          <w:p>
            <w:pPr>
              <w:spacing w:after="0"/>
              <w:rPr>
                <w:sz w:val="24"/>
                <w:szCs w:val="24"/>
                <w:color w:val="auto"/>
              </w:rPr>
            </w:pPr>
          </w:p>
        </w:tc>
        <w:tc>
          <w:tcPr>
            <w:tcW w:w="1820" w:type="dxa"/>
            <w:vAlign w:val="bottom"/>
            <w:shd w:val="clear" w:color="auto" w:fill="B7E4FF"/>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420" w:type="dxa"/>
            <w:vAlign w:val="bottom"/>
          </w:tcPr>
          <w:p>
            <w:pPr>
              <w:spacing w:after="0"/>
              <w:rPr>
                <w:sz w:val="20"/>
                <w:szCs w:val="20"/>
                <w:color w:val="auto"/>
              </w:rPr>
            </w:pPr>
            <w:r>
              <w:rPr>
                <w:rFonts w:ascii="Arial" w:cs="Arial" w:eastAsia="Arial" w:hAnsi="Arial"/>
                <w:sz w:val="14"/>
                <w:szCs w:val="14"/>
                <w:color w:val="4D4D4F"/>
              </w:rPr>
              <w:t>Chenming C. Hu</w:t>
            </w:r>
          </w:p>
        </w:tc>
        <w:tc>
          <w:tcPr>
            <w:tcW w:w="700" w:type="dxa"/>
            <w:vAlign w:val="bottom"/>
          </w:tcPr>
          <w:p>
            <w:pPr>
              <w:jc w:val="right"/>
              <w:ind w:right="128"/>
              <w:spacing w:after="0"/>
              <w:rPr>
                <w:sz w:val="20"/>
                <w:szCs w:val="20"/>
                <w:color w:val="auto"/>
              </w:rPr>
            </w:pPr>
            <w:r>
              <w:rPr>
                <w:rFonts w:ascii="Arial" w:cs="Arial" w:eastAsia="Arial" w:hAnsi="Arial"/>
                <w:sz w:val="14"/>
                <w:szCs w:val="14"/>
                <w:color w:val="4D4D4F"/>
              </w:rPr>
              <w:t>72</w:t>
            </w:r>
          </w:p>
        </w:tc>
        <w:tc>
          <w:tcPr>
            <w:tcW w:w="660" w:type="dxa"/>
            <w:vAlign w:val="bottom"/>
          </w:tcPr>
          <w:p>
            <w:pPr>
              <w:jc w:val="right"/>
              <w:ind w:right="68"/>
              <w:spacing w:after="0"/>
              <w:rPr>
                <w:sz w:val="20"/>
                <w:szCs w:val="20"/>
                <w:color w:val="auto"/>
              </w:rPr>
            </w:pPr>
            <w:r>
              <w:rPr>
                <w:rFonts w:ascii="Arial" w:cs="Arial" w:eastAsia="Arial" w:hAnsi="Arial"/>
                <w:sz w:val="14"/>
                <w:szCs w:val="14"/>
                <w:color w:val="4D4D4F"/>
              </w:rPr>
              <w:t>2017</w:t>
            </w:r>
          </w:p>
        </w:tc>
        <w:tc>
          <w:tcPr>
            <w:tcW w:w="2260" w:type="dxa"/>
            <w:vAlign w:val="bottom"/>
          </w:tcPr>
          <w:p>
            <w:pPr>
              <w:ind w:left="140"/>
              <w:spacing w:after="0"/>
              <w:rPr>
                <w:sz w:val="20"/>
                <w:szCs w:val="20"/>
                <w:color w:val="auto"/>
              </w:rPr>
            </w:pPr>
            <w:r>
              <w:rPr>
                <w:rFonts w:ascii="Arial" w:cs="Arial" w:eastAsia="Arial" w:hAnsi="Arial"/>
                <w:sz w:val="14"/>
                <w:szCs w:val="14"/>
                <w:color w:val="4D4D4F"/>
              </w:rPr>
              <w:t>Professor of Engineering and</w:t>
            </w:r>
          </w:p>
        </w:tc>
        <w:tc>
          <w:tcPr>
            <w:tcW w:w="100" w:type="dxa"/>
            <w:vAlign w:val="bottom"/>
          </w:tcPr>
          <w:p>
            <w:pPr>
              <w:ind w:left="20"/>
              <w:spacing w:after="0"/>
              <w:rPr>
                <w:sz w:val="20"/>
                <w:szCs w:val="20"/>
                <w:color w:val="auto"/>
              </w:rPr>
            </w:pPr>
            <w:r>
              <w:rPr>
                <w:rFonts w:ascii="Arial" w:cs="Arial" w:eastAsia="Arial" w:hAnsi="Arial"/>
                <w:sz w:val="14"/>
                <w:szCs w:val="14"/>
                <w:color w:val="0079C0"/>
              </w:rPr>
              <w:t>•</w:t>
            </w:r>
          </w:p>
        </w:tc>
        <w:tc>
          <w:tcPr>
            <w:tcW w:w="1240" w:type="dxa"/>
            <w:vAlign w:val="bottom"/>
          </w:tcPr>
          <w:p>
            <w:pPr>
              <w:ind w:left="40"/>
              <w:spacing w:after="0"/>
              <w:rPr>
                <w:sz w:val="20"/>
                <w:szCs w:val="20"/>
                <w:color w:val="auto"/>
              </w:rPr>
            </w:pPr>
            <w:r>
              <w:rPr>
                <w:rFonts w:ascii="Arial" w:cs="Arial" w:eastAsia="Arial" w:hAnsi="Arial"/>
                <w:sz w:val="14"/>
                <w:szCs w:val="14"/>
                <w:color w:val="4D4D4F"/>
              </w:rPr>
              <w:t>Innovation</w:t>
            </w:r>
          </w:p>
        </w:tc>
        <w:tc>
          <w:tcPr>
            <w:tcW w:w="6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380"/>
              <w:spacing w:after="0"/>
              <w:rPr>
                <w:sz w:val="20"/>
                <w:szCs w:val="20"/>
                <w:color w:val="auto"/>
              </w:rPr>
            </w:pPr>
            <w:r>
              <w:rPr>
                <w:rFonts w:ascii="Arial" w:cs="Arial" w:eastAsia="Arial" w:hAnsi="Arial"/>
                <w:sz w:val="14"/>
                <w:szCs w:val="14"/>
                <w:color w:val="003E64"/>
              </w:rPr>
              <w:t>•</w:t>
            </w:r>
          </w:p>
        </w:tc>
        <w:tc>
          <w:tcPr>
            <w:tcW w:w="1380" w:type="dxa"/>
            <w:vAlign w:val="bottom"/>
          </w:tcPr>
          <w:p>
            <w:pPr>
              <w:ind w:left="40"/>
              <w:spacing w:after="0"/>
              <w:rPr>
                <w:sz w:val="20"/>
                <w:szCs w:val="20"/>
                <w:color w:val="auto"/>
              </w:rPr>
            </w:pPr>
            <w:r>
              <w:rPr>
                <w:rFonts w:ascii="Arial" w:cs="Arial" w:eastAsia="Arial" w:hAnsi="Arial"/>
                <w:sz w:val="14"/>
                <w:szCs w:val="14"/>
                <w:color w:val="4D4D4F"/>
              </w:rPr>
              <w:t>Nominating</w:t>
            </w:r>
          </w:p>
        </w:tc>
        <w:tc>
          <w:tcPr>
            <w:tcW w:w="440" w:type="dxa"/>
            <w:vAlign w:val="bottom"/>
          </w:tcPr>
          <w:p>
            <w:pPr>
              <w:ind w:left="340"/>
              <w:spacing w:after="0"/>
              <w:rPr>
                <w:sz w:val="20"/>
                <w:szCs w:val="20"/>
                <w:color w:val="auto"/>
              </w:rPr>
            </w:pPr>
            <w:r>
              <w:rPr>
                <w:rFonts w:ascii="Arial" w:cs="Arial" w:eastAsia="Arial" w:hAnsi="Arial"/>
                <w:sz w:val="14"/>
                <w:szCs w:val="14"/>
                <w:color w:val="003E64"/>
              </w:rPr>
              <w:t>•</w:t>
            </w:r>
          </w:p>
        </w:tc>
        <w:tc>
          <w:tcPr>
            <w:tcW w:w="1820" w:type="dxa"/>
            <w:vAlign w:val="bottom"/>
          </w:tcPr>
          <w:p>
            <w:pPr>
              <w:ind w:left="40"/>
              <w:spacing w:after="0"/>
              <w:rPr>
                <w:sz w:val="20"/>
                <w:szCs w:val="20"/>
                <w:color w:val="auto"/>
              </w:rPr>
            </w:pPr>
            <w:r>
              <w:rPr>
                <w:rFonts w:ascii="Arial" w:cs="Arial" w:eastAsia="Arial" w:hAnsi="Arial"/>
                <w:sz w:val="14"/>
                <w:szCs w:val="14"/>
                <w:color w:val="4D4D4F"/>
              </w:rPr>
              <w:t>Ambarella, Inc.</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4D4D4F"/>
              </w:rPr>
              <w:t>Computer Sciences, University of</w:t>
            </w:r>
          </w:p>
        </w:tc>
        <w:tc>
          <w:tcPr>
            <w:tcW w:w="100" w:type="dxa"/>
            <w:vAlign w:val="bottom"/>
          </w:tcPr>
          <w:p>
            <w:pPr>
              <w:ind w:left="20"/>
              <w:spacing w:after="0"/>
              <w:rPr>
                <w:sz w:val="20"/>
                <w:szCs w:val="20"/>
                <w:color w:val="auto"/>
              </w:rPr>
            </w:pPr>
            <w:r>
              <w:rPr>
                <w:rFonts w:ascii="Arial" w:cs="Arial" w:eastAsia="Arial" w:hAnsi="Arial"/>
                <w:sz w:val="14"/>
                <w:szCs w:val="14"/>
                <w:color w:val="0079C0"/>
              </w:rPr>
              <w:t>•</w:t>
            </w:r>
          </w:p>
        </w:tc>
        <w:tc>
          <w:tcPr>
            <w:tcW w:w="1240" w:type="dxa"/>
            <w:vAlign w:val="bottom"/>
          </w:tcPr>
          <w:p>
            <w:pPr>
              <w:ind w:left="40"/>
              <w:spacing w:after="0"/>
              <w:rPr>
                <w:sz w:val="20"/>
                <w:szCs w:val="20"/>
                <w:color w:val="auto"/>
              </w:rPr>
            </w:pPr>
            <w:r>
              <w:rPr>
                <w:rFonts w:ascii="Arial" w:cs="Arial" w:eastAsia="Arial" w:hAnsi="Arial"/>
                <w:sz w:val="14"/>
                <w:szCs w:val="14"/>
                <w:color w:val="4D4D4F"/>
              </w:rPr>
              <w:t>Industry</w:t>
            </w:r>
          </w:p>
        </w:tc>
        <w:tc>
          <w:tcPr>
            <w:tcW w:w="640" w:type="dxa"/>
            <w:vAlign w:val="bottom"/>
          </w:tcPr>
          <w:p>
            <w:pPr>
              <w:spacing w:after="0"/>
              <w:rPr>
                <w:sz w:val="18"/>
                <w:szCs w:val="18"/>
                <w:color w:val="auto"/>
              </w:rPr>
            </w:pPr>
          </w:p>
        </w:tc>
        <w:tc>
          <w:tcPr>
            <w:tcW w:w="1840" w:type="dxa"/>
            <w:vAlign w:val="bottom"/>
            <w:gridSpan w:val="2"/>
          </w:tcPr>
          <w:p>
            <w:pPr>
              <w:ind w:left="380"/>
              <w:spacing w:after="0"/>
              <w:rPr>
                <w:sz w:val="20"/>
                <w:szCs w:val="20"/>
                <w:color w:val="auto"/>
              </w:rPr>
            </w:pPr>
            <w:r>
              <w:rPr>
                <w:rFonts w:ascii="Arial" w:cs="Arial" w:eastAsia="Arial" w:hAnsi="Arial"/>
                <w:sz w:val="14"/>
                <w:szCs w:val="14"/>
                <w:color w:val="4D4D4F"/>
              </w:rPr>
              <w:t>and Governance</w:t>
            </w:r>
          </w:p>
        </w:tc>
        <w:tc>
          <w:tcPr>
            <w:tcW w:w="440" w:type="dxa"/>
            <w:vAlign w:val="bottom"/>
          </w:tcPr>
          <w:p>
            <w:pPr>
              <w:ind w:left="340"/>
              <w:spacing w:after="0"/>
              <w:rPr>
                <w:sz w:val="20"/>
                <w:szCs w:val="20"/>
                <w:color w:val="auto"/>
              </w:rPr>
            </w:pPr>
            <w:r>
              <w:rPr>
                <w:rFonts w:ascii="Arial" w:cs="Arial" w:eastAsia="Arial" w:hAnsi="Arial"/>
                <w:sz w:val="14"/>
                <w:szCs w:val="14"/>
                <w:color w:val="003E64"/>
              </w:rPr>
              <w:t>•</w:t>
            </w:r>
          </w:p>
        </w:tc>
        <w:tc>
          <w:tcPr>
            <w:tcW w:w="1820" w:type="dxa"/>
            <w:vAlign w:val="bottom"/>
          </w:tcPr>
          <w:p>
            <w:pPr>
              <w:ind w:left="40"/>
              <w:spacing w:after="0"/>
              <w:rPr>
                <w:sz w:val="20"/>
                <w:szCs w:val="20"/>
                <w:color w:val="auto"/>
              </w:rPr>
            </w:pPr>
            <w:r>
              <w:rPr>
                <w:rFonts w:ascii="Arial" w:cs="Arial" w:eastAsia="Arial" w:hAnsi="Arial"/>
                <w:sz w:val="14"/>
                <w:szCs w:val="14"/>
                <w:color w:val="4D4D4F"/>
              </w:rPr>
              <w:t>Inphi Corporation</w:t>
            </w: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60" w:type="dxa"/>
            <w:vAlign w:val="bottom"/>
          </w:tcPr>
          <w:p>
            <w:pPr>
              <w:ind w:left="140"/>
              <w:spacing w:after="0" w:line="127" w:lineRule="exact"/>
              <w:rPr>
                <w:sz w:val="20"/>
                <w:szCs w:val="20"/>
                <w:color w:val="auto"/>
              </w:rPr>
            </w:pPr>
            <w:r>
              <w:rPr>
                <w:rFonts w:ascii="Arial" w:cs="Arial" w:eastAsia="Arial" w:hAnsi="Arial"/>
                <w:sz w:val="14"/>
                <w:szCs w:val="14"/>
                <w:color w:val="4D4D4F"/>
              </w:rPr>
              <w:t>California, Berkeley</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0079C0"/>
              </w:rPr>
              <w:t>•</w:t>
            </w:r>
          </w:p>
        </w:tc>
        <w:tc>
          <w:tcPr>
            <w:tcW w:w="1240" w:type="dxa"/>
            <w:vAlign w:val="bottom"/>
          </w:tcPr>
          <w:p>
            <w:pPr>
              <w:ind w:left="40"/>
              <w:spacing w:after="0"/>
              <w:rPr>
                <w:sz w:val="20"/>
                <w:szCs w:val="20"/>
                <w:color w:val="auto"/>
              </w:rPr>
            </w:pPr>
            <w:r>
              <w:rPr>
                <w:rFonts w:ascii="Arial" w:cs="Arial" w:eastAsia="Arial" w:hAnsi="Arial"/>
                <w:sz w:val="14"/>
                <w:szCs w:val="14"/>
                <w:color w:val="4D4D4F"/>
              </w:rPr>
              <w:t>Education</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420" w:type="dxa"/>
            <w:vAlign w:val="bottom"/>
            <w:shd w:val="clear" w:color="auto" w:fill="B7E4FF"/>
          </w:tcPr>
          <w:p>
            <w:pPr>
              <w:spacing w:after="0"/>
              <w:rPr>
                <w:sz w:val="20"/>
                <w:szCs w:val="20"/>
                <w:color w:val="auto"/>
              </w:rPr>
            </w:pPr>
            <w:r>
              <w:rPr>
                <w:rFonts w:ascii="Arial" w:cs="Arial" w:eastAsia="Arial" w:hAnsi="Arial"/>
                <w:sz w:val="14"/>
                <w:szCs w:val="14"/>
                <w:color w:val="4D4D4F"/>
              </w:rPr>
              <w:t>Tracy Liu</w:t>
            </w:r>
          </w:p>
        </w:tc>
        <w:tc>
          <w:tcPr>
            <w:tcW w:w="70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55</w:t>
            </w:r>
          </w:p>
        </w:tc>
        <w:tc>
          <w:tcPr>
            <w:tcW w:w="660" w:type="dxa"/>
            <w:vAlign w:val="bottom"/>
            <w:shd w:val="clear" w:color="auto" w:fill="B7E4FF"/>
          </w:tcPr>
          <w:p>
            <w:pPr>
              <w:jc w:val="right"/>
              <w:ind w:right="68"/>
              <w:spacing w:after="0"/>
              <w:rPr>
                <w:sz w:val="20"/>
                <w:szCs w:val="20"/>
                <w:color w:val="auto"/>
              </w:rPr>
            </w:pPr>
            <w:r>
              <w:rPr>
                <w:rFonts w:ascii="Arial" w:cs="Arial" w:eastAsia="Arial" w:hAnsi="Arial"/>
                <w:sz w:val="14"/>
                <w:szCs w:val="14"/>
                <w:color w:val="4D4D4F"/>
              </w:rPr>
              <w:t>2016</w:t>
            </w:r>
          </w:p>
        </w:tc>
        <w:tc>
          <w:tcPr>
            <w:tcW w:w="2360" w:type="dxa"/>
            <w:vAlign w:val="bottom"/>
            <w:gridSpan w:val="2"/>
            <w:shd w:val="clear" w:color="auto" w:fill="B7E4FF"/>
          </w:tcPr>
          <w:p>
            <w:pPr>
              <w:ind w:left="140"/>
              <w:spacing w:after="0"/>
              <w:rPr>
                <w:sz w:val="20"/>
                <w:szCs w:val="20"/>
                <w:color w:val="auto"/>
              </w:rPr>
            </w:pPr>
            <w:r>
              <w:rPr>
                <w:rFonts w:ascii="Arial" w:cs="Arial" w:eastAsia="Arial" w:hAnsi="Arial"/>
                <w:sz w:val="14"/>
                <w:szCs w:val="14"/>
                <w:color w:val="4D4D4F"/>
              </w:rPr>
              <w:t xml:space="preserve">Managing Partner of H&amp;M CPAs, </w:t>
            </w:r>
            <w:r>
              <w:rPr>
                <w:rFonts w:ascii="Arial" w:cs="Arial" w:eastAsia="Arial" w:hAnsi="Arial"/>
                <w:sz w:val="14"/>
                <w:szCs w:val="14"/>
                <w:color w:val="003E64"/>
              </w:rPr>
              <w:t>•</w:t>
            </w:r>
          </w:p>
        </w:tc>
        <w:tc>
          <w:tcPr>
            <w:tcW w:w="124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Finance</w:t>
            </w:r>
          </w:p>
        </w:tc>
        <w:tc>
          <w:tcPr>
            <w:tcW w:w="640" w:type="dxa"/>
            <w:vAlign w:val="bottom"/>
            <w:shd w:val="clear" w:color="auto" w:fill="B7E4FF"/>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840" w:type="dxa"/>
            <w:vAlign w:val="bottom"/>
            <w:gridSpan w:val="2"/>
            <w:shd w:val="clear" w:color="auto" w:fill="B7E4FF"/>
          </w:tcPr>
          <w:p>
            <w:pPr>
              <w:ind w:left="38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Audit</w:t>
            </w:r>
          </w:p>
        </w:tc>
        <w:tc>
          <w:tcPr>
            <w:tcW w:w="440" w:type="dxa"/>
            <w:vAlign w:val="bottom"/>
            <w:shd w:val="clear" w:color="auto" w:fill="B7E4FF"/>
          </w:tcPr>
          <w:p>
            <w:pPr>
              <w:spacing w:after="0"/>
              <w:rPr>
                <w:sz w:val="24"/>
                <w:szCs w:val="24"/>
                <w:color w:val="auto"/>
              </w:rPr>
            </w:pPr>
          </w:p>
        </w:tc>
        <w:tc>
          <w:tcPr>
            <w:tcW w:w="1820" w:type="dxa"/>
            <w:vAlign w:val="bottom"/>
            <w:shd w:val="clear" w:color="auto" w:fill="B7E4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20" w:type="dxa"/>
            <w:vAlign w:val="bottom"/>
            <w:shd w:val="clear" w:color="auto" w:fill="B7E4FF"/>
          </w:tcPr>
          <w:p>
            <w:pPr>
              <w:spacing w:after="0"/>
              <w:rPr>
                <w:sz w:val="14"/>
                <w:szCs w:val="14"/>
                <w:color w:val="auto"/>
              </w:rPr>
            </w:pPr>
          </w:p>
        </w:tc>
        <w:tc>
          <w:tcPr>
            <w:tcW w:w="700" w:type="dxa"/>
            <w:vAlign w:val="bottom"/>
            <w:shd w:val="clear" w:color="auto" w:fill="B7E4FF"/>
          </w:tcPr>
          <w:p>
            <w:pPr>
              <w:spacing w:after="0"/>
              <w:rPr>
                <w:sz w:val="14"/>
                <w:szCs w:val="14"/>
                <w:color w:val="auto"/>
              </w:rPr>
            </w:pPr>
          </w:p>
        </w:tc>
        <w:tc>
          <w:tcPr>
            <w:tcW w:w="660" w:type="dxa"/>
            <w:vAlign w:val="bottom"/>
            <w:shd w:val="clear" w:color="auto" w:fill="B7E4FF"/>
          </w:tcPr>
          <w:p>
            <w:pPr>
              <w:spacing w:after="0"/>
              <w:rPr>
                <w:sz w:val="14"/>
                <w:szCs w:val="14"/>
                <w:color w:val="auto"/>
              </w:rPr>
            </w:pPr>
          </w:p>
        </w:tc>
        <w:tc>
          <w:tcPr>
            <w:tcW w:w="226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LLP</w:t>
            </w:r>
          </w:p>
        </w:tc>
        <w:tc>
          <w:tcPr>
            <w:tcW w:w="100" w:type="dxa"/>
            <w:vAlign w:val="bottom"/>
            <w:vMerge w:val="restart"/>
            <w:shd w:val="clear" w:color="auto" w:fill="B7E4FF"/>
          </w:tcPr>
          <w:p>
            <w:pPr>
              <w:ind w:left="20"/>
              <w:spacing w:after="0"/>
              <w:rPr>
                <w:sz w:val="20"/>
                <w:szCs w:val="20"/>
                <w:color w:val="auto"/>
              </w:rPr>
            </w:pPr>
            <w:r>
              <w:rPr>
                <w:rFonts w:ascii="Arial" w:cs="Arial" w:eastAsia="Arial" w:hAnsi="Arial"/>
                <w:sz w:val="14"/>
                <w:szCs w:val="14"/>
                <w:color w:val="003E64"/>
              </w:rPr>
              <w:t>•</w:t>
            </w:r>
          </w:p>
        </w:tc>
        <w:tc>
          <w:tcPr>
            <w:tcW w:w="1240" w:type="dxa"/>
            <w:vAlign w:val="bottom"/>
            <w:vMerge w:val="restart"/>
            <w:shd w:val="clear" w:color="auto" w:fill="B7E4FF"/>
          </w:tcPr>
          <w:p>
            <w:pPr>
              <w:ind w:left="40"/>
              <w:spacing w:after="0"/>
              <w:rPr>
                <w:sz w:val="20"/>
                <w:szCs w:val="20"/>
                <w:color w:val="auto"/>
              </w:rPr>
            </w:pPr>
            <w:r>
              <w:rPr>
                <w:rFonts w:ascii="Arial" w:cs="Arial" w:eastAsia="Arial" w:hAnsi="Arial"/>
                <w:sz w:val="14"/>
                <w:szCs w:val="14"/>
                <w:color w:val="4D4D4F"/>
              </w:rPr>
              <w:t>Leadership</w:t>
            </w:r>
          </w:p>
        </w:tc>
        <w:tc>
          <w:tcPr>
            <w:tcW w:w="640" w:type="dxa"/>
            <w:vAlign w:val="bottom"/>
            <w:shd w:val="clear" w:color="auto" w:fill="B7E4FF"/>
          </w:tcPr>
          <w:p>
            <w:pPr>
              <w:spacing w:after="0"/>
              <w:rPr>
                <w:sz w:val="14"/>
                <w:szCs w:val="14"/>
                <w:color w:val="auto"/>
              </w:rPr>
            </w:pPr>
          </w:p>
        </w:tc>
        <w:tc>
          <w:tcPr>
            <w:tcW w:w="460" w:type="dxa"/>
            <w:vAlign w:val="bottom"/>
            <w:vMerge w:val="restart"/>
            <w:shd w:val="clear" w:color="auto" w:fill="B7E4FF"/>
          </w:tcPr>
          <w:p>
            <w:pPr>
              <w:ind w:left="380"/>
              <w:spacing w:after="0"/>
              <w:rPr>
                <w:sz w:val="20"/>
                <w:szCs w:val="20"/>
                <w:color w:val="auto"/>
              </w:rPr>
            </w:pPr>
            <w:r>
              <w:rPr>
                <w:rFonts w:ascii="Arial" w:cs="Arial" w:eastAsia="Arial" w:hAnsi="Arial"/>
                <w:sz w:val="14"/>
                <w:szCs w:val="14"/>
                <w:color w:val="003E64"/>
              </w:rPr>
              <w:t>•</w:t>
            </w:r>
          </w:p>
        </w:tc>
        <w:tc>
          <w:tcPr>
            <w:tcW w:w="1380" w:type="dxa"/>
            <w:vAlign w:val="bottom"/>
            <w:vMerge w:val="restart"/>
            <w:shd w:val="clear" w:color="auto" w:fill="B7E4FF"/>
          </w:tcPr>
          <w:p>
            <w:pPr>
              <w:ind w:left="40"/>
              <w:spacing w:after="0"/>
              <w:rPr>
                <w:sz w:val="20"/>
                <w:szCs w:val="20"/>
                <w:color w:val="auto"/>
              </w:rPr>
            </w:pPr>
            <w:r>
              <w:rPr>
                <w:rFonts w:ascii="Arial" w:cs="Arial" w:eastAsia="Arial" w:hAnsi="Arial"/>
                <w:sz w:val="14"/>
                <w:szCs w:val="14"/>
                <w:color w:val="4D4D4F"/>
              </w:rPr>
              <w:t>Compensation</w:t>
            </w:r>
          </w:p>
        </w:tc>
        <w:tc>
          <w:tcPr>
            <w:tcW w:w="440" w:type="dxa"/>
            <w:vAlign w:val="bottom"/>
            <w:shd w:val="clear" w:color="auto" w:fill="B7E4FF"/>
          </w:tcPr>
          <w:p>
            <w:pPr>
              <w:spacing w:after="0"/>
              <w:rPr>
                <w:sz w:val="14"/>
                <w:szCs w:val="14"/>
                <w:color w:val="auto"/>
              </w:rPr>
            </w:pPr>
          </w:p>
        </w:tc>
        <w:tc>
          <w:tcPr>
            <w:tcW w:w="18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20" w:type="dxa"/>
            <w:vAlign w:val="bottom"/>
            <w:shd w:val="clear" w:color="auto" w:fill="B7E4FF"/>
          </w:tcPr>
          <w:p>
            <w:pPr>
              <w:spacing w:after="0"/>
              <w:rPr>
                <w:sz w:val="7"/>
                <w:szCs w:val="7"/>
                <w:color w:val="auto"/>
              </w:rPr>
            </w:pPr>
          </w:p>
        </w:tc>
        <w:tc>
          <w:tcPr>
            <w:tcW w:w="700" w:type="dxa"/>
            <w:vAlign w:val="bottom"/>
            <w:shd w:val="clear" w:color="auto" w:fill="B7E4FF"/>
          </w:tcPr>
          <w:p>
            <w:pPr>
              <w:spacing w:after="0"/>
              <w:rPr>
                <w:sz w:val="7"/>
                <w:szCs w:val="7"/>
                <w:color w:val="auto"/>
              </w:rPr>
            </w:pPr>
          </w:p>
        </w:tc>
        <w:tc>
          <w:tcPr>
            <w:tcW w:w="660" w:type="dxa"/>
            <w:vAlign w:val="bottom"/>
            <w:shd w:val="clear" w:color="auto" w:fill="B7E4FF"/>
          </w:tcPr>
          <w:p>
            <w:pPr>
              <w:spacing w:after="0"/>
              <w:rPr>
                <w:sz w:val="7"/>
                <w:szCs w:val="7"/>
                <w:color w:val="auto"/>
              </w:rPr>
            </w:pPr>
          </w:p>
        </w:tc>
        <w:tc>
          <w:tcPr>
            <w:tcW w:w="2260" w:type="dxa"/>
            <w:vAlign w:val="bottom"/>
            <w:shd w:val="clear" w:color="auto" w:fill="B7E4FF"/>
          </w:tcPr>
          <w:p>
            <w:pPr>
              <w:spacing w:after="0"/>
              <w:rPr>
                <w:sz w:val="7"/>
                <w:szCs w:val="7"/>
                <w:color w:val="auto"/>
              </w:rPr>
            </w:pPr>
          </w:p>
        </w:tc>
        <w:tc>
          <w:tcPr>
            <w:tcW w:w="100" w:type="dxa"/>
            <w:vAlign w:val="bottom"/>
            <w:vMerge w:val="continue"/>
            <w:shd w:val="clear" w:color="auto" w:fill="B7E4FF"/>
          </w:tcPr>
          <w:p>
            <w:pPr>
              <w:spacing w:after="0"/>
              <w:rPr>
                <w:sz w:val="7"/>
                <w:szCs w:val="7"/>
                <w:color w:val="auto"/>
              </w:rPr>
            </w:pPr>
          </w:p>
        </w:tc>
        <w:tc>
          <w:tcPr>
            <w:tcW w:w="1240" w:type="dxa"/>
            <w:vAlign w:val="bottom"/>
            <w:vMerge w:val="continue"/>
            <w:shd w:val="clear" w:color="auto" w:fill="B7E4FF"/>
          </w:tcPr>
          <w:p>
            <w:pPr>
              <w:spacing w:after="0"/>
              <w:rPr>
                <w:sz w:val="7"/>
                <w:szCs w:val="7"/>
                <w:color w:val="auto"/>
              </w:rPr>
            </w:pPr>
          </w:p>
        </w:tc>
        <w:tc>
          <w:tcPr>
            <w:tcW w:w="640" w:type="dxa"/>
            <w:vAlign w:val="bottom"/>
            <w:shd w:val="clear" w:color="auto" w:fill="B7E4FF"/>
          </w:tcPr>
          <w:p>
            <w:pPr>
              <w:spacing w:after="0"/>
              <w:rPr>
                <w:sz w:val="7"/>
                <w:szCs w:val="7"/>
                <w:color w:val="auto"/>
              </w:rPr>
            </w:pPr>
          </w:p>
        </w:tc>
        <w:tc>
          <w:tcPr>
            <w:tcW w:w="460" w:type="dxa"/>
            <w:vAlign w:val="bottom"/>
            <w:vMerge w:val="continue"/>
            <w:shd w:val="clear" w:color="auto" w:fill="B7E4FF"/>
          </w:tcPr>
          <w:p>
            <w:pPr>
              <w:spacing w:after="0"/>
              <w:rPr>
                <w:sz w:val="7"/>
                <w:szCs w:val="7"/>
                <w:color w:val="auto"/>
              </w:rPr>
            </w:pPr>
          </w:p>
        </w:tc>
        <w:tc>
          <w:tcPr>
            <w:tcW w:w="1380" w:type="dxa"/>
            <w:vAlign w:val="bottom"/>
            <w:vMerge w:val="continue"/>
            <w:shd w:val="clear" w:color="auto" w:fill="B7E4FF"/>
          </w:tcPr>
          <w:p>
            <w:pPr>
              <w:spacing w:after="0"/>
              <w:rPr>
                <w:sz w:val="7"/>
                <w:szCs w:val="7"/>
                <w:color w:val="auto"/>
              </w:rPr>
            </w:pPr>
          </w:p>
        </w:tc>
        <w:tc>
          <w:tcPr>
            <w:tcW w:w="440" w:type="dxa"/>
            <w:vAlign w:val="bottom"/>
            <w:shd w:val="clear" w:color="auto" w:fill="B7E4FF"/>
          </w:tcPr>
          <w:p>
            <w:pPr>
              <w:spacing w:after="0"/>
              <w:rPr>
                <w:sz w:val="7"/>
                <w:szCs w:val="7"/>
                <w:color w:val="auto"/>
              </w:rPr>
            </w:pPr>
          </w:p>
        </w:tc>
        <w:tc>
          <w:tcPr>
            <w:tcW w:w="1820" w:type="dxa"/>
            <w:vAlign w:val="bottom"/>
            <w:shd w:val="clear" w:color="auto" w:fill="B7E4FF"/>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20" w:type="dxa"/>
            <w:vAlign w:val="bottom"/>
            <w:shd w:val="clear" w:color="auto" w:fill="B7E4FF"/>
          </w:tcPr>
          <w:p>
            <w:pPr>
              <w:spacing w:after="0"/>
              <w:rPr>
                <w:sz w:val="21"/>
                <w:szCs w:val="21"/>
                <w:color w:val="auto"/>
              </w:rPr>
            </w:pPr>
          </w:p>
        </w:tc>
        <w:tc>
          <w:tcPr>
            <w:tcW w:w="700" w:type="dxa"/>
            <w:vAlign w:val="bottom"/>
            <w:shd w:val="clear" w:color="auto" w:fill="B7E4FF"/>
          </w:tcPr>
          <w:p>
            <w:pPr>
              <w:spacing w:after="0"/>
              <w:rPr>
                <w:sz w:val="21"/>
                <w:szCs w:val="21"/>
                <w:color w:val="auto"/>
              </w:rPr>
            </w:pPr>
          </w:p>
        </w:tc>
        <w:tc>
          <w:tcPr>
            <w:tcW w:w="660" w:type="dxa"/>
            <w:vAlign w:val="bottom"/>
            <w:shd w:val="clear" w:color="auto" w:fill="B7E4FF"/>
          </w:tcPr>
          <w:p>
            <w:pPr>
              <w:spacing w:after="0"/>
              <w:rPr>
                <w:sz w:val="21"/>
                <w:szCs w:val="21"/>
                <w:color w:val="auto"/>
              </w:rPr>
            </w:pPr>
          </w:p>
        </w:tc>
        <w:tc>
          <w:tcPr>
            <w:tcW w:w="2260" w:type="dxa"/>
            <w:vAlign w:val="bottom"/>
            <w:shd w:val="clear" w:color="auto" w:fill="B7E4FF"/>
          </w:tcPr>
          <w:p>
            <w:pPr>
              <w:spacing w:after="0"/>
              <w:rPr>
                <w:sz w:val="21"/>
                <w:szCs w:val="21"/>
                <w:color w:val="auto"/>
              </w:rPr>
            </w:pPr>
          </w:p>
        </w:tc>
        <w:tc>
          <w:tcPr>
            <w:tcW w:w="100" w:type="dxa"/>
            <w:vAlign w:val="bottom"/>
            <w:shd w:val="clear" w:color="auto" w:fill="B7E4FF"/>
          </w:tcPr>
          <w:p>
            <w:pPr>
              <w:ind w:left="20"/>
              <w:spacing w:after="0"/>
              <w:rPr>
                <w:sz w:val="20"/>
                <w:szCs w:val="20"/>
                <w:color w:val="auto"/>
              </w:rPr>
            </w:pPr>
            <w:r>
              <w:rPr>
                <w:rFonts w:ascii="Arial" w:cs="Arial" w:eastAsia="Arial" w:hAnsi="Arial"/>
                <w:sz w:val="14"/>
                <w:szCs w:val="14"/>
                <w:color w:val="003E64"/>
              </w:rPr>
              <w:t>•</w:t>
            </w:r>
          </w:p>
        </w:tc>
        <w:tc>
          <w:tcPr>
            <w:tcW w:w="124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Global</w:t>
            </w:r>
          </w:p>
        </w:tc>
        <w:tc>
          <w:tcPr>
            <w:tcW w:w="640" w:type="dxa"/>
            <w:vAlign w:val="bottom"/>
            <w:shd w:val="clear" w:color="auto" w:fill="B7E4FF"/>
          </w:tcPr>
          <w:p>
            <w:pPr>
              <w:spacing w:after="0"/>
              <w:rPr>
                <w:sz w:val="21"/>
                <w:szCs w:val="21"/>
                <w:color w:val="auto"/>
              </w:rPr>
            </w:pPr>
          </w:p>
        </w:tc>
        <w:tc>
          <w:tcPr>
            <w:tcW w:w="460" w:type="dxa"/>
            <w:vAlign w:val="bottom"/>
            <w:shd w:val="clear" w:color="auto" w:fill="B7E4FF"/>
          </w:tcPr>
          <w:p>
            <w:pPr>
              <w:ind w:left="380"/>
              <w:spacing w:after="0"/>
              <w:rPr>
                <w:sz w:val="20"/>
                <w:szCs w:val="20"/>
                <w:color w:val="auto"/>
              </w:rPr>
            </w:pPr>
            <w:r>
              <w:rPr>
                <w:rFonts w:ascii="Arial" w:cs="Arial" w:eastAsia="Arial" w:hAnsi="Arial"/>
                <w:sz w:val="14"/>
                <w:szCs w:val="14"/>
                <w:color w:val="003E64"/>
              </w:rPr>
              <w:t>•</w:t>
            </w:r>
          </w:p>
        </w:tc>
        <w:tc>
          <w:tcPr>
            <w:tcW w:w="138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Nominating and</w:t>
            </w:r>
          </w:p>
        </w:tc>
        <w:tc>
          <w:tcPr>
            <w:tcW w:w="440" w:type="dxa"/>
            <w:vAlign w:val="bottom"/>
            <w:shd w:val="clear" w:color="auto" w:fill="B7E4FF"/>
          </w:tcPr>
          <w:p>
            <w:pPr>
              <w:spacing w:after="0"/>
              <w:rPr>
                <w:sz w:val="21"/>
                <w:szCs w:val="21"/>
                <w:color w:val="auto"/>
              </w:rPr>
            </w:pPr>
          </w:p>
        </w:tc>
        <w:tc>
          <w:tcPr>
            <w:tcW w:w="1820" w:type="dxa"/>
            <w:vAlign w:val="bottom"/>
            <w:shd w:val="clear" w:color="auto" w:fill="B7E4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420" w:type="dxa"/>
            <w:vAlign w:val="bottom"/>
            <w:shd w:val="clear" w:color="auto" w:fill="B7E4FF"/>
          </w:tcPr>
          <w:p>
            <w:pPr>
              <w:spacing w:after="0"/>
              <w:rPr>
                <w:sz w:val="14"/>
                <w:szCs w:val="14"/>
                <w:color w:val="auto"/>
              </w:rPr>
            </w:pPr>
          </w:p>
        </w:tc>
        <w:tc>
          <w:tcPr>
            <w:tcW w:w="700" w:type="dxa"/>
            <w:vAlign w:val="bottom"/>
            <w:shd w:val="clear" w:color="auto" w:fill="B7E4FF"/>
          </w:tcPr>
          <w:p>
            <w:pPr>
              <w:spacing w:after="0"/>
              <w:rPr>
                <w:sz w:val="14"/>
                <w:szCs w:val="14"/>
                <w:color w:val="auto"/>
              </w:rPr>
            </w:pPr>
          </w:p>
        </w:tc>
        <w:tc>
          <w:tcPr>
            <w:tcW w:w="660" w:type="dxa"/>
            <w:vAlign w:val="bottom"/>
            <w:shd w:val="clear" w:color="auto" w:fill="B7E4FF"/>
          </w:tcPr>
          <w:p>
            <w:pPr>
              <w:spacing w:after="0"/>
              <w:rPr>
                <w:sz w:val="14"/>
                <w:szCs w:val="14"/>
                <w:color w:val="auto"/>
              </w:rPr>
            </w:pPr>
          </w:p>
        </w:tc>
        <w:tc>
          <w:tcPr>
            <w:tcW w:w="2260" w:type="dxa"/>
            <w:vAlign w:val="bottom"/>
            <w:shd w:val="clear" w:color="auto" w:fill="B7E4FF"/>
          </w:tcPr>
          <w:p>
            <w:pPr>
              <w:spacing w:after="0"/>
              <w:rPr>
                <w:sz w:val="14"/>
                <w:szCs w:val="14"/>
                <w:color w:val="auto"/>
              </w:rPr>
            </w:pPr>
          </w:p>
        </w:tc>
        <w:tc>
          <w:tcPr>
            <w:tcW w:w="100" w:type="dxa"/>
            <w:vAlign w:val="bottom"/>
            <w:shd w:val="clear" w:color="auto" w:fill="B7E4FF"/>
          </w:tcPr>
          <w:p>
            <w:pPr>
              <w:spacing w:after="0"/>
              <w:rPr>
                <w:sz w:val="14"/>
                <w:szCs w:val="14"/>
                <w:color w:val="auto"/>
              </w:rPr>
            </w:pPr>
          </w:p>
        </w:tc>
        <w:tc>
          <w:tcPr>
            <w:tcW w:w="1240" w:type="dxa"/>
            <w:vAlign w:val="bottom"/>
            <w:shd w:val="clear" w:color="auto" w:fill="B7E4FF"/>
          </w:tcPr>
          <w:p>
            <w:pPr>
              <w:spacing w:after="0"/>
              <w:rPr>
                <w:sz w:val="14"/>
                <w:szCs w:val="14"/>
                <w:color w:val="auto"/>
              </w:rPr>
            </w:pPr>
          </w:p>
        </w:tc>
        <w:tc>
          <w:tcPr>
            <w:tcW w:w="640" w:type="dxa"/>
            <w:vAlign w:val="bottom"/>
            <w:shd w:val="clear" w:color="auto" w:fill="B7E4FF"/>
          </w:tcPr>
          <w:p>
            <w:pPr>
              <w:spacing w:after="0"/>
              <w:rPr>
                <w:sz w:val="14"/>
                <w:szCs w:val="14"/>
                <w:color w:val="auto"/>
              </w:rPr>
            </w:pPr>
          </w:p>
        </w:tc>
        <w:tc>
          <w:tcPr>
            <w:tcW w:w="1840" w:type="dxa"/>
            <w:vAlign w:val="bottom"/>
            <w:gridSpan w:val="2"/>
            <w:shd w:val="clear" w:color="auto" w:fill="B7E4FF"/>
          </w:tcPr>
          <w:p>
            <w:pPr>
              <w:ind w:left="380"/>
              <w:spacing w:after="0"/>
              <w:rPr>
                <w:sz w:val="20"/>
                <w:szCs w:val="20"/>
                <w:color w:val="auto"/>
              </w:rPr>
            </w:pPr>
            <w:r>
              <w:rPr>
                <w:rFonts w:ascii="Arial" w:cs="Arial" w:eastAsia="Arial" w:hAnsi="Arial"/>
                <w:sz w:val="14"/>
                <w:szCs w:val="14"/>
                <w:color w:val="4D4D4F"/>
              </w:rPr>
              <w:t>Governance</w:t>
            </w:r>
          </w:p>
        </w:tc>
        <w:tc>
          <w:tcPr>
            <w:tcW w:w="440" w:type="dxa"/>
            <w:vAlign w:val="bottom"/>
            <w:shd w:val="clear" w:color="auto" w:fill="B7E4FF"/>
          </w:tcPr>
          <w:p>
            <w:pPr>
              <w:spacing w:after="0"/>
              <w:rPr>
                <w:sz w:val="14"/>
                <w:szCs w:val="14"/>
                <w:color w:val="auto"/>
              </w:rPr>
            </w:pPr>
          </w:p>
        </w:tc>
        <w:tc>
          <w:tcPr>
            <w:tcW w:w="18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420" w:type="dxa"/>
            <w:vAlign w:val="bottom"/>
            <w:shd w:val="clear" w:color="auto" w:fill="B7E4FF"/>
          </w:tcPr>
          <w:p>
            <w:pPr>
              <w:spacing w:after="0"/>
              <w:rPr>
                <w:sz w:val="21"/>
                <w:szCs w:val="21"/>
                <w:color w:val="auto"/>
              </w:rPr>
            </w:pPr>
          </w:p>
        </w:tc>
        <w:tc>
          <w:tcPr>
            <w:tcW w:w="700" w:type="dxa"/>
            <w:vAlign w:val="bottom"/>
            <w:shd w:val="clear" w:color="auto" w:fill="B7E4FF"/>
          </w:tcPr>
          <w:p>
            <w:pPr>
              <w:spacing w:after="0"/>
              <w:rPr>
                <w:sz w:val="21"/>
                <w:szCs w:val="21"/>
                <w:color w:val="auto"/>
              </w:rPr>
            </w:pPr>
          </w:p>
        </w:tc>
        <w:tc>
          <w:tcPr>
            <w:tcW w:w="660" w:type="dxa"/>
            <w:vAlign w:val="bottom"/>
            <w:shd w:val="clear" w:color="auto" w:fill="B7E4FF"/>
          </w:tcPr>
          <w:p>
            <w:pPr>
              <w:spacing w:after="0"/>
              <w:rPr>
                <w:sz w:val="21"/>
                <w:szCs w:val="21"/>
                <w:color w:val="auto"/>
              </w:rPr>
            </w:pPr>
          </w:p>
        </w:tc>
        <w:tc>
          <w:tcPr>
            <w:tcW w:w="2260" w:type="dxa"/>
            <w:vAlign w:val="bottom"/>
            <w:shd w:val="clear" w:color="auto" w:fill="B7E4FF"/>
          </w:tcPr>
          <w:p>
            <w:pPr>
              <w:spacing w:after="0"/>
              <w:rPr>
                <w:sz w:val="21"/>
                <w:szCs w:val="21"/>
                <w:color w:val="auto"/>
              </w:rPr>
            </w:pPr>
          </w:p>
        </w:tc>
        <w:tc>
          <w:tcPr>
            <w:tcW w:w="100" w:type="dxa"/>
            <w:vAlign w:val="bottom"/>
            <w:shd w:val="clear" w:color="auto" w:fill="B7E4FF"/>
          </w:tcPr>
          <w:p>
            <w:pPr>
              <w:spacing w:after="0"/>
              <w:rPr>
                <w:sz w:val="21"/>
                <w:szCs w:val="21"/>
                <w:color w:val="auto"/>
              </w:rPr>
            </w:pPr>
          </w:p>
        </w:tc>
        <w:tc>
          <w:tcPr>
            <w:tcW w:w="1240" w:type="dxa"/>
            <w:vAlign w:val="bottom"/>
            <w:shd w:val="clear" w:color="auto" w:fill="B7E4FF"/>
          </w:tcPr>
          <w:p>
            <w:pPr>
              <w:spacing w:after="0"/>
              <w:rPr>
                <w:sz w:val="21"/>
                <w:szCs w:val="21"/>
                <w:color w:val="auto"/>
              </w:rPr>
            </w:pPr>
          </w:p>
        </w:tc>
        <w:tc>
          <w:tcPr>
            <w:tcW w:w="640" w:type="dxa"/>
            <w:vAlign w:val="bottom"/>
            <w:shd w:val="clear" w:color="auto" w:fill="B7E4FF"/>
          </w:tcPr>
          <w:p>
            <w:pPr>
              <w:spacing w:after="0"/>
              <w:rPr>
                <w:sz w:val="21"/>
                <w:szCs w:val="21"/>
                <w:color w:val="auto"/>
              </w:rPr>
            </w:pPr>
          </w:p>
        </w:tc>
        <w:tc>
          <w:tcPr>
            <w:tcW w:w="1840" w:type="dxa"/>
            <w:vAlign w:val="bottom"/>
            <w:gridSpan w:val="2"/>
            <w:shd w:val="clear" w:color="auto" w:fill="B7E4FF"/>
          </w:tcPr>
          <w:p>
            <w:pPr>
              <w:spacing w:after="0"/>
              <w:rPr>
                <w:sz w:val="21"/>
                <w:szCs w:val="21"/>
                <w:color w:val="auto"/>
              </w:rPr>
            </w:pPr>
          </w:p>
        </w:tc>
        <w:tc>
          <w:tcPr>
            <w:tcW w:w="440" w:type="dxa"/>
            <w:vAlign w:val="bottom"/>
            <w:shd w:val="clear" w:color="auto" w:fill="B7E4FF"/>
          </w:tcPr>
          <w:p>
            <w:pPr>
              <w:spacing w:after="0"/>
              <w:rPr>
                <w:sz w:val="21"/>
                <w:szCs w:val="21"/>
                <w:color w:val="auto"/>
              </w:rPr>
            </w:pPr>
          </w:p>
        </w:tc>
        <w:tc>
          <w:tcPr>
            <w:tcW w:w="1820" w:type="dxa"/>
            <w:vAlign w:val="bottom"/>
            <w:shd w:val="clear" w:color="auto" w:fill="B7E4FF"/>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1420" w:type="dxa"/>
            <w:vAlign w:val="bottom"/>
          </w:tcPr>
          <w:p>
            <w:pPr>
              <w:spacing w:after="0"/>
              <w:rPr>
                <w:sz w:val="20"/>
                <w:szCs w:val="20"/>
                <w:color w:val="auto"/>
              </w:rPr>
            </w:pPr>
            <w:r>
              <w:rPr>
                <w:rFonts w:ascii="Arial" w:cs="Arial" w:eastAsia="Arial" w:hAnsi="Arial"/>
                <w:sz w:val="14"/>
                <w:szCs w:val="14"/>
                <w:color w:val="4D4D4F"/>
              </w:rPr>
              <w:t>Yinan Xiang</w:t>
            </w:r>
          </w:p>
        </w:tc>
        <w:tc>
          <w:tcPr>
            <w:tcW w:w="700" w:type="dxa"/>
            <w:vAlign w:val="bottom"/>
          </w:tcPr>
          <w:p>
            <w:pPr>
              <w:jc w:val="right"/>
              <w:ind w:right="128"/>
              <w:spacing w:after="0"/>
              <w:rPr>
                <w:sz w:val="20"/>
                <w:szCs w:val="20"/>
                <w:color w:val="auto"/>
              </w:rPr>
            </w:pPr>
            <w:r>
              <w:rPr>
                <w:rFonts w:ascii="Arial" w:cs="Arial" w:eastAsia="Arial" w:hAnsi="Arial"/>
                <w:sz w:val="14"/>
                <w:szCs w:val="14"/>
                <w:color w:val="4D4D4F"/>
              </w:rPr>
              <w:t>45</w:t>
            </w:r>
          </w:p>
        </w:tc>
        <w:tc>
          <w:tcPr>
            <w:tcW w:w="660" w:type="dxa"/>
            <w:vAlign w:val="bottom"/>
          </w:tcPr>
          <w:p>
            <w:pPr>
              <w:jc w:val="right"/>
              <w:ind w:right="68"/>
              <w:spacing w:after="0"/>
              <w:rPr>
                <w:sz w:val="20"/>
                <w:szCs w:val="20"/>
                <w:color w:val="auto"/>
              </w:rPr>
            </w:pPr>
            <w:r>
              <w:rPr>
                <w:rFonts w:ascii="Arial" w:cs="Arial" w:eastAsia="Arial" w:hAnsi="Arial"/>
                <w:sz w:val="14"/>
                <w:szCs w:val="14"/>
                <w:color w:val="4D4D4F"/>
              </w:rPr>
              <w:t>2017</w:t>
            </w:r>
          </w:p>
        </w:tc>
        <w:tc>
          <w:tcPr>
            <w:tcW w:w="2260" w:type="dxa"/>
            <w:vAlign w:val="bottom"/>
          </w:tcPr>
          <w:p>
            <w:pPr>
              <w:ind w:left="140"/>
              <w:spacing w:after="0"/>
              <w:rPr>
                <w:sz w:val="20"/>
                <w:szCs w:val="20"/>
                <w:color w:val="auto"/>
              </w:rPr>
            </w:pPr>
            <w:r>
              <w:rPr>
                <w:rFonts w:ascii="Arial" w:cs="Arial" w:eastAsia="Arial" w:hAnsi="Arial"/>
                <w:sz w:val="14"/>
                <w:szCs w:val="14"/>
                <w:color w:val="4D4D4F"/>
              </w:rPr>
              <w:t>Deputy General Manager of</w:t>
            </w:r>
          </w:p>
        </w:tc>
        <w:tc>
          <w:tcPr>
            <w:tcW w:w="100" w:type="dxa"/>
            <w:vAlign w:val="bottom"/>
          </w:tcPr>
          <w:p>
            <w:pPr>
              <w:ind w:left="20"/>
              <w:spacing w:after="0"/>
              <w:rPr>
                <w:sz w:val="20"/>
                <w:szCs w:val="20"/>
                <w:color w:val="auto"/>
              </w:rPr>
            </w:pPr>
            <w:r>
              <w:rPr>
                <w:rFonts w:ascii="Arial" w:cs="Arial" w:eastAsia="Arial" w:hAnsi="Arial"/>
                <w:sz w:val="14"/>
                <w:szCs w:val="14"/>
                <w:color w:val="0079C0"/>
              </w:rPr>
              <w:t>•</w:t>
            </w:r>
          </w:p>
        </w:tc>
        <w:tc>
          <w:tcPr>
            <w:tcW w:w="1240" w:type="dxa"/>
            <w:vAlign w:val="bottom"/>
          </w:tcPr>
          <w:p>
            <w:pPr>
              <w:spacing w:after="0"/>
              <w:rPr>
                <w:sz w:val="24"/>
                <w:szCs w:val="24"/>
                <w:color w:val="auto"/>
              </w:rPr>
            </w:pPr>
          </w:p>
        </w:tc>
        <w:tc>
          <w:tcPr>
            <w:tcW w:w="6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840" w:type="dxa"/>
            <w:vAlign w:val="bottom"/>
            <w:gridSpan w:val="2"/>
          </w:tcPr>
          <w:p>
            <w:pPr>
              <w:ind w:left="38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Audit</w:t>
            </w: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4D4D4F"/>
              </w:rPr>
              <w:t>Shanghai S&amp;T Venture Capital</w:t>
            </w:r>
          </w:p>
        </w:tc>
        <w:tc>
          <w:tcPr>
            <w:tcW w:w="1340" w:type="dxa"/>
            <w:vAlign w:val="bottom"/>
            <w:gridSpan w:val="2"/>
          </w:tcPr>
          <w:p>
            <w:pPr>
              <w:ind w:left="20"/>
              <w:spacing w:after="0"/>
              <w:rPr>
                <w:sz w:val="20"/>
                <w:szCs w:val="20"/>
                <w:color w:val="auto"/>
              </w:rPr>
            </w:pPr>
            <w:r>
              <w:rPr>
                <w:rFonts w:ascii="Arial" w:cs="Arial" w:eastAsia="Arial" w:hAnsi="Arial"/>
                <w:sz w:val="14"/>
                <w:szCs w:val="14"/>
                <w:color w:val="4D4D4F"/>
              </w:rPr>
              <w:t>Investor designee</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4D4D4F"/>
              </w:rPr>
              <w:t>(Group) Co. Ltd.</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0079C0"/>
              </w:rPr>
              <w:t>•</w:t>
            </w:r>
          </w:p>
        </w:tc>
        <w:tc>
          <w:tcPr>
            <w:tcW w:w="1240" w:type="dxa"/>
            <w:vAlign w:val="bottom"/>
            <w:vMerge w:val="restart"/>
          </w:tcPr>
          <w:p>
            <w:pPr>
              <w:ind w:left="40"/>
              <w:spacing w:after="0"/>
              <w:rPr>
                <w:sz w:val="20"/>
                <w:szCs w:val="20"/>
                <w:color w:val="auto"/>
              </w:rPr>
            </w:pPr>
            <w:r>
              <w:rPr>
                <w:rFonts w:ascii="Arial" w:cs="Arial" w:eastAsia="Arial" w:hAnsi="Arial"/>
                <w:sz w:val="14"/>
                <w:szCs w:val="14"/>
                <w:color w:val="4D4D4F"/>
              </w:rPr>
              <w:t>Finance</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0079C0"/>
              </w:rPr>
              <w:t>•</w:t>
            </w:r>
          </w:p>
        </w:tc>
        <w:tc>
          <w:tcPr>
            <w:tcW w:w="1240" w:type="dxa"/>
            <w:vAlign w:val="bottom"/>
          </w:tcPr>
          <w:p>
            <w:pPr>
              <w:ind w:left="40"/>
              <w:spacing w:after="0"/>
              <w:rPr>
                <w:sz w:val="20"/>
                <w:szCs w:val="20"/>
                <w:color w:val="auto"/>
              </w:rPr>
            </w:pPr>
            <w:r>
              <w:rPr>
                <w:rFonts w:ascii="Arial" w:cs="Arial" w:eastAsia="Arial" w:hAnsi="Arial"/>
                <w:sz w:val="14"/>
                <w:szCs w:val="14"/>
                <w:color w:val="4D4D4F"/>
              </w:rPr>
              <w:t>Industry</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1" w:right="419" w:bottom="144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Arial" w:cs="Arial" w:eastAsia="Arial" w:hAnsi="Arial"/>
                <w:sz w:val="14"/>
                <w:szCs w:val="14"/>
                <w:color w:val="4D4D4F"/>
              </w:rPr>
              <w:t>Zhengfan Yang</w:t>
            </w:r>
          </w:p>
        </w:tc>
        <w:tc>
          <w:tcPr>
            <w:tcW w:w="760" w:type="dxa"/>
            <w:vAlign w:val="bottom"/>
          </w:tcPr>
          <w:p>
            <w:pPr>
              <w:jc w:val="right"/>
              <w:ind w:right="128"/>
              <w:spacing w:after="0"/>
              <w:rPr>
                <w:sz w:val="20"/>
                <w:szCs w:val="20"/>
                <w:color w:val="auto"/>
              </w:rPr>
            </w:pPr>
            <w:r>
              <w:rPr>
                <w:rFonts w:ascii="Arial" w:cs="Arial" w:eastAsia="Arial" w:hAnsi="Arial"/>
                <w:sz w:val="14"/>
                <w:szCs w:val="14"/>
                <w:color w:val="4D4D4F"/>
              </w:rPr>
              <w:t>39</w:t>
            </w:r>
          </w:p>
        </w:tc>
        <w:tc>
          <w:tcPr>
            <w:tcW w:w="660" w:type="dxa"/>
            <w:vAlign w:val="bottom"/>
          </w:tcPr>
          <w:p>
            <w:pPr>
              <w:jc w:val="right"/>
              <w:ind w:right="68"/>
              <w:spacing w:after="0"/>
              <w:rPr>
                <w:sz w:val="20"/>
                <w:szCs w:val="20"/>
                <w:color w:val="auto"/>
              </w:rPr>
            </w:pPr>
            <w:r>
              <w:rPr>
                <w:rFonts w:ascii="Arial" w:cs="Arial" w:eastAsia="Arial" w:hAnsi="Arial"/>
                <w:sz w:val="14"/>
                <w:szCs w:val="14"/>
                <w:color w:val="4D4D4F"/>
              </w:rPr>
              <w:t>2018</w:t>
            </w:r>
          </w:p>
        </w:tc>
        <w:tc>
          <w:tcPr>
            <w:tcW w:w="2140" w:type="dxa"/>
            <w:vAlign w:val="bottom"/>
          </w:tcPr>
          <w:p>
            <w:pPr>
              <w:ind w:left="140"/>
              <w:spacing w:after="0"/>
              <w:rPr>
                <w:sz w:val="20"/>
                <w:szCs w:val="20"/>
                <w:color w:val="auto"/>
              </w:rPr>
            </w:pPr>
            <w:r>
              <w:rPr>
                <w:rFonts w:ascii="Arial" w:cs="Arial" w:eastAsia="Arial" w:hAnsi="Arial"/>
                <w:sz w:val="14"/>
                <w:szCs w:val="14"/>
                <w:color w:val="4D4D4F"/>
              </w:rPr>
              <w:t>Director of Direct investment</w:t>
            </w: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4D4D4F"/>
              </w:rPr>
              <w:t>Division III, Sino IC Capital Co.,</w:t>
            </w:r>
          </w:p>
        </w:tc>
      </w:tr>
      <w:tr>
        <w:trPr>
          <w:trHeight w:val="17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4D4D4F"/>
              </w:rPr>
              <w:t>Ltd.</w:t>
            </w:r>
          </w:p>
        </w:tc>
      </w:tr>
    </w:tbl>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199"/>
        </w:trPr>
        <w:tc>
          <w:tcPr>
            <w:tcW w:w="80" w:type="dxa"/>
            <w:vAlign w:val="bottom"/>
          </w:tcPr>
          <w:p>
            <w:pPr>
              <w:spacing w:after="0"/>
              <w:rPr>
                <w:sz w:val="20"/>
                <w:szCs w:val="20"/>
                <w:color w:val="auto"/>
              </w:rPr>
            </w:pPr>
            <w:r>
              <w:rPr>
                <w:rFonts w:ascii="Arial" w:cs="Arial" w:eastAsia="Arial" w:hAnsi="Arial"/>
                <w:sz w:val="14"/>
                <w:szCs w:val="14"/>
                <w:color w:val="003E64"/>
              </w:rPr>
              <w:t>•</w:t>
            </w:r>
          </w:p>
        </w:tc>
        <w:tc>
          <w:tcPr>
            <w:tcW w:w="1880" w:type="dxa"/>
            <w:vAlign w:val="bottom"/>
          </w:tcPr>
          <w:p>
            <w:pPr>
              <w:ind w:left="40"/>
              <w:spacing w:after="0" w:line="161" w:lineRule="exact"/>
              <w:rPr>
                <w:sz w:val="20"/>
                <w:szCs w:val="20"/>
                <w:color w:val="auto"/>
              </w:rPr>
            </w:pPr>
            <w:r>
              <w:rPr>
                <w:rFonts w:ascii="Arial" w:cs="Arial" w:eastAsia="Arial" w:hAnsi="Arial"/>
                <w:sz w:val="14"/>
                <w:szCs w:val="14"/>
                <w:color w:val="4D4D4F"/>
              </w:rPr>
              <w:t xml:space="preserve">Investor designee   </w:t>
            </w:r>
            <w:r>
              <w:rPr>
                <w:rFonts w:ascii="MS PGothic" w:cs="MS PGothic" w:eastAsia="MS PGothic" w:hAnsi="MS PGothic"/>
                <w:sz w:val="14"/>
                <w:szCs w:val="14"/>
                <w:color w:val="000000"/>
              </w:rPr>
              <w:t>✔</w:t>
            </w:r>
          </w:p>
        </w:tc>
        <w:tc>
          <w:tcPr>
            <w:tcW w:w="1520" w:type="dxa"/>
            <w:vAlign w:val="bottom"/>
          </w:tcPr>
          <w:p>
            <w:pPr>
              <w:ind w:left="38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Nominating and</w:t>
            </w:r>
          </w:p>
        </w:tc>
        <w:tc>
          <w:tcPr>
            <w:tcW w:w="0" w:type="dxa"/>
            <w:vAlign w:val="bottom"/>
          </w:tcPr>
          <w:p>
            <w:pPr>
              <w:spacing w:after="0"/>
              <w:rPr>
                <w:sz w:val="1"/>
                <w:szCs w:val="1"/>
                <w:color w:val="auto"/>
              </w:rPr>
            </w:pPr>
          </w:p>
        </w:tc>
      </w:tr>
      <w:tr>
        <w:trPr>
          <w:trHeight w:val="172"/>
        </w:trPr>
        <w:tc>
          <w:tcPr>
            <w:tcW w:w="80" w:type="dxa"/>
            <w:vAlign w:val="bottom"/>
            <w:vMerge w:val="restart"/>
          </w:tcPr>
          <w:p>
            <w:pPr>
              <w:spacing w:after="0"/>
              <w:rPr>
                <w:sz w:val="20"/>
                <w:szCs w:val="20"/>
                <w:color w:val="auto"/>
              </w:rPr>
            </w:pPr>
            <w:r>
              <w:rPr>
                <w:rFonts w:ascii="Arial" w:cs="Arial" w:eastAsia="Arial" w:hAnsi="Arial"/>
                <w:sz w:val="14"/>
                <w:szCs w:val="14"/>
                <w:color w:val="003E64"/>
              </w:rPr>
              <w:t>•</w:t>
            </w:r>
          </w:p>
        </w:tc>
        <w:tc>
          <w:tcPr>
            <w:tcW w:w="1880" w:type="dxa"/>
            <w:vAlign w:val="bottom"/>
            <w:vMerge w:val="restart"/>
          </w:tcPr>
          <w:p>
            <w:pPr>
              <w:ind w:left="40"/>
              <w:spacing w:after="0"/>
              <w:rPr>
                <w:sz w:val="20"/>
                <w:szCs w:val="20"/>
                <w:color w:val="auto"/>
              </w:rPr>
            </w:pPr>
            <w:r>
              <w:rPr>
                <w:rFonts w:ascii="Arial" w:cs="Arial" w:eastAsia="Arial" w:hAnsi="Arial"/>
                <w:sz w:val="14"/>
                <w:szCs w:val="14"/>
                <w:color w:val="4D4D4F"/>
              </w:rPr>
              <w:t>Industry</w:t>
            </w:r>
          </w:p>
        </w:tc>
        <w:tc>
          <w:tcPr>
            <w:tcW w:w="1520" w:type="dxa"/>
            <w:vAlign w:val="bottom"/>
          </w:tcPr>
          <w:p>
            <w:pPr>
              <w:ind w:left="380"/>
              <w:spacing w:after="0"/>
              <w:rPr>
                <w:sz w:val="20"/>
                <w:szCs w:val="20"/>
                <w:color w:val="auto"/>
              </w:rPr>
            </w:pPr>
            <w:r>
              <w:rPr>
                <w:rFonts w:ascii="Arial" w:cs="Arial" w:eastAsia="Arial" w:hAnsi="Arial"/>
                <w:sz w:val="14"/>
                <w:szCs w:val="14"/>
                <w:color w:val="4D4D4F"/>
              </w:rPr>
              <w:t>Governance</w:t>
            </w:r>
          </w:p>
        </w:tc>
        <w:tc>
          <w:tcPr>
            <w:tcW w:w="0" w:type="dxa"/>
            <w:vAlign w:val="bottom"/>
          </w:tcPr>
          <w:p>
            <w:pPr>
              <w:spacing w:after="0"/>
              <w:rPr>
                <w:sz w:val="1"/>
                <w:szCs w:val="1"/>
                <w:color w:val="auto"/>
              </w:rPr>
            </w:pPr>
          </w:p>
        </w:tc>
      </w:tr>
      <w:tr>
        <w:trPr>
          <w:trHeight w:val="81"/>
        </w:trPr>
        <w:tc>
          <w:tcPr>
            <w:tcW w:w="8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3" w:hanging="123"/>
        <w:spacing w:after="0"/>
        <w:tabs>
          <w:tab w:leader="none" w:pos="123" w:val="left"/>
        </w:tabs>
        <w:numPr>
          <w:ilvl w:val="0"/>
          <w:numId w:val="6"/>
        </w:numPr>
        <w:rPr>
          <w:rFonts w:ascii="Arial" w:cs="Arial" w:eastAsia="Arial" w:hAnsi="Arial"/>
          <w:sz w:val="14"/>
          <w:szCs w:val="14"/>
          <w:color w:val="003E64"/>
        </w:rPr>
      </w:pPr>
      <w:r>
        <w:rPr>
          <w:rFonts w:ascii="Arial" w:cs="Arial" w:eastAsia="Arial" w:hAnsi="Arial"/>
          <w:sz w:val="14"/>
          <w:szCs w:val="14"/>
          <w:color w:val="4D4D4F"/>
        </w:rPr>
        <w:t>Finance</w:t>
      </w:r>
    </w:p>
    <w:p>
      <w:pPr>
        <w:spacing w:after="0" w:line="200" w:lineRule="exact"/>
        <w:rPr>
          <w:sz w:val="20"/>
          <w:szCs w:val="20"/>
          <w:color w:val="auto"/>
        </w:rPr>
      </w:pPr>
    </w:p>
    <w:p>
      <w:pPr>
        <w:sectPr>
          <w:pgSz w:w="11900" w:h="16838" w:orient="portrait"/>
          <w:cols w:equalWidth="0" w:num="2">
            <w:col w:w="4960" w:space="137"/>
            <w:col w:w="6063"/>
          </w:cols>
          <w:pgMar w:left="320" w:top="12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113030</wp:posOffset>
            </wp:positionV>
            <wp:extent cx="7101840" cy="635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1840" cy="6356350"/>
                    </a:xfrm>
                    <a:prstGeom prst="rect">
                      <a:avLst/>
                    </a:prstGeom>
                    <a:noFill/>
                  </pic:spPr>
                </pic:pic>
              </a:graphicData>
            </a:graphic>
          </wp:anchor>
        </w:drawing>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9C0"/>
        </w:rPr>
        <w:t>Board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0079C0"/>
        </w:rPr>
        <w:t>Additional Board Governance Practices</w:t>
      </w:r>
    </w:p>
    <w:p>
      <w:pPr>
        <w:sectPr>
          <w:pgSz w:w="11900" w:h="16838" w:orient="portrait"/>
          <w:cols w:equalWidth="0" w:num="1">
            <w:col w:w="10340"/>
          </w:cols>
          <w:pgMar w:left="320" w:top="121" w:right="1239" w:bottom="1440" w:gutter="0" w:footer="0" w:header="0"/>
        </w:sectPr>
      </w:pPr>
    </w:p>
    <w:p>
      <w:pPr>
        <w:spacing w:after="0" w:line="227"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i w:val="1"/>
          <w:iCs w:val="1"/>
          <w:color w:val="003E64"/>
        </w:rPr>
        <w:t>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E64"/>
        </w:rPr>
        <w:t>Chair:</w:t>
      </w: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i w:val="1"/>
          <w:iCs w:val="1"/>
          <w:color w:val="003E64"/>
        </w:rPr>
        <w:t>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E64"/>
        </w:rPr>
        <w:t>Director Status: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E64"/>
        </w:rPr>
        <w:t>Shareholder</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E64"/>
        </w:rPr>
        <w:t>Rights: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4D4D4F"/>
              </w:rPr>
              <w:t>Classified Board</w:t>
            </w:r>
          </w:p>
        </w:tc>
        <w:tc>
          <w:tcPr>
            <w:tcW w:w="1740" w:type="dxa"/>
            <w:vAlign w:val="bottom"/>
          </w:tcPr>
          <w:p>
            <w:pPr>
              <w:ind w:left="620"/>
              <w:spacing w:after="0"/>
              <w:rPr>
                <w:sz w:val="20"/>
                <w:szCs w:val="20"/>
                <w:color w:val="auto"/>
              </w:rPr>
            </w:pPr>
            <w:r>
              <w:rPr>
                <w:rFonts w:ascii="Arial" w:cs="Arial" w:eastAsia="Arial" w:hAnsi="Arial"/>
                <w:sz w:val="18"/>
                <w:szCs w:val="18"/>
                <w:color w:val="4D4D4F"/>
              </w:rPr>
              <w:t>No</w:t>
            </w:r>
          </w:p>
        </w:tc>
      </w:tr>
      <w:tr>
        <w:trPr>
          <w:trHeight w:val="202"/>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Frequency of Director Elections</w:t>
            </w:r>
          </w:p>
        </w:tc>
        <w:tc>
          <w:tcPr>
            <w:tcW w:w="1740" w:type="dxa"/>
            <w:vAlign w:val="bottom"/>
          </w:tcPr>
          <w:p>
            <w:pPr>
              <w:ind w:left="620"/>
              <w:spacing w:after="0" w:line="202" w:lineRule="exact"/>
              <w:rPr>
                <w:sz w:val="20"/>
                <w:szCs w:val="20"/>
                <w:color w:val="auto"/>
              </w:rPr>
            </w:pPr>
            <w:r>
              <w:rPr>
                <w:rFonts w:ascii="Arial" w:cs="Arial" w:eastAsia="Arial" w:hAnsi="Arial"/>
                <w:sz w:val="18"/>
                <w:szCs w:val="18"/>
                <w:color w:val="4D4D4F"/>
              </w:rPr>
              <w:t>Annual</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Voting Standard</w:t>
            </w:r>
          </w:p>
        </w:tc>
        <w:tc>
          <w:tcPr>
            <w:tcW w:w="1740" w:type="dxa"/>
            <w:vAlign w:val="bottom"/>
          </w:tcPr>
          <w:p>
            <w:pPr>
              <w:ind w:left="620"/>
              <w:spacing w:after="0" w:line="202" w:lineRule="exact"/>
              <w:rPr>
                <w:sz w:val="20"/>
                <w:szCs w:val="20"/>
                <w:color w:val="auto"/>
              </w:rPr>
            </w:pPr>
            <w:r>
              <w:rPr>
                <w:rFonts w:ascii="Arial" w:cs="Arial" w:eastAsia="Arial" w:hAnsi="Arial"/>
                <w:sz w:val="18"/>
                <w:szCs w:val="18"/>
                <w:color w:val="4D4D4F"/>
              </w:rPr>
              <w:t>Majority</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Resignation Policy</w:t>
            </w:r>
          </w:p>
        </w:tc>
        <w:tc>
          <w:tcPr>
            <w:tcW w:w="1740" w:type="dxa"/>
            <w:vAlign w:val="bottom"/>
          </w:tcPr>
          <w:p>
            <w:pPr>
              <w:ind w:left="620"/>
              <w:spacing w:after="0" w:line="202" w:lineRule="exact"/>
              <w:rPr>
                <w:sz w:val="20"/>
                <w:szCs w:val="20"/>
                <w:color w:val="auto"/>
              </w:rPr>
            </w:pPr>
            <w:r>
              <w:rPr>
                <w:rFonts w:ascii="Arial" w:cs="Arial" w:eastAsia="Arial" w:hAnsi="Arial"/>
                <w:sz w:val="18"/>
                <w:szCs w:val="18"/>
                <w:color w:val="4D4D4F"/>
              </w:rPr>
              <w:t>Yes</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Mandatory Retirement Age or Tenure</w:t>
            </w:r>
          </w:p>
        </w:tc>
        <w:tc>
          <w:tcPr>
            <w:tcW w:w="1740" w:type="dxa"/>
            <w:vAlign w:val="bottom"/>
          </w:tcPr>
          <w:p>
            <w:pPr>
              <w:ind w:left="620"/>
              <w:spacing w:after="0" w:line="202" w:lineRule="exact"/>
              <w:rPr>
                <w:sz w:val="20"/>
                <w:szCs w:val="20"/>
                <w:color w:val="auto"/>
              </w:rPr>
            </w:pPr>
            <w:r>
              <w:rPr>
                <w:rFonts w:ascii="Arial" w:cs="Arial" w:eastAsia="Arial" w:hAnsi="Arial"/>
                <w:sz w:val="18"/>
                <w:szCs w:val="18"/>
                <w:color w:val="4D4D4F"/>
              </w:rPr>
              <w:t>No</w:t>
            </w: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4D4D4F"/>
              </w:rPr>
              <w:t>Separate Chair of the Board and CEO</w:t>
            </w:r>
          </w:p>
        </w:tc>
        <w:tc>
          <w:tcPr>
            <w:tcW w:w="1740" w:type="dxa"/>
            <w:vAlign w:val="bottom"/>
          </w:tcPr>
          <w:p>
            <w:pPr>
              <w:ind w:left="620"/>
              <w:spacing w:after="0" w:line="203" w:lineRule="exact"/>
              <w:rPr>
                <w:sz w:val="20"/>
                <w:szCs w:val="20"/>
                <w:color w:val="auto"/>
              </w:rPr>
            </w:pPr>
            <w:r>
              <w:rPr>
                <w:rFonts w:ascii="Arial" w:cs="Arial" w:eastAsia="Arial" w:hAnsi="Arial"/>
                <w:sz w:val="18"/>
                <w:szCs w:val="18"/>
                <w:color w:val="4D4D4F"/>
              </w:rPr>
              <w:t>No</w:t>
            </w:r>
          </w:p>
        </w:tc>
      </w:tr>
      <w:tr>
        <w:trPr>
          <w:trHeight w:val="202"/>
        </w:trPr>
        <w:tc>
          <w:tcPr>
            <w:tcW w:w="606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Independent Lead Director</w:t>
            </w:r>
          </w:p>
        </w:tc>
        <w:tc>
          <w:tcPr>
            <w:tcW w:w="1740" w:type="dxa"/>
            <w:vAlign w:val="bottom"/>
            <w:shd w:val="clear" w:color="auto" w:fill="B7E4FF"/>
          </w:tcPr>
          <w:p>
            <w:pPr>
              <w:ind w:left="620"/>
              <w:spacing w:after="0" w:line="201" w:lineRule="exact"/>
              <w:rPr>
                <w:sz w:val="20"/>
                <w:szCs w:val="20"/>
                <w:color w:val="auto"/>
              </w:rPr>
            </w:pPr>
            <w:r>
              <w:rPr>
                <w:rFonts w:ascii="Arial" w:cs="Arial" w:eastAsia="Arial" w:hAnsi="Arial"/>
                <w:sz w:val="18"/>
                <w:szCs w:val="18"/>
                <w:color w:val="4D4D4F"/>
              </w:rPr>
              <w:t>Yes</w:t>
            </w:r>
          </w:p>
        </w:tc>
      </w:tr>
      <w:tr>
        <w:trPr>
          <w:trHeight w:val="203"/>
        </w:trPr>
        <w:tc>
          <w:tcPr>
            <w:tcW w:w="6060" w:type="dxa"/>
            <w:vAlign w:val="bottom"/>
            <w:shd w:val="clear" w:color="auto" w:fill="B7E4FF"/>
          </w:tcPr>
          <w:p>
            <w:pPr>
              <w:spacing w:after="0" w:line="203" w:lineRule="exact"/>
              <w:rPr>
                <w:sz w:val="20"/>
                <w:szCs w:val="20"/>
                <w:color w:val="auto"/>
              </w:rPr>
            </w:pPr>
            <w:r>
              <w:rPr>
                <w:rFonts w:ascii="Arial" w:cs="Arial" w:eastAsia="Arial" w:hAnsi="Arial"/>
                <w:sz w:val="18"/>
                <w:szCs w:val="18"/>
                <w:color w:val="4D4D4F"/>
              </w:rPr>
              <w:t>Robust Responsibilities and Duties Assigned to Independent Chair</w:t>
            </w:r>
          </w:p>
        </w:tc>
        <w:tc>
          <w:tcPr>
            <w:tcW w:w="1740" w:type="dxa"/>
            <w:vAlign w:val="bottom"/>
            <w:shd w:val="clear" w:color="auto" w:fill="B7E4FF"/>
          </w:tcPr>
          <w:p>
            <w:pPr>
              <w:ind w:left="620"/>
              <w:spacing w:after="0" w:line="203" w:lineRule="exact"/>
              <w:rPr>
                <w:sz w:val="20"/>
                <w:szCs w:val="20"/>
                <w:color w:val="auto"/>
              </w:rPr>
            </w:pPr>
            <w:r>
              <w:rPr>
                <w:rFonts w:ascii="Arial" w:cs="Arial" w:eastAsia="Arial" w:hAnsi="Arial"/>
                <w:sz w:val="18"/>
                <w:szCs w:val="18"/>
                <w:color w:val="4D4D4F"/>
              </w:rPr>
              <w:t>Yes</w:t>
            </w: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4D4D4F"/>
              </w:rPr>
              <w:t>Number of Board Meetings Held in 2019</w:t>
            </w:r>
          </w:p>
        </w:tc>
        <w:tc>
          <w:tcPr>
            <w:tcW w:w="1740" w:type="dxa"/>
            <w:vAlign w:val="bottom"/>
          </w:tcPr>
          <w:p>
            <w:pPr>
              <w:jc w:val="right"/>
              <w:ind w:right="930"/>
              <w:spacing w:after="0" w:line="201" w:lineRule="exact"/>
              <w:rPr>
                <w:sz w:val="20"/>
                <w:szCs w:val="20"/>
                <w:color w:val="auto"/>
              </w:rPr>
            </w:pPr>
            <w:r>
              <w:rPr>
                <w:rFonts w:ascii="Arial" w:cs="Arial" w:eastAsia="Arial" w:hAnsi="Arial"/>
                <w:sz w:val="18"/>
                <w:szCs w:val="18"/>
                <w:color w:val="4D4D4F"/>
              </w:rPr>
              <w:t>6</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Directors Attending Fewer than 75% of Board Meetings in 2019</w:t>
            </w:r>
          </w:p>
        </w:tc>
        <w:tc>
          <w:tcPr>
            <w:tcW w:w="1740" w:type="dxa"/>
            <w:vAlign w:val="bottom"/>
          </w:tcPr>
          <w:p>
            <w:pPr>
              <w:jc w:val="right"/>
              <w:ind w:right="930"/>
              <w:spacing w:after="0" w:line="202" w:lineRule="exact"/>
              <w:rPr>
                <w:sz w:val="20"/>
                <w:szCs w:val="20"/>
                <w:color w:val="auto"/>
              </w:rPr>
            </w:pPr>
            <w:r>
              <w:rPr>
                <w:rFonts w:ascii="Arial" w:cs="Arial" w:eastAsia="Arial" w:hAnsi="Arial"/>
                <w:sz w:val="18"/>
                <w:szCs w:val="18"/>
                <w:color w:val="4D4D4F"/>
              </w:rPr>
              <w:t>1</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Independent Directors Meet without Management Present</w:t>
            </w:r>
          </w:p>
        </w:tc>
        <w:tc>
          <w:tcPr>
            <w:tcW w:w="1740" w:type="dxa"/>
            <w:vAlign w:val="bottom"/>
          </w:tcPr>
          <w:p>
            <w:pPr>
              <w:ind w:left="620"/>
              <w:spacing w:after="0" w:line="202" w:lineRule="exact"/>
              <w:rPr>
                <w:sz w:val="20"/>
                <w:szCs w:val="20"/>
                <w:color w:val="auto"/>
              </w:rPr>
            </w:pPr>
            <w:r>
              <w:rPr>
                <w:rFonts w:ascii="Arial" w:cs="Arial" w:eastAsia="Arial" w:hAnsi="Arial"/>
                <w:sz w:val="18"/>
                <w:szCs w:val="18"/>
                <w:color w:val="4D4D4F"/>
              </w:rPr>
              <w:t>Yes</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Number of Standing Committee Meetings Held in 2019</w:t>
            </w:r>
          </w:p>
        </w:tc>
        <w:tc>
          <w:tcPr>
            <w:tcW w:w="1740" w:type="dxa"/>
            <w:vAlign w:val="bottom"/>
          </w:tcPr>
          <w:p>
            <w:pPr>
              <w:jc w:val="right"/>
              <w:ind w:right="930"/>
              <w:spacing w:after="0" w:line="202" w:lineRule="exact"/>
              <w:rPr>
                <w:sz w:val="20"/>
                <w:szCs w:val="20"/>
                <w:color w:val="auto"/>
              </w:rPr>
            </w:pPr>
            <w:r>
              <w:rPr>
                <w:rFonts w:ascii="Arial" w:cs="Arial" w:eastAsia="Arial" w:hAnsi="Arial"/>
                <w:sz w:val="18"/>
                <w:szCs w:val="18"/>
                <w:color w:val="4D4D4F"/>
              </w:rPr>
              <w:t>9</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4D4D4F"/>
              </w:rPr>
              <w:t>Members Attending Fewer than 75% of Committee Meetings in 2019</w:t>
            </w:r>
          </w:p>
        </w:tc>
        <w:tc>
          <w:tcPr>
            <w:tcW w:w="1740" w:type="dxa"/>
            <w:vAlign w:val="bottom"/>
          </w:tcPr>
          <w:p>
            <w:pPr>
              <w:jc w:val="right"/>
              <w:ind w:right="930"/>
              <w:spacing w:after="0" w:line="202" w:lineRule="exact"/>
              <w:rPr>
                <w:sz w:val="20"/>
                <w:szCs w:val="20"/>
                <w:color w:val="auto"/>
              </w:rPr>
            </w:pPr>
            <w:r>
              <w:rPr>
                <w:rFonts w:ascii="Arial" w:cs="Arial" w:eastAsia="Arial" w:hAnsi="Arial"/>
                <w:sz w:val="18"/>
                <w:szCs w:val="18"/>
                <w:color w:val="4D4D4F"/>
              </w:rPr>
              <w:t>1</w:t>
            </w: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4D4D4F"/>
              </w:rPr>
              <w:t>Directors Overboarded per ISS or Glass Lewis Voting Guidelines</w:t>
            </w:r>
          </w:p>
        </w:tc>
        <w:tc>
          <w:tcPr>
            <w:tcW w:w="1740" w:type="dxa"/>
            <w:vAlign w:val="bottom"/>
          </w:tcPr>
          <w:p>
            <w:pPr>
              <w:ind w:left="620"/>
              <w:spacing w:after="0" w:line="203" w:lineRule="exact"/>
              <w:rPr>
                <w:sz w:val="20"/>
                <w:szCs w:val="20"/>
                <w:color w:val="auto"/>
              </w:rPr>
            </w:pPr>
            <w:r>
              <w:rPr>
                <w:rFonts w:ascii="Arial" w:cs="Arial" w:eastAsia="Arial" w:hAnsi="Arial"/>
                <w:sz w:val="18"/>
                <w:szCs w:val="18"/>
                <w:color w:val="4D4D4F"/>
              </w:rPr>
              <w:t>None</w:t>
            </w:r>
          </w:p>
        </w:tc>
      </w:tr>
      <w:tr>
        <w:trPr>
          <w:trHeight w:val="202"/>
        </w:trPr>
        <w:tc>
          <w:tcPr>
            <w:tcW w:w="606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Standing Board Committee Membership Independence</w:t>
            </w:r>
          </w:p>
        </w:tc>
        <w:tc>
          <w:tcPr>
            <w:tcW w:w="1740" w:type="dxa"/>
            <w:vAlign w:val="bottom"/>
            <w:shd w:val="clear" w:color="auto" w:fill="B7E4FF"/>
          </w:tcPr>
          <w:p>
            <w:pPr>
              <w:ind w:left="620"/>
              <w:spacing w:after="0" w:line="201" w:lineRule="exact"/>
              <w:rPr>
                <w:sz w:val="20"/>
                <w:szCs w:val="20"/>
                <w:color w:val="auto"/>
              </w:rPr>
            </w:pPr>
            <w:r>
              <w:rPr>
                <w:rFonts w:ascii="Arial" w:cs="Arial" w:eastAsia="Arial" w:hAnsi="Arial"/>
                <w:sz w:val="18"/>
                <w:szCs w:val="18"/>
                <w:color w:val="4D4D4F"/>
              </w:rPr>
              <w:t>100%</w:t>
            </w:r>
          </w:p>
        </w:tc>
      </w:tr>
      <w:tr>
        <w:trPr>
          <w:trHeight w:val="203"/>
        </w:trPr>
        <w:tc>
          <w:tcPr>
            <w:tcW w:w="606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Board Oversight of Company Strategy and Risk</w:t>
            </w:r>
          </w:p>
        </w:tc>
        <w:tc>
          <w:tcPr>
            <w:tcW w:w="1740" w:type="dxa"/>
            <w:vAlign w:val="bottom"/>
            <w:shd w:val="clear" w:color="auto" w:fill="B7E4FF"/>
          </w:tcPr>
          <w:p>
            <w:pPr>
              <w:ind w:left="620"/>
              <w:spacing w:after="0" w:line="202" w:lineRule="exact"/>
              <w:rPr>
                <w:sz w:val="20"/>
                <w:szCs w:val="20"/>
                <w:color w:val="auto"/>
              </w:rPr>
            </w:pPr>
            <w:r>
              <w:rPr>
                <w:rFonts w:ascii="Arial" w:cs="Arial" w:eastAsia="Arial" w:hAnsi="Arial"/>
                <w:sz w:val="18"/>
                <w:szCs w:val="18"/>
                <w:color w:val="4D4D4F"/>
              </w:rPr>
              <w:t>Yes</w:t>
            </w:r>
          </w:p>
        </w:tc>
      </w:tr>
      <w:tr>
        <w:trPr>
          <w:trHeight w:val="203"/>
        </w:trPr>
        <w:tc>
          <w:tcPr>
            <w:tcW w:w="6060" w:type="dxa"/>
            <w:vAlign w:val="bottom"/>
            <w:shd w:val="clear" w:color="auto" w:fill="B7E4FF"/>
          </w:tcPr>
          <w:p>
            <w:pPr>
              <w:spacing w:after="0" w:line="203" w:lineRule="exact"/>
              <w:rPr>
                <w:sz w:val="20"/>
                <w:szCs w:val="20"/>
                <w:color w:val="auto"/>
              </w:rPr>
            </w:pPr>
            <w:r>
              <w:rPr>
                <w:rFonts w:ascii="Arial" w:cs="Arial" w:eastAsia="Arial" w:hAnsi="Arial"/>
                <w:sz w:val="18"/>
                <w:szCs w:val="18"/>
                <w:color w:val="4D4D4F"/>
              </w:rPr>
              <w:t>Shares Pledged by Directors</w:t>
            </w:r>
          </w:p>
        </w:tc>
        <w:tc>
          <w:tcPr>
            <w:tcW w:w="1740" w:type="dxa"/>
            <w:vAlign w:val="bottom"/>
            <w:shd w:val="clear" w:color="auto" w:fill="B7E4FF"/>
          </w:tcPr>
          <w:p>
            <w:pPr>
              <w:ind w:left="620"/>
              <w:spacing w:after="0" w:line="203" w:lineRule="exact"/>
              <w:rPr>
                <w:sz w:val="20"/>
                <w:szCs w:val="20"/>
                <w:color w:val="auto"/>
              </w:rPr>
            </w:pPr>
            <w:r>
              <w:rPr>
                <w:rFonts w:ascii="Arial" w:cs="Arial" w:eastAsia="Arial" w:hAnsi="Arial"/>
                <w:sz w:val="18"/>
                <w:szCs w:val="18"/>
                <w:color w:val="4D4D4F"/>
              </w:rPr>
              <w:t>None</w:t>
            </w:r>
          </w:p>
        </w:tc>
      </w:tr>
      <w:tr>
        <w:trPr>
          <w:trHeight w:val="310"/>
        </w:trPr>
        <w:tc>
          <w:tcPr>
            <w:tcW w:w="6060" w:type="dxa"/>
            <w:vAlign w:val="bottom"/>
          </w:tcPr>
          <w:p>
            <w:pPr>
              <w:spacing w:after="0"/>
              <w:rPr>
                <w:sz w:val="20"/>
                <w:szCs w:val="20"/>
                <w:color w:val="auto"/>
              </w:rPr>
            </w:pPr>
            <w:r>
              <w:rPr>
                <w:rFonts w:ascii="Arial" w:cs="Arial" w:eastAsia="Arial" w:hAnsi="Arial"/>
                <w:sz w:val="18"/>
                <w:szCs w:val="18"/>
                <w:color w:val="4D4D4F"/>
              </w:rPr>
              <w:t>Cumulative Voting</w:t>
            </w:r>
          </w:p>
        </w:tc>
        <w:tc>
          <w:tcPr>
            <w:tcW w:w="1740" w:type="dxa"/>
            <w:vAlign w:val="bottom"/>
          </w:tcPr>
          <w:p>
            <w:pPr>
              <w:ind w:left="620"/>
              <w:spacing w:after="0"/>
              <w:rPr>
                <w:sz w:val="20"/>
                <w:szCs w:val="20"/>
                <w:color w:val="auto"/>
              </w:rPr>
            </w:pPr>
            <w:r>
              <w:rPr>
                <w:rFonts w:ascii="Arial" w:cs="Arial" w:eastAsia="Arial" w:hAnsi="Arial"/>
                <w:sz w:val="18"/>
                <w:szCs w:val="18"/>
                <w:color w:val="4D4D4F"/>
              </w:rPr>
              <w:t>No</w:t>
            </w:r>
          </w:p>
        </w:tc>
      </w:tr>
      <w:tr>
        <w:trPr>
          <w:trHeight w:val="310"/>
        </w:trPr>
        <w:tc>
          <w:tcPr>
            <w:tcW w:w="6060" w:type="dxa"/>
            <w:vAlign w:val="bottom"/>
          </w:tcPr>
          <w:p>
            <w:pPr>
              <w:spacing w:after="0"/>
              <w:rPr>
                <w:sz w:val="20"/>
                <w:szCs w:val="20"/>
                <w:color w:val="auto"/>
              </w:rPr>
            </w:pPr>
            <w:r>
              <w:rPr>
                <w:rFonts w:ascii="Arial" w:cs="Arial" w:eastAsia="Arial" w:hAnsi="Arial"/>
                <w:sz w:val="18"/>
                <w:szCs w:val="18"/>
                <w:color w:val="4D4D4F"/>
              </w:rPr>
              <w:t>Proxy Access Bylaw</w:t>
            </w:r>
          </w:p>
        </w:tc>
        <w:tc>
          <w:tcPr>
            <w:tcW w:w="1740" w:type="dxa"/>
            <w:vAlign w:val="bottom"/>
          </w:tcPr>
          <w:p>
            <w:pPr>
              <w:ind w:left="620"/>
              <w:spacing w:after="0"/>
              <w:rPr>
                <w:sz w:val="20"/>
                <w:szCs w:val="20"/>
                <w:color w:val="auto"/>
              </w:rPr>
            </w:pPr>
            <w:r>
              <w:rPr>
                <w:rFonts w:ascii="Arial" w:cs="Arial" w:eastAsia="Arial" w:hAnsi="Arial"/>
                <w:sz w:val="18"/>
                <w:szCs w:val="18"/>
                <w:color w:val="4D4D4F"/>
              </w:rPr>
              <w:t>Yes</w:t>
            </w:r>
          </w:p>
        </w:tc>
      </w:tr>
    </w:tbl>
    <w:p>
      <w:pPr>
        <w:spacing w:after="0" w:line="200" w:lineRule="exact"/>
        <w:rPr>
          <w:sz w:val="20"/>
          <w:szCs w:val="20"/>
          <w:color w:val="auto"/>
        </w:rPr>
      </w:pPr>
    </w:p>
    <w:p>
      <w:pPr>
        <w:sectPr>
          <w:pgSz w:w="11900" w:h="16838" w:orient="portrait"/>
          <w:cols w:equalWidth="0" w:num="2">
            <w:col w:w="2240" w:space="300"/>
            <w:col w:w="7800"/>
          </w:cols>
          <w:pgMar w:left="320" w:top="121" w:right="1239" w:bottom="1440" w:gutter="0" w:footer="0" w:header="0"/>
          <w:type w:val="continuous"/>
        </w:sect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113030</wp:posOffset>
            </wp:positionV>
            <wp:extent cx="7101840" cy="7187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1840" cy="7187565"/>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sz w:val="1"/>
          <w:szCs w:val="1"/>
          <w:color w:val="auto"/>
        </w:rPr>
        <w:drawing>
          <wp:inline distT="0" distB="0" distL="0" distR="0">
            <wp:extent cx="274320" cy="2743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 cy="274320"/>
                    </a:xfrm>
                    <a:prstGeom prst="rect">
                      <a:avLst/>
                    </a:prstGeom>
                    <a:noFill/>
                    <a:ln>
                      <a:noFill/>
                    </a:ln>
                  </pic:spPr>
                </pic:pic>
              </a:graphicData>
            </a:graphic>
          </wp:inline>
        </w:drawing>
      </w:r>
      <w:r>
        <w:rPr>
          <w:rFonts w:ascii="Arial" w:cs="Arial" w:eastAsia="Arial" w:hAnsi="Arial"/>
          <w:sz w:val="22"/>
          <w:szCs w:val="22"/>
          <w:b w:val="1"/>
          <w:bCs w:val="1"/>
          <w:color w:val="0079C0"/>
        </w:rPr>
        <w:t>Ratification of Appointment of Independent Auditor for 2020</w:t>
      </w:r>
    </w:p>
    <w:p>
      <w:pPr>
        <w:spacing w:after="0" w:line="196" w:lineRule="exact"/>
        <w:rPr>
          <w:sz w:val="20"/>
          <w:szCs w:val="20"/>
          <w:color w:val="auto"/>
        </w:rPr>
      </w:pPr>
    </w:p>
    <w:p>
      <w:pPr>
        <w:jc w:val="both"/>
        <w:ind w:left="220"/>
        <w:spacing w:after="0" w:line="278" w:lineRule="auto"/>
        <w:rPr>
          <w:sz w:val="20"/>
          <w:szCs w:val="20"/>
          <w:color w:val="auto"/>
        </w:rPr>
      </w:pPr>
      <w:r>
        <w:rPr>
          <w:rFonts w:ascii="Arial" w:cs="Arial" w:eastAsia="Arial" w:hAnsi="Arial"/>
          <w:sz w:val="18"/>
          <w:szCs w:val="18"/>
          <w:color w:val="4D4D4F"/>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2020.</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9C0"/>
        </w:rPr>
        <w:t>Participation in the Virtual Annual Meeting</w:t>
      </w:r>
    </w:p>
    <w:p>
      <w:pPr>
        <w:spacing w:after="0" w:line="192" w:lineRule="exact"/>
        <w:rPr>
          <w:sz w:val="20"/>
          <w:szCs w:val="20"/>
          <w:color w:val="auto"/>
        </w:rPr>
      </w:pPr>
    </w:p>
    <w:p>
      <w:pPr>
        <w:jc w:val="both"/>
        <w:ind w:left="220"/>
        <w:spacing w:after="0" w:line="247" w:lineRule="auto"/>
        <w:rPr>
          <w:sz w:val="20"/>
          <w:szCs w:val="20"/>
          <w:color w:val="auto"/>
        </w:rPr>
      </w:pPr>
      <w:r>
        <w:rPr>
          <w:rFonts w:ascii="Arial" w:cs="Arial" w:eastAsia="Arial" w:hAnsi="Arial"/>
          <w:sz w:val="18"/>
          <w:szCs w:val="18"/>
          <w:color w:val="4D4D4F"/>
        </w:rPr>
        <w:t>The board of directors considers the appropriate format of our annual meeting of stockholders on an annual basis. This year the board again chose a virtual meeting format for the Annual Meeting in an eﬀort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aﬀord to travel to an in-person meeting. The virtual format allows stockholders to submit questions and comments during the meeting.</w:t>
      </w:r>
    </w:p>
    <w:p>
      <w:pPr>
        <w:spacing w:after="0" w:line="237" w:lineRule="exact"/>
        <w:rPr>
          <w:sz w:val="20"/>
          <w:szCs w:val="20"/>
          <w:color w:val="auto"/>
        </w:rPr>
      </w:pPr>
    </w:p>
    <w:p>
      <w:pPr>
        <w:jc w:val="both"/>
        <w:ind w:left="220"/>
        <w:spacing w:after="0" w:line="249" w:lineRule="auto"/>
        <w:rPr>
          <w:sz w:val="20"/>
          <w:szCs w:val="20"/>
          <w:color w:val="auto"/>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237" w:lineRule="exact"/>
        <w:rPr>
          <w:sz w:val="20"/>
          <w:szCs w:val="20"/>
          <w:color w:val="auto"/>
        </w:rPr>
      </w:pPr>
    </w:p>
    <w:p>
      <w:pPr>
        <w:jc w:val="both"/>
        <w:ind w:left="220"/>
        <w:spacing w:after="0" w:line="241" w:lineRule="auto"/>
        <w:rPr>
          <w:sz w:val="20"/>
          <w:szCs w:val="20"/>
          <w:color w:val="auto"/>
        </w:rPr>
      </w:pPr>
      <w:r>
        <w:rPr>
          <w:rFonts w:ascii="Arial" w:cs="Arial" w:eastAsia="Arial" w:hAnsi="Arial"/>
          <w:sz w:val="18"/>
          <w:szCs w:val="18"/>
          <w:color w:val="4D4D4F"/>
        </w:rPr>
        <w:t xml:space="preserve">Stockholders can vote their shares and submit questions via the Internet during the Annual Meeting by accessing the annual meeting website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2020 Rules of Conduct and Procedure, available at </w:t>
      </w:r>
      <w:r>
        <w:rPr>
          <w:rFonts w:ascii="Arial" w:cs="Arial" w:eastAsia="Arial" w:hAnsi="Arial"/>
          <w:sz w:val="18"/>
          <w:szCs w:val="18"/>
          <w:i w:val="1"/>
          <w:iCs w:val="1"/>
          <w:color w:val="4D4D4F"/>
        </w:rPr>
        <w:t>virtualshareholdermeeting.com/ACMR2020.</w:t>
      </w:r>
    </w:p>
    <w:p>
      <w:pPr>
        <w:spacing w:after="0" w:line="200" w:lineRule="exact"/>
        <w:rPr>
          <w:sz w:val="20"/>
          <w:szCs w:val="20"/>
          <w:color w:val="auto"/>
        </w:rPr>
      </w:pPr>
    </w:p>
    <w:p>
      <w:pPr>
        <w:spacing w:after="0" w:line="273" w:lineRule="exact"/>
        <w:rPr>
          <w:sz w:val="20"/>
          <w:szCs w:val="20"/>
          <w:color w:val="auto"/>
        </w:rPr>
      </w:pPr>
    </w:p>
    <w:p>
      <w:pPr>
        <w:jc w:val="both"/>
        <w:ind w:left="220"/>
        <w:spacing w:after="0" w:line="250" w:lineRule="auto"/>
        <w:rPr>
          <w:sz w:val="20"/>
          <w:szCs w:val="20"/>
          <w:color w:val="auto"/>
        </w:rPr>
      </w:pPr>
      <w:r>
        <w:rPr>
          <w:rFonts w:ascii="Arial" w:cs="Arial" w:eastAsia="Arial" w:hAnsi="Arial"/>
          <w:sz w:val="18"/>
          <w:szCs w:val="18"/>
          <w:color w:val="4D4D4F"/>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diﬃculties you may have accessing the virtual meeting. If you encounter any diﬃculties accessing the Annual Meeting during the check-in or at meeting time, you should call the technical support number available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w:t>
      </w:r>
    </w:p>
    <w:p>
      <w:pPr>
        <w:spacing w:after="0" w:line="258" w:lineRule="exact"/>
        <w:rPr>
          <w:sz w:val="20"/>
          <w:szCs w:val="20"/>
          <w:color w:val="auto"/>
        </w:rPr>
      </w:pPr>
    </w:p>
    <w:p>
      <w:pPr>
        <w:jc w:val="both"/>
        <w:ind w:left="220"/>
        <w:spacing w:after="0" w:line="264" w:lineRule="auto"/>
        <w:rPr>
          <w:sz w:val="20"/>
          <w:szCs w:val="20"/>
          <w:color w:val="auto"/>
        </w:rPr>
      </w:pPr>
      <w:r>
        <w:rPr>
          <w:rFonts w:ascii="Arial" w:cs="Arial" w:eastAsia="Arial" w:hAnsi="Arial"/>
          <w:sz w:val="18"/>
          <w:szCs w:val="18"/>
          <w:color w:val="4D4D4F"/>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 w:cs="Arial" w:eastAsia="Arial" w:hAnsi="Arial"/>
          <w:sz w:val="18"/>
          <w:szCs w:val="18"/>
          <w:i w:val="1"/>
          <w:iCs w:val="1"/>
          <w:color w:val="4D4D4F"/>
        </w:rPr>
        <w:t xml:space="preserve">http://ir.acmrcsh.com/presentations </w:t>
      </w:r>
      <w:r>
        <w:rPr>
          <w:rFonts w:ascii="Arial" w:cs="Arial" w:eastAsia="Arial" w:hAnsi="Arial"/>
          <w:sz w:val="18"/>
          <w:szCs w:val="18"/>
          <w:color w:val="4D4D4F"/>
        </w:rPr>
        <w:t>until our 2021 annual meeting of stockholders.</w:t>
      </w:r>
    </w:p>
    <w:p>
      <w:pPr>
        <w:spacing w:after="0" w:line="7" w:lineRule="exact"/>
        <w:rPr>
          <w:sz w:val="20"/>
          <w:szCs w:val="20"/>
          <w:color w:val="auto"/>
        </w:rPr>
      </w:pPr>
    </w:p>
    <w:p>
      <w:pPr>
        <w:jc w:val="both"/>
        <w:ind w:left="220"/>
        <w:spacing w:after="0" w:line="264" w:lineRule="auto"/>
        <w:rPr>
          <w:sz w:val="20"/>
          <w:szCs w:val="20"/>
          <w:color w:val="auto"/>
        </w:rPr>
      </w:pPr>
      <w:r>
        <w:rPr>
          <w:rFonts w:ascii="Arial" w:cs="Arial" w:eastAsia="Arial" w:hAnsi="Arial"/>
          <w:sz w:val="18"/>
          <w:szCs w:val="18"/>
          <w:color w:val="4D4D4F"/>
        </w:rPr>
        <w:t>This audio replay will include each stockholder question addressed during the Annual Meeting. We are utilizing technology from Broadridge Financial Solutions, Inc., or Broadridge, the leading virtual meeting solution. The Broadridge platform is expected to accommodate most, if not all, stockholders. Both we and Broadridge will test the platform technology before going “live” for the Annual Meeting.</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Questions and Answers about the Annual Meeting</w:t>
      </w:r>
    </w:p>
    <w:p>
      <w:pPr>
        <w:spacing w:after="0" w:line="26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0079C0"/>
        </w:rPr>
      </w:pPr>
      <w:r>
        <w:rPr>
          <w:rFonts w:ascii="Arial" w:cs="Arial" w:eastAsia="Arial" w:hAnsi="Arial"/>
          <w:sz w:val="20"/>
          <w:szCs w:val="20"/>
          <w:b w:val="1"/>
          <w:bCs w:val="1"/>
          <w:color w:val="0079C0"/>
        </w:rPr>
        <w:t>When and where will the Annual Meeting be held?</w:t>
      </w:r>
    </w:p>
    <w:p>
      <w:pPr>
        <w:spacing w:after="0" w:line="217" w:lineRule="exact"/>
        <w:rPr>
          <w:sz w:val="20"/>
          <w:szCs w:val="20"/>
          <w:color w:val="auto"/>
        </w:rPr>
      </w:pPr>
    </w:p>
    <w:p>
      <w:pPr>
        <w:ind w:left="340" w:hanging="332"/>
        <w:spacing w:after="0" w:line="246" w:lineRule="auto"/>
        <w:tabs>
          <w:tab w:leader="none" w:pos="340" w:val="left"/>
        </w:tabs>
        <w:numPr>
          <w:ilvl w:val="0"/>
          <w:numId w:val="8"/>
        </w:numPr>
        <w:rPr>
          <w:rFonts w:ascii="Arial" w:cs="Arial" w:eastAsia="Arial" w:hAnsi="Arial"/>
          <w:sz w:val="18"/>
          <w:szCs w:val="18"/>
          <w:b w:val="1"/>
          <w:bCs w:val="1"/>
          <w:color w:val="4D4D4F"/>
        </w:rPr>
      </w:pPr>
      <w:r>
        <w:rPr>
          <w:rFonts w:ascii="Arial" w:cs="Arial" w:eastAsia="Arial" w:hAnsi="Arial"/>
          <w:sz w:val="18"/>
          <w:szCs w:val="18"/>
          <w:color w:val="4D4D4F"/>
        </w:rPr>
        <w:t xml:space="preserve">This year the Annual Meeting of Stockholders of ACM Research, Inc., which we refer to as the Annual Meeting, will again be held exclusively by webcast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xml:space="preserve"> beginning at 7 a.m., Pacific time, on June 2, 2020.</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may join the Annual Meeting?</w:t>
      </w:r>
    </w:p>
    <w:p>
      <w:pPr>
        <w:spacing w:after="0" w:line="142" w:lineRule="exact"/>
        <w:rPr>
          <w:sz w:val="20"/>
          <w:szCs w:val="20"/>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b w:val="1"/>
          <w:bCs w:val="1"/>
          <w:color w:val="4D4D4F"/>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xml:space="preserve"> and enter the 16-digit control number included on their Notice of Internet Availability of Proxy Materials or proxy card.</w:t>
      </w:r>
    </w:p>
    <w:p>
      <w:pPr>
        <w:spacing w:after="0" w:line="53" w:lineRule="exact"/>
        <w:rPr>
          <w:rFonts w:ascii="Arial" w:cs="Arial" w:eastAsia="Arial" w:hAnsi="Arial"/>
          <w:sz w:val="18"/>
          <w:szCs w:val="18"/>
          <w:b w:val="1"/>
          <w:bCs w:val="1"/>
          <w:color w:val="4D4D4F"/>
        </w:rPr>
      </w:pPr>
    </w:p>
    <w:p>
      <w:pPr>
        <w:ind w:left="340"/>
        <w:spacing w:after="0" w:line="246" w:lineRule="auto"/>
        <w:rPr>
          <w:rFonts w:ascii="Arial" w:cs="Arial" w:eastAsia="Arial" w:hAnsi="Arial"/>
          <w:sz w:val="18"/>
          <w:szCs w:val="18"/>
          <w:b w:val="1"/>
          <w:bCs w:val="1"/>
          <w:color w:val="4D4D4F"/>
        </w:rPr>
      </w:pPr>
      <w:r>
        <w:rPr>
          <w:rFonts w:ascii="Arial" w:cs="Arial" w:eastAsia="Arial" w:hAnsi="Arial"/>
          <w:sz w:val="18"/>
          <w:szCs w:val="18"/>
          <w:color w:val="4D4D4F"/>
        </w:rPr>
        <w:t>Online check-in to the Annual Meeting webcast will begin at 6:45 a.m., Pacific time. We encourage you to allow ample time to log in to the meeting webcast and test your computer audio system.</w:t>
      </w:r>
    </w:p>
    <w:p>
      <w:pPr>
        <w:spacing w:after="0" w:line="3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0079C0"/>
        </w:rPr>
      </w:pPr>
      <w:r>
        <w:rPr>
          <w:rFonts w:ascii="Arial" w:cs="Arial" w:eastAsia="Arial" w:hAnsi="Arial"/>
          <w:sz w:val="20"/>
          <w:szCs w:val="20"/>
          <w:b w:val="1"/>
          <w:bCs w:val="1"/>
          <w:color w:val="0079C0"/>
        </w:rPr>
        <w:t>What materials have been prepared for stockholders in connection with the Annual Meeting?</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4D4D4F"/>
        </w:rPr>
      </w:pPr>
      <w:r>
        <w:rPr>
          <w:rFonts w:ascii="Arial" w:cs="Arial" w:eastAsia="Arial" w:hAnsi="Arial"/>
          <w:sz w:val="18"/>
          <w:szCs w:val="18"/>
          <w:color w:val="4D4D4F"/>
        </w:rPr>
        <w:t>We are furnishing you and other stockholders of record with the following proxy materials:</w:t>
      </w:r>
    </w:p>
    <w:p>
      <w:pPr>
        <w:spacing w:after="0" w:line="90" w:lineRule="exact"/>
        <w:rPr>
          <w:rFonts w:ascii="Arial" w:cs="Arial" w:eastAsia="Arial" w:hAnsi="Arial"/>
          <w:sz w:val="18"/>
          <w:szCs w:val="18"/>
          <w:b w:val="1"/>
          <w:bCs w:val="1"/>
          <w:color w:val="4D4D4F"/>
        </w:rPr>
      </w:pPr>
    </w:p>
    <w:p>
      <w:pPr>
        <w:jc w:val="both"/>
        <w:ind w:left="660" w:hanging="328"/>
        <w:spacing w:after="0" w:line="251" w:lineRule="exact"/>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our 2019 Annual Report to Stockholders, which we refer to as the 2019 Annual Report and which includes our Annual Report on Form 10</w:t>
      </w:r>
      <w:r>
        <w:rPr>
          <w:rFonts w:ascii="MS PGothic" w:cs="MS PGothic" w:eastAsia="MS PGothic" w:hAnsi="MS PGothic"/>
          <w:sz w:val="18"/>
          <w:szCs w:val="18"/>
          <w:color w:val="4D4D4F"/>
        </w:rPr>
        <w:t>‑</w:t>
      </w:r>
      <w:r>
        <w:rPr>
          <w:rFonts w:ascii="Arial" w:cs="Arial" w:eastAsia="Arial" w:hAnsi="Arial"/>
          <w:sz w:val="18"/>
          <w:szCs w:val="18"/>
          <w:color w:val="4D4D4F"/>
        </w:rPr>
        <w:t>K for the fiscal year ended December 31, 2019 (including our audited consolidated financial statements for 2019 and 2018);</w:t>
      </w:r>
    </w:p>
    <w:p>
      <w:pPr>
        <w:spacing w:after="0" w:line="200" w:lineRule="exact"/>
        <w:rPr>
          <w:rFonts w:ascii="Arial" w:cs="Arial" w:eastAsia="Arial" w:hAnsi="Arial"/>
          <w:sz w:val="18"/>
          <w:szCs w:val="18"/>
          <w:color w:val="4D4D4F"/>
        </w:rPr>
      </w:pPr>
    </w:p>
    <w:p>
      <w:pPr>
        <w:jc w:val="both"/>
        <w:ind w:left="660" w:hanging="328"/>
        <w:spacing w:after="0" w:line="291"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this Proxy Statement for the 2020 Annual Meeting, which we refer to as this Proxy Statement and which also includes a letter from our Chief Executive Oﬃcer and President to stockholders, and a Notice of 2020 Annual Meeting of Stockholders; and</w:t>
      </w:r>
    </w:p>
    <w:p>
      <w:pPr>
        <w:spacing w:after="0" w:line="200" w:lineRule="exact"/>
        <w:rPr>
          <w:rFonts w:ascii="Arial" w:cs="Arial" w:eastAsia="Arial" w:hAnsi="Arial"/>
          <w:sz w:val="18"/>
          <w:szCs w:val="18"/>
          <w:color w:val="4D4D4F"/>
        </w:rPr>
      </w:pPr>
    </w:p>
    <w:p>
      <w:pPr>
        <w:ind w:left="660" w:right="20" w:hanging="328"/>
        <w:spacing w:after="0" w:line="289"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a Notice of Internet Availability of Proxy Materials, which we refer to as the Notice of Internet Availability, which includes a control number for use in submitting proxies and accessing the Annual Meeting webcast.</w:t>
      </w:r>
    </w:p>
    <w:p>
      <w:pPr>
        <w:spacing w:after="0" w:line="1" w:lineRule="exact"/>
        <w:rPr>
          <w:rFonts w:ascii="Arial" w:cs="Arial" w:eastAsia="Arial" w:hAnsi="Arial"/>
          <w:sz w:val="18"/>
          <w:szCs w:val="18"/>
          <w:color w:val="4D4D4F"/>
        </w:rPr>
      </w:pPr>
    </w:p>
    <w:p>
      <w:pPr>
        <w:ind w:left="660" w:hanging="328"/>
        <w:spacing w:after="0"/>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These materials were first mailed or made available to stockholders on or about April 23, 2020.</w:t>
      </w:r>
    </w:p>
    <w:p>
      <w:pPr>
        <w:spacing w:after="0" w:line="90" w:lineRule="exact"/>
        <w:rPr>
          <w:rFonts w:ascii="Arial" w:cs="Arial" w:eastAsia="Arial" w:hAnsi="Arial"/>
          <w:sz w:val="18"/>
          <w:szCs w:val="18"/>
          <w:color w:val="4D4D4F"/>
        </w:rPr>
      </w:pPr>
    </w:p>
    <w:p>
      <w:pPr>
        <w:jc w:val="both"/>
        <w:ind w:left="660" w:hanging="328"/>
        <w:spacing w:after="0" w:line="257"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If you request, in accordance with the instructions provided in the Notice of Internet Availability, a printed set of proxy materials, you will receive by mail, at no charge, printed copies of the 2019 Annual Report, this Proxy Statement, a proxy card for the Annual Meeting and a postage-paid, pre-addressed envelope to be used to return the completed proxy card. Your proxy card will include a control number for use in accessing the Annual Meeting webcast.</w:t>
      </w:r>
    </w:p>
    <w:p>
      <w:pPr>
        <w:spacing w:after="0" w:line="220" w:lineRule="exact"/>
        <w:rPr>
          <w:rFonts w:ascii="Arial" w:cs="Arial" w:eastAsia="Arial" w:hAnsi="Arial"/>
          <w:sz w:val="18"/>
          <w:szCs w:val="18"/>
          <w:color w:val="4D4D4F"/>
        </w:rPr>
      </w:pPr>
    </w:p>
    <w:p>
      <w:pPr>
        <w:jc w:val="both"/>
        <w:ind w:left="660" w:hanging="328"/>
        <w:spacing w:after="0" w:line="291"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If, in accordance with the instructions provided in the Notice of Internet Availability, you request that a set of proxy materials be emailed to you, you will receive by email, at no charge, electronic copies of the 2019 Annual Report and this Proxy Statement.</w:t>
      </w:r>
    </w:p>
    <w:p>
      <w:pPr>
        <w:spacing w:after="0" w:line="28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0"/>
          <w:szCs w:val="20"/>
          <w:b w:val="1"/>
          <w:bCs w:val="1"/>
          <w:color w:val="0079C0"/>
        </w:rPr>
      </w:pPr>
      <w:r>
        <w:rPr>
          <w:rFonts w:ascii="Arial" w:cs="Arial" w:eastAsia="Arial" w:hAnsi="Arial"/>
          <w:sz w:val="20"/>
          <w:szCs w:val="20"/>
          <w:b w:val="1"/>
          <w:bCs w:val="1"/>
          <w:color w:val="0079C0"/>
        </w:rPr>
        <w:t>Why was I mailed a Notice of Internet Availability, rather than a printed set of proxy materials?</w:t>
      </w:r>
    </w:p>
    <w:p>
      <w:pPr>
        <w:spacing w:after="0" w:line="217" w:lineRule="exact"/>
        <w:rPr>
          <w:sz w:val="20"/>
          <w:szCs w:val="20"/>
          <w:color w:val="auto"/>
        </w:rPr>
      </w:pPr>
    </w:p>
    <w:p>
      <w:pPr>
        <w:jc w:val="both"/>
        <w:ind w:left="340" w:right="20" w:hanging="332"/>
        <w:spacing w:after="0" w:line="238" w:lineRule="auto"/>
        <w:tabs>
          <w:tab w:leader="none" w:pos="340" w:val="left"/>
        </w:tabs>
        <w:numPr>
          <w:ilvl w:val="0"/>
          <w:numId w:val="13"/>
        </w:numPr>
        <w:rPr>
          <w:rFonts w:ascii="Arial" w:cs="Arial" w:eastAsia="Arial" w:hAnsi="Arial"/>
          <w:sz w:val="18"/>
          <w:szCs w:val="18"/>
          <w:b w:val="1"/>
          <w:bCs w:val="1"/>
          <w:color w:val="4D4D4F"/>
        </w:rPr>
      </w:pPr>
      <w:r>
        <w:rPr>
          <w:rFonts w:ascii="Arial" w:cs="Arial" w:eastAsia="Arial" w:hAnsi="Arial"/>
          <w:sz w:val="18"/>
          <w:szCs w:val="18"/>
          <w:color w:val="4D4D4F"/>
        </w:rPr>
        <w:t>In accordance with rules adopted by the Securities and Exchange Commission,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0"/>
          <w:szCs w:val="20"/>
          <w:b w:val="1"/>
          <w:bCs w:val="1"/>
          <w:color w:val="0079C0"/>
        </w:rPr>
      </w:pPr>
      <w:r>
        <w:rPr>
          <w:rFonts w:ascii="Arial" w:cs="Arial" w:eastAsia="Arial" w:hAnsi="Arial"/>
          <w:sz w:val="20"/>
          <w:szCs w:val="20"/>
          <w:b w:val="1"/>
          <w:bCs w:val="1"/>
          <w:color w:val="0079C0"/>
        </w:rPr>
        <w:t>Are the proxy materials available via the Internet?</w:t>
      </w:r>
    </w:p>
    <w:p>
      <w:pPr>
        <w:spacing w:after="0" w:line="171" w:lineRule="exact"/>
        <w:rPr>
          <w:sz w:val="20"/>
          <w:szCs w:val="20"/>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b w:val="1"/>
          <w:bCs w:val="1"/>
          <w:color w:val="4D4D4F"/>
        </w:rPr>
      </w:pPr>
      <w:r>
        <w:rPr>
          <w:rFonts w:ascii="Arial" w:cs="Arial" w:eastAsia="Arial" w:hAnsi="Arial"/>
          <w:sz w:val="18"/>
          <w:szCs w:val="18"/>
          <w:color w:val="4D4D4F"/>
        </w:rPr>
        <w:t xml:space="preserve">You can access and review the proxy materials for the Annual Meeting at </w:t>
      </w:r>
      <w:r>
        <w:rPr>
          <w:rFonts w:ascii="Arial" w:cs="Arial" w:eastAsia="Arial" w:hAnsi="Arial"/>
          <w:sz w:val="18"/>
          <w:szCs w:val="18"/>
          <w:i w:val="1"/>
          <w:iCs w:val="1"/>
          <w:color w:val="4D4D4F"/>
        </w:rPr>
        <w:t xml:space="preserve">http://ir.acmrcsh.com/corporate-governance/highlights </w:t>
      </w:r>
      <w:r>
        <w:rPr>
          <w:rFonts w:ascii="Arial" w:cs="Arial" w:eastAsia="Arial" w:hAnsi="Arial"/>
          <w:sz w:val="18"/>
          <w:szCs w:val="18"/>
          <w:color w:val="4D4D4F"/>
        </w:rPr>
        <w:t>or</w:t>
      </w:r>
      <w:r>
        <w:rPr>
          <w:rFonts w:ascii="Arial" w:cs="Arial" w:eastAsia="Arial" w:hAnsi="Arial"/>
          <w:sz w:val="18"/>
          <w:szCs w:val="18"/>
          <w:i w:val="1"/>
          <w:iCs w:val="1"/>
          <w:color w:val="4D4D4F"/>
        </w:rPr>
        <w:t xml:space="preserve"> proxyvote.com</w:t>
      </w:r>
      <w:r>
        <w:rPr>
          <w:rFonts w:ascii="Arial" w:cs="Arial" w:eastAsia="Arial" w:hAnsi="Arial"/>
          <w:sz w:val="18"/>
          <w:szCs w:val="18"/>
          <w:color w:val="4D4D4F"/>
        </w:rPr>
        <w:t>. In order to submit your proxies or access the Annual Meeting webcast, however,</w:t>
      </w:r>
      <w:r>
        <w:rPr>
          <w:rFonts w:ascii="Arial" w:cs="Arial" w:eastAsia="Arial" w:hAnsi="Arial"/>
          <w:sz w:val="18"/>
          <w:szCs w:val="18"/>
          <w:i w:val="1"/>
          <w:iCs w:val="1"/>
          <w:color w:val="4D4D4F"/>
        </w:rPr>
        <w:t xml:space="preserve"> </w:t>
      </w:r>
      <w:r>
        <w:rPr>
          <w:rFonts w:ascii="Arial" w:cs="Arial" w:eastAsia="Arial" w:hAnsi="Arial"/>
          <w:sz w:val="18"/>
          <w:szCs w:val="18"/>
          <w:color w:val="4D4D4F"/>
        </w:rPr>
        <w:t>you will need to refer to the Notice of Internet Availability or proxy card to obtain your 16-digit control number and other personal information needed to vote by proxy or virtually.</w:t>
      </w:r>
    </w:p>
    <w:p>
      <w:pPr>
        <w:spacing w:after="0" w:line="7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0"/>
          <w:szCs w:val="20"/>
          <w:b w:val="1"/>
          <w:bCs w:val="1"/>
          <w:color w:val="0079C0"/>
        </w:rPr>
      </w:pPr>
      <w:r>
        <w:rPr>
          <w:rFonts w:ascii="Arial" w:cs="Arial" w:eastAsia="Arial" w:hAnsi="Arial"/>
          <w:sz w:val="20"/>
          <w:szCs w:val="20"/>
          <w:b w:val="1"/>
          <w:bCs w:val="1"/>
          <w:color w:val="0079C0"/>
        </w:rPr>
        <w:t>What is a proxy?</w:t>
      </w:r>
    </w:p>
    <w:p>
      <w:pPr>
        <w:spacing w:after="0" w:line="171" w:lineRule="exact"/>
        <w:rPr>
          <w:sz w:val="20"/>
          <w:szCs w:val="20"/>
          <w:color w:val="auto"/>
        </w:rPr>
      </w:pPr>
    </w:p>
    <w:p>
      <w:pPr>
        <w:jc w:val="both"/>
        <w:ind w:left="340" w:hanging="332"/>
        <w:spacing w:after="0" w:line="291" w:lineRule="auto"/>
        <w:tabs>
          <w:tab w:leader="none" w:pos="340" w:val="left"/>
        </w:tabs>
        <w:numPr>
          <w:ilvl w:val="0"/>
          <w:numId w:val="17"/>
        </w:numPr>
        <w:rPr>
          <w:rFonts w:ascii="Arial" w:cs="Arial" w:eastAsia="Arial" w:hAnsi="Arial"/>
          <w:sz w:val="18"/>
          <w:szCs w:val="18"/>
          <w:b w:val="1"/>
          <w:bCs w:val="1"/>
          <w:color w:val="4D4D4F"/>
        </w:rPr>
      </w:pPr>
      <w:r>
        <w:rPr>
          <w:rFonts w:ascii="Arial" w:cs="Arial" w:eastAsia="Arial" w:hAnsi="Arial"/>
          <w:sz w:val="18"/>
          <w:szCs w:val="18"/>
          <w:color w:val="4D4D4F"/>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246"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H. Wang, Mark McKechnie and Tracy Liu. All shares represented by valid proxies will be voted in accordance with the stockholder’s specific instructions.</w:t>
      </w:r>
    </w:p>
    <w:p>
      <w:pPr>
        <w:spacing w:after="0" w:line="12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0"/>
          <w:szCs w:val="20"/>
          <w:b w:val="1"/>
          <w:bCs w:val="1"/>
          <w:color w:val="0079C0"/>
        </w:rPr>
      </w:pPr>
      <w:r>
        <w:rPr>
          <w:rFonts w:ascii="Arial" w:cs="Arial" w:eastAsia="Arial" w:hAnsi="Arial"/>
          <w:sz w:val="20"/>
          <w:szCs w:val="20"/>
          <w:b w:val="1"/>
          <w:bCs w:val="1"/>
          <w:color w:val="0079C0"/>
        </w:rPr>
        <w:t>What matters will the stockholders vote on at the Annual Meeting?</w:t>
      </w:r>
    </w:p>
    <w:p>
      <w:pPr>
        <w:sectPr>
          <w:pgSz w:w="11900" w:h="16838" w:orient="portrait"/>
          <w:cols w:equalWidth="0" w:num="1">
            <w:col w:w="11240"/>
          </w:cols>
          <w:pgMar w:left="320" w:top="122"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 xml:space="preserve">A:  </w:t>
      </w:r>
      <w:r>
        <w:rPr>
          <w:rFonts w:ascii="Arial" w:cs="Arial" w:eastAsia="Arial" w:hAnsi="Arial"/>
          <w:sz w:val="18"/>
          <w:szCs w:val="18"/>
          <w:color w:val="4D4D4F"/>
        </w:rPr>
        <w:t xml:space="preserve">Proposal </w:t>
      </w:r>
      <w:r>
        <w:rPr>
          <w:sz w:val="1"/>
          <w:szCs w:val="1"/>
          <w:color w:val="auto"/>
        </w:rPr>
        <w:drawing>
          <wp:inline distT="0" distB="0" distL="0" distR="0">
            <wp:extent cx="145415" cy="1797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415" cy="1797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4D4D4F"/>
        </w:rPr>
        <w:t>Election of the following six director nominees:</w:t>
      </w:r>
    </w:p>
    <w:p>
      <w:pPr>
        <w:spacing w:after="0" w:line="168" w:lineRule="exact"/>
        <w:rPr>
          <w:sz w:val="20"/>
          <w:szCs w:val="20"/>
          <w:color w:val="auto"/>
        </w:rPr>
      </w:pPr>
    </w:p>
    <w:p>
      <w:pPr>
        <w:sectPr>
          <w:pgSz w:w="11900" w:h="16838" w:orient="portrait"/>
          <w:cols w:equalWidth="0" w:num="2">
            <w:col w:w="1360" w:space="300"/>
            <w:col w:w="9580"/>
          </w:cols>
          <w:pgMar w:left="320" w:top="122" w:right="339" w:bottom="1440" w:gutter="0" w:footer="0" w:header="0"/>
          <w:type w:val="continuous"/>
        </w:sectPr>
      </w:pPr>
    </w:p>
    <w:p>
      <w:pPr>
        <w:ind w:left="240"/>
        <w:spacing w:after="0"/>
        <w:tabs>
          <w:tab w:leader="none" w:pos="440" w:val="left"/>
        </w:tabs>
        <w:rPr>
          <w:sz w:val="20"/>
          <w:szCs w:val="20"/>
          <w:color w:val="auto"/>
        </w:rPr>
      </w:pP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David H. Wang</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Chenming C. Hu</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Yinan Xiang</w:t>
      </w:r>
    </w:p>
    <w:p>
      <w:pPr>
        <w:spacing w:after="0" w:line="63" w:lineRule="exact"/>
        <w:rPr>
          <w:sz w:val="20"/>
          <w:szCs w:val="20"/>
          <w:color w:val="auto"/>
        </w:rPr>
      </w:pPr>
    </w:p>
    <w:p>
      <w:pPr>
        <w:sectPr>
          <w:pgSz w:w="11900" w:h="16838" w:orient="portrait"/>
          <w:cols w:equalWidth="0" w:num="3">
            <w:col w:w="1680" w:space="480"/>
            <w:col w:w="1560" w:space="360"/>
            <w:col w:w="7160"/>
          </w:cols>
          <w:pgMar w:left="320" w:top="122" w:right="339" w:bottom="1440" w:gutter="0" w:footer="0" w:header="0"/>
          <w:type w:val="continuous"/>
        </w:sectPr>
      </w:pPr>
    </w:p>
    <w:p>
      <w:pPr>
        <w:ind w:left="240"/>
        <w:spacing w:after="0"/>
        <w:tabs>
          <w:tab w:leader="none" w:pos="440" w:val="left"/>
        </w:tabs>
        <w:rPr>
          <w:sz w:val="20"/>
          <w:szCs w:val="20"/>
          <w:color w:val="auto"/>
        </w:rPr>
      </w:pP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Haiping Dun</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Arial" w:cs="Arial" w:eastAsia="Arial" w:hAnsi="Arial"/>
          <w:sz w:val="17"/>
          <w:szCs w:val="17"/>
          <w:color w:val="4D4D4F"/>
        </w:rPr>
        <w:t>•</w:t>
      </w:r>
      <w:r>
        <w:rPr>
          <w:sz w:val="20"/>
          <w:szCs w:val="20"/>
          <w:color w:val="auto"/>
        </w:rPr>
        <w:tab/>
      </w:r>
      <w:r>
        <w:rPr>
          <w:rFonts w:ascii="Arial" w:cs="Arial" w:eastAsia="Arial" w:hAnsi="Arial"/>
          <w:sz w:val="17"/>
          <w:szCs w:val="17"/>
          <w:color w:val="4D4D4F"/>
        </w:rPr>
        <w:t>Tracy Liu</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7"/>
          <w:szCs w:val="17"/>
          <w:color w:val="4D4D4F"/>
        </w:rPr>
        <w:t>•</w:t>
      </w:r>
      <w:r>
        <w:rPr>
          <w:sz w:val="20"/>
          <w:szCs w:val="20"/>
          <w:color w:val="auto"/>
        </w:rPr>
        <w:tab/>
      </w:r>
      <w:r>
        <w:rPr>
          <w:rFonts w:ascii="Arial" w:cs="Arial" w:eastAsia="Arial" w:hAnsi="Arial"/>
          <w:sz w:val="17"/>
          <w:szCs w:val="17"/>
          <w:color w:val="4D4D4F"/>
        </w:rPr>
        <w:t>Zhengfan Yang</w:t>
      </w:r>
    </w:p>
    <w:p>
      <w:pPr>
        <w:spacing w:after="0" w:line="16" w:lineRule="exact"/>
        <w:rPr>
          <w:sz w:val="20"/>
          <w:szCs w:val="20"/>
          <w:color w:val="auto"/>
        </w:rPr>
      </w:pPr>
    </w:p>
    <w:p>
      <w:pPr>
        <w:sectPr>
          <w:pgSz w:w="11900" w:h="16838" w:orient="portrait"/>
          <w:cols w:equalWidth="0" w:num="3">
            <w:col w:w="1460" w:space="700"/>
            <w:col w:w="1200" w:space="720"/>
            <w:col w:w="7160"/>
          </w:cols>
          <w:pgMar w:left="320" w:top="122" w:right="339" w:bottom="1440" w:gutter="0" w:footer="0" w:header="0"/>
          <w:type w:val="continuous"/>
        </w:sect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54305" cy="1631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8"/>
          <w:szCs w:val="18"/>
          <w:color w:val="4D4D4F"/>
        </w:rPr>
        <w:t xml:space="preserve"> Ratification of appointment of our independent auditor for 2020.</w:t>
      </w:r>
    </w:p>
    <w:p>
      <w:pPr>
        <w:spacing w:after="0" w:line="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0"/>
          <w:szCs w:val="20"/>
          <w:b w:val="1"/>
          <w:bCs w:val="1"/>
          <w:color w:val="0079C0"/>
        </w:rPr>
      </w:pPr>
      <w:r>
        <w:rPr>
          <w:rFonts w:ascii="Arial" w:cs="Arial" w:eastAsia="Arial" w:hAnsi="Arial"/>
          <w:sz w:val="20"/>
          <w:szCs w:val="20"/>
          <w:b w:val="1"/>
          <w:bCs w:val="1"/>
          <w:color w:val="0079C0"/>
        </w:rPr>
        <w:t>Who can vote at the Annual Meeting?</w:t>
      </w:r>
    </w:p>
    <w:p>
      <w:pPr>
        <w:spacing w:after="0" w:line="171" w:lineRule="exact"/>
        <w:rPr>
          <w:sz w:val="20"/>
          <w:szCs w:val="20"/>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b w:val="1"/>
          <w:bCs w:val="1"/>
          <w:color w:val="4D4D4F"/>
        </w:rPr>
      </w:pPr>
      <w:r>
        <w:rPr>
          <w:rFonts w:ascii="Arial" w:cs="Arial" w:eastAsia="Arial" w:hAnsi="Arial"/>
          <w:sz w:val="18"/>
          <w:szCs w:val="18"/>
          <w:color w:val="4D4D4F"/>
        </w:rPr>
        <w:t>Stockholders of record of Class A and Class B common stock at 5 p.m. Eastern time on April 8, 2020 the record date, will be entitled to vote at the Annual Meeting. As of the record date, there were outstanding a total of 16,317,346 shares of Class A common stock, each of which will be entitled to one vote on each proposal, and 1,862,608 shares of Class B common stock, each of which will be entitled to twenty votes on each proposal. As a result, up to a total of 53,569,506 votes can be cast on each proposal.</w:t>
      </w:r>
    </w:p>
    <w:p>
      <w:pPr>
        <w:spacing w:after="0" w:line="30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0"/>
          <w:szCs w:val="20"/>
          <w:b w:val="1"/>
          <w:bCs w:val="1"/>
          <w:color w:val="0079C0"/>
        </w:rPr>
      </w:pPr>
      <w:r>
        <w:rPr>
          <w:rFonts w:ascii="Arial" w:cs="Arial" w:eastAsia="Arial" w:hAnsi="Arial"/>
          <w:sz w:val="20"/>
          <w:szCs w:val="20"/>
          <w:b w:val="1"/>
          <w:bCs w:val="1"/>
          <w:color w:val="0079C0"/>
        </w:rPr>
        <w:t>What is a stockholder of record?</w:t>
      </w:r>
    </w:p>
    <w:p>
      <w:pPr>
        <w:spacing w:after="0" w:line="171" w:lineRule="exact"/>
        <w:rPr>
          <w:sz w:val="20"/>
          <w:szCs w:val="20"/>
          <w:color w:val="auto"/>
        </w:rPr>
      </w:pPr>
    </w:p>
    <w:p>
      <w:pPr>
        <w:ind w:left="340" w:hanging="332"/>
        <w:spacing w:after="0" w:line="322" w:lineRule="auto"/>
        <w:tabs>
          <w:tab w:leader="none" w:pos="340" w:val="left"/>
        </w:tabs>
        <w:numPr>
          <w:ilvl w:val="0"/>
          <w:numId w:val="22"/>
        </w:numPr>
        <w:rPr>
          <w:rFonts w:ascii="Arial" w:cs="Arial" w:eastAsia="Arial" w:hAnsi="Arial"/>
          <w:sz w:val="18"/>
          <w:szCs w:val="18"/>
          <w:b w:val="1"/>
          <w:bCs w:val="1"/>
          <w:color w:val="4D4D4F"/>
        </w:rPr>
      </w:pPr>
      <w:r>
        <w:rPr>
          <w:rFonts w:ascii="Arial" w:cs="Arial" w:eastAsia="Arial" w:hAnsi="Arial"/>
          <w:sz w:val="18"/>
          <w:szCs w:val="18"/>
          <w:color w:val="4D4D4F"/>
        </w:rPr>
        <w:t>A stockholder of record is a stockholder whose ownership of our common stock is reflected directly on the books and records of our transfer agent, Computershare Trust Company, N.A.</w:t>
      </w:r>
    </w:p>
    <w:p>
      <w:pPr>
        <w:spacing w:after="0" w:line="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0"/>
          <w:szCs w:val="20"/>
          <w:b w:val="1"/>
          <w:bCs w:val="1"/>
          <w:color w:val="0079C0"/>
        </w:rPr>
      </w:pPr>
      <w:r>
        <w:rPr>
          <w:rFonts w:ascii="Arial" w:cs="Arial" w:eastAsia="Arial" w:hAnsi="Arial"/>
          <w:sz w:val="20"/>
          <w:szCs w:val="20"/>
          <w:b w:val="1"/>
          <w:bCs w:val="1"/>
          <w:color w:val="0079C0"/>
        </w:rPr>
        <w:t>What does it mean for a broker or other nominee to hold shares in “street name”?</w:t>
      </w:r>
    </w:p>
    <w:p>
      <w:pPr>
        <w:spacing w:after="0" w:line="171" w:lineRule="exact"/>
        <w:rPr>
          <w:sz w:val="20"/>
          <w:szCs w:val="20"/>
          <w:color w:val="auto"/>
        </w:rPr>
      </w:pPr>
    </w:p>
    <w:p>
      <w:pPr>
        <w:jc w:val="both"/>
        <w:ind w:left="340" w:hanging="332"/>
        <w:spacing w:after="0" w:line="252" w:lineRule="auto"/>
        <w:tabs>
          <w:tab w:leader="none" w:pos="340" w:val="left"/>
        </w:tabs>
        <w:numPr>
          <w:ilvl w:val="0"/>
          <w:numId w:val="24"/>
        </w:numPr>
        <w:rPr>
          <w:rFonts w:ascii="Arial" w:cs="Arial" w:eastAsia="Arial" w:hAnsi="Arial"/>
          <w:sz w:val="18"/>
          <w:szCs w:val="18"/>
          <w:b w:val="1"/>
          <w:bCs w:val="1"/>
          <w:color w:val="4D4D4F"/>
        </w:rPr>
      </w:pPr>
      <w:r>
        <w:rPr>
          <w:rFonts w:ascii="Arial" w:cs="Arial" w:eastAsia="Arial" w:hAnsi="Arial"/>
          <w:sz w:val="18"/>
          <w:szCs w:val="18"/>
          <w:color w:val="4D4D4F"/>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222" w:lineRule="exact"/>
        <w:rPr>
          <w:rFonts w:ascii="Arial" w:cs="Arial" w:eastAsia="Arial" w:hAnsi="Arial"/>
          <w:sz w:val="18"/>
          <w:szCs w:val="18"/>
          <w:b w:val="1"/>
          <w:bCs w:val="1"/>
          <w:color w:val="4D4D4F"/>
        </w:rPr>
      </w:pPr>
    </w:p>
    <w:p>
      <w:pPr>
        <w:jc w:val="both"/>
        <w:ind w:left="660" w:hanging="328"/>
        <w:spacing w:after="0" w:line="278" w:lineRule="auto"/>
        <w:tabs>
          <w:tab w:leader="none" w:pos="660" w:val="left"/>
        </w:tabs>
        <w:numPr>
          <w:ilvl w:val="1"/>
          <w:numId w:val="24"/>
        </w:numPr>
        <w:rPr>
          <w:rFonts w:ascii="Arial" w:cs="Arial" w:eastAsia="Arial" w:hAnsi="Arial"/>
          <w:sz w:val="18"/>
          <w:szCs w:val="18"/>
          <w:color w:val="4D4D4F"/>
        </w:rPr>
      </w:pPr>
      <w:r>
        <w:rPr>
          <w:rFonts w:ascii="Arial" w:cs="Arial" w:eastAsia="Arial" w:hAnsi="Arial"/>
          <w:sz w:val="18"/>
          <w:szCs w:val="18"/>
          <w:color w:val="4D4D4F"/>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2020 (Proposal 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1" w:lineRule="exact"/>
        <w:rPr>
          <w:sz w:val="20"/>
          <w:szCs w:val="20"/>
          <w:color w:val="auto"/>
        </w:rPr>
      </w:pPr>
    </w:p>
    <w:p>
      <w:pPr>
        <w:jc w:val="both"/>
        <w:ind w:left="660" w:hanging="328"/>
        <w:spacing w:after="0" w:line="291" w:lineRule="auto"/>
        <w:tabs>
          <w:tab w:leader="none" w:pos="66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The organization generally may not vote on non-routine matters, including Proposal 1. Instead, it will inform the inspector of election that it does not have the authority to vote on those matters. This is referred to as a “broker non-vote.”</w:t>
      </w:r>
    </w:p>
    <w:p>
      <w:pPr>
        <w:spacing w:after="0" w:line="246"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4D4D4F"/>
        </w:rPr>
        <w:t>For the purpose of determining a quorum, we will treat as present at the Annual Meeting any proxies that are voted on any of the two proposals to be acted upon by the stockholders, including abstentions or proxies containing broker non-votes.</w:t>
      </w:r>
    </w:p>
    <w:p>
      <w:pPr>
        <w:spacing w:after="0" w:line="3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b w:val="1"/>
          <w:bCs w:val="1"/>
          <w:color w:val="0079C0"/>
        </w:rPr>
      </w:pPr>
      <w:r>
        <w:rPr>
          <w:rFonts w:ascii="Arial" w:cs="Arial" w:eastAsia="Arial" w:hAnsi="Arial"/>
          <w:sz w:val="20"/>
          <w:szCs w:val="20"/>
          <w:b w:val="1"/>
          <w:bCs w:val="1"/>
          <w:color w:val="0079C0"/>
        </w:rPr>
        <w:t>How do I vote my shares if I do not attend the Annual Meeting?</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4D4D4F"/>
        </w:rPr>
      </w:pPr>
      <w:r>
        <w:rPr>
          <w:rFonts w:ascii="Arial" w:cs="Arial" w:eastAsia="Arial" w:hAnsi="Arial"/>
          <w:sz w:val="18"/>
          <w:szCs w:val="18"/>
          <w:b w:val="1"/>
          <w:bCs w:val="1"/>
          <w:color w:val="4D4D4F"/>
        </w:rPr>
        <w:t xml:space="preserve">If you are a stockholder of record, </w:t>
      </w:r>
      <w:r>
        <w:rPr>
          <w:rFonts w:ascii="Arial" w:cs="Arial" w:eastAsia="Arial" w:hAnsi="Arial"/>
          <w:sz w:val="18"/>
          <w:szCs w:val="18"/>
          <w:color w:val="4D4D4F"/>
        </w:rPr>
        <w:t>you may vote prior to the Annual Meeting as follows:</w:t>
      </w:r>
    </w:p>
    <w:p>
      <w:pPr>
        <w:spacing w:after="0" w:line="118" w:lineRule="exact"/>
        <w:rPr>
          <w:rFonts w:ascii="Arial" w:cs="Arial" w:eastAsia="Arial" w:hAnsi="Arial"/>
          <w:sz w:val="18"/>
          <w:szCs w:val="18"/>
          <w:b w:val="1"/>
          <w:bCs w:val="1"/>
          <w:color w:val="4D4D4F"/>
        </w:rPr>
      </w:pPr>
    </w:p>
    <w:p>
      <w:pPr>
        <w:ind w:left="2600" w:hanging="2268"/>
        <w:spacing w:after="0" w:line="245" w:lineRule="auto"/>
        <w:tabs>
          <w:tab w:leader="none" w:pos="656" w:val="left"/>
        </w:tabs>
        <w:numPr>
          <w:ilvl w:val="1"/>
          <w:numId w:val="27"/>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4D4D4F"/>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2020. You will be given the opportunity to confirm that your instructions have been recorded properly.</w:t>
      </w:r>
    </w:p>
    <w:p>
      <w:pPr>
        <w:spacing w:after="0" w:line="59" w:lineRule="exact"/>
        <w:rPr>
          <w:rFonts w:ascii="Arial" w:cs="Arial" w:eastAsia="Arial" w:hAnsi="Arial"/>
          <w:sz w:val="18"/>
          <w:szCs w:val="18"/>
          <w:color w:val="4D4D4F"/>
        </w:rPr>
      </w:pPr>
    </w:p>
    <w:p>
      <w:pPr>
        <w:ind w:left="2600" w:hanging="2268"/>
        <w:spacing w:after="0" w:line="238" w:lineRule="auto"/>
        <w:tabs>
          <w:tab w:leader="none" w:pos="656" w:val="left"/>
        </w:tabs>
        <w:numPr>
          <w:ilvl w:val="1"/>
          <w:numId w:val="27"/>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2020. Easy-to-follow voice prompts will allow you to vote your shares and confirm that your instructions have been recorded properly.</w:t>
      </w:r>
    </w:p>
    <w:p>
      <w:pPr>
        <w:spacing w:after="0" w:line="69" w:lineRule="exact"/>
        <w:rPr>
          <w:rFonts w:ascii="Arial" w:cs="Arial" w:eastAsia="Arial" w:hAnsi="Arial"/>
          <w:sz w:val="18"/>
          <w:szCs w:val="18"/>
          <w:color w:val="4D4D4F"/>
        </w:rPr>
      </w:pPr>
    </w:p>
    <w:p>
      <w:pPr>
        <w:ind w:left="2600" w:hanging="2268"/>
        <w:spacing w:after="0" w:line="246" w:lineRule="auto"/>
        <w:tabs>
          <w:tab w:leader="none" w:pos="656" w:val="left"/>
        </w:tabs>
        <w:numPr>
          <w:ilvl w:val="1"/>
          <w:numId w:val="27"/>
        </w:numPr>
        <w:rPr>
          <w:rFonts w:ascii="Arial" w:cs="Arial" w:eastAsia="Arial" w:hAnsi="Arial"/>
          <w:sz w:val="18"/>
          <w:szCs w:val="18"/>
          <w:color w:val="4D4D4F"/>
        </w:rPr>
      </w:pPr>
      <w:r>
        <w:rPr>
          <w:rFonts w:ascii="Arial" w:cs="Arial" w:eastAsia="Arial" w:hAnsi="Arial"/>
          <w:sz w:val="18"/>
          <w:szCs w:val="18"/>
          <w:i w:val="1"/>
          <w:iCs w:val="1"/>
          <w:color w:val="4D4D4F"/>
        </w:rPr>
        <w:t>By Mail</w:t>
      </w:r>
      <w:r>
        <w:rPr>
          <w:rFonts w:ascii="Arial" w:cs="Arial" w:eastAsia="Arial" w:hAnsi="Arial"/>
          <w:sz w:val="18"/>
          <w:szCs w:val="18"/>
          <w:color w:val="4D4D4F"/>
        </w:rPr>
        <w:t>:If you obtain a proxy card by mail, you may vote by returning the completed and signed proxy card in a postage-paid return envelope that will be provided with the proxy card.</w:t>
      </w:r>
    </w:p>
    <w:p>
      <w:pPr>
        <w:spacing w:after="0" w:line="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b w:val="1"/>
          <w:bCs w:val="1"/>
          <w:color w:val="4D4D4F"/>
        </w:rPr>
        <w:t xml:space="preserve">If you hold shares in street name, </w:t>
      </w:r>
      <w:r>
        <w:rPr>
          <w:rFonts w:ascii="Arial" w:cs="Arial" w:eastAsia="Arial" w:hAnsi="Arial"/>
          <w:sz w:val="18"/>
          <w:szCs w:val="18"/>
          <w:color w:val="4D4D4F"/>
        </w:rPr>
        <w:t>you may vote by following the voting instructions provided by your bank, broker or other nominee. In</w:t>
      </w:r>
      <w:r>
        <w:rPr>
          <w:rFonts w:ascii="Arial" w:cs="Arial" w:eastAsia="Arial" w:hAnsi="Arial"/>
          <w:sz w:val="18"/>
          <w:szCs w:val="18"/>
          <w:b w:val="1"/>
          <w:bCs w:val="1"/>
          <w:color w:val="4D4D4F"/>
        </w:rPr>
        <w:t xml:space="preserve"> </w:t>
      </w:r>
      <w:r>
        <w:rPr>
          <w:rFonts w:ascii="Arial" w:cs="Arial" w:eastAsia="Arial" w:hAnsi="Arial"/>
          <w:sz w:val="18"/>
          <w:szCs w:val="18"/>
          <w:color w:val="4D4D4F"/>
        </w:rPr>
        <w:t>general, you may vote prior to the Annual Meeting as follows:</w:t>
      </w:r>
    </w:p>
    <w:p>
      <w:pPr>
        <w:spacing w:after="0" w:line="36" w:lineRule="exact"/>
        <w:rPr>
          <w:sz w:val="20"/>
          <w:szCs w:val="20"/>
          <w:color w:val="auto"/>
        </w:rPr>
      </w:pPr>
    </w:p>
    <w:p>
      <w:pPr>
        <w:ind w:left="2600" w:hanging="2268"/>
        <w:spacing w:after="0" w:line="245" w:lineRule="auto"/>
        <w:tabs>
          <w:tab w:leader="none" w:pos="656" w:val="left"/>
        </w:tabs>
        <w:numPr>
          <w:ilvl w:val="0"/>
          <w:numId w:val="28"/>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4D4D4F"/>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2020. You will be given the opportunity to confirm that your instructions have been recorded properly.</w:t>
      </w:r>
    </w:p>
    <w:p>
      <w:pPr>
        <w:spacing w:after="0" w:line="59" w:lineRule="exact"/>
        <w:rPr>
          <w:rFonts w:ascii="Arial" w:cs="Arial" w:eastAsia="Arial" w:hAnsi="Arial"/>
          <w:sz w:val="18"/>
          <w:szCs w:val="18"/>
          <w:color w:val="4D4D4F"/>
        </w:rPr>
      </w:pPr>
    </w:p>
    <w:p>
      <w:pPr>
        <w:jc w:val="right"/>
        <w:ind w:left="2600" w:hanging="2268"/>
        <w:spacing w:after="0"/>
        <w:tabs>
          <w:tab w:leader="none" w:pos="656" w:val="left"/>
        </w:tabs>
        <w:numPr>
          <w:ilvl w:val="0"/>
          <w:numId w:val="28"/>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2020. Easy-to-follow voice prompts allow you to vote your shares and confirm that your instructions have been recorded properly.</w:t>
      </w:r>
    </w:p>
    <w:p>
      <w:pPr>
        <w:spacing w:after="0" w:line="39" w:lineRule="exact"/>
        <w:rPr>
          <w:sz w:val="20"/>
          <w:szCs w:val="20"/>
          <w:color w:val="auto"/>
        </w:rPr>
      </w:pPr>
    </w:p>
    <w:p>
      <w:pPr>
        <w:ind w:left="340"/>
        <w:spacing w:after="0" w:line="292" w:lineRule="auto"/>
        <w:rPr>
          <w:sz w:val="20"/>
          <w:szCs w:val="20"/>
          <w:color w:val="auto"/>
        </w:rPr>
      </w:pPr>
      <w:r>
        <w:rPr>
          <w:rFonts w:ascii="Arial" w:cs="Arial" w:eastAsia="Arial" w:hAnsi="Arial"/>
          <w:sz w:val="18"/>
          <w:szCs w:val="18"/>
          <w:color w:val="4D4D4F"/>
        </w:rPr>
        <w:t>For your information, voting via the Internet is the least expensive to ACM, followed by telephone voting, with voting by mail being the most expensive.</w:t>
      </w:r>
    </w:p>
    <w:p>
      <w:pPr>
        <w:ind w:left="340" w:hanging="332"/>
        <w:spacing w:after="0"/>
        <w:tabs>
          <w:tab w:leader="none" w:pos="340" w:val="left"/>
        </w:tabs>
        <w:numPr>
          <w:ilvl w:val="0"/>
          <w:numId w:val="29"/>
        </w:numPr>
        <w:rPr>
          <w:rFonts w:ascii="Arial" w:cs="Arial" w:eastAsia="Arial" w:hAnsi="Arial"/>
          <w:sz w:val="20"/>
          <w:szCs w:val="20"/>
          <w:b w:val="1"/>
          <w:bCs w:val="1"/>
          <w:color w:val="0079C0"/>
        </w:rPr>
      </w:pPr>
      <w:r>
        <w:rPr>
          <w:rFonts w:ascii="Arial" w:cs="Arial" w:eastAsia="Arial" w:hAnsi="Arial"/>
          <w:sz w:val="20"/>
          <w:szCs w:val="20"/>
          <w:b w:val="1"/>
          <w:bCs w:val="1"/>
          <w:color w:val="0079C0"/>
        </w:rPr>
        <w:t>Can I vote at the Annual Meeting?</w:t>
      </w:r>
    </w:p>
    <w:p>
      <w:pPr>
        <w:spacing w:after="0" w:line="171" w:lineRule="exact"/>
        <w:rPr>
          <w:sz w:val="20"/>
          <w:szCs w:val="20"/>
          <w:color w:val="auto"/>
        </w:rPr>
      </w:pPr>
    </w:p>
    <w:p>
      <w:pPr>
        <w:jc w:val="both"/>
        <w:ind w:left="340" w:hanging="332"/>
        <w:spacing w:after="0" w:line="286" w:lineRule="auto"/>
        <w:tabs>
          <w:tab w:leader="none" w:pos="340" w:val="left"/>
        </w:tabs>
        <w:numPr>
          <w:ilvl w:val="0"/>
          <w:numId w:val="30"/>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6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0"/>
          <w:szCs w:val="20"/>
          <w:b w:val="1"/>
          <w:bCs w:val="1"/>
          <w:color w:val="0079C0"/>
        </w:rPr>
      </w:pPr>
      <w:r>
        <w:rPr>
          <w:rFonts w:ascii="Arial" w:cs="Arial" w:eastAsia="Arial" w:hAnsi="Arial"/>
          <w:sz w:val="20"/>
          <w:szCs w:val="20"/>
          <w:b w:val="1"/>
          <w:bCs w:val="1"/>
          <w:color w:val="0079C0"/>
        </w:rPr>
        <w:t>Can I ask questions at the Annual Meeting?</w:t>
      </w:r>
    </w:p>
    <w:p>
      <w:pPr>
        <w:spacing w:after="0" w:line="217" w:lineRule="exact"/>
        <w:rPr>
          <w:sz w:val="20"/>
          <w:szCs w:val="20"/>
          <w:color w:val="auto"/>
        </w:rPr>
      </w:pPr>
    </w:p>
    <w:p>
      <w:pPr>
        <w:jc w:val="both"/>
        <w:ind w:left="340" w:hanging="332"/>
        <w:spacing w:after="0" w:line="237" w:lineRule="auto"/>
        <w:tabs>
          <w:tab w:leader="none" w:pos="340" w:val="left"/>
        </w:tabs>
        <w:numPr>
          <w:ilvl w:val="0"/>
          <w:numId w:val="32"/>
        </w:numPr>
        <w:rPr>
          <w:rFonts w:ascii="Arial" w:cs="Arial" w:eastAsia="Arial" w:hAnsi="Arial"/>
          <w:sz w:val="18"/>
          <w:szCs w:val="18"/>
          <w:b w:val="1"/>
          <w:bCs w:val="1"/>
          <w:color w:val="4D4D4F"/>
        </w:rPr>
      </w:pPr>
      <w:r>
        <w:rPr>
          <w:rFonts w:ascii="Arial" w:cs="Arial" w:eastAsia="Arial" w:hAnsi="Arial"/>
          <w:sz w:val="18"/>
          <w:szCs w:val="18"/>
          <w:color w:val="4D4D4F"/>
        </w:rPr>
        <w:t xml:space="preserve">You may submit questions via the Internet during the Annual Meeting by participating in the webcast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 We will answer any timely submitted questions on a matter to be voted on at the Annual</w:t>
      </w:r>
      <w:r>
        <w:rPr>
          <w:rFonts w:ascii="Arial" w:cs="Arial" w:eastAsia="Arial" w:hAnsi="Arial"/>
          <w:sz w:val="18"/>
          <w:szCs w:val="18"/>
          <w:i w:val="1"/>
          <w:iCs w:val="1"/>
          <w:color w:val="4D4D4F"/>
        </w:rPr>
        <w:t xml:space="preserve"> </w:t>
      </w:r>
      <w:r>
        <w:rPr>
          <w:rFonts w:ascii="Arial" w:cs="Arial" w:eastAsia="Arial" w:hAnsi="Arial"/>
          <w:sz w:val="18"/>
          <w:szCs w:val="18"/>
          <w:color w:val="4D4D4F"/>
        </w:rPr>
        <w:t>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1"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4D4D4F"/>
        </w:rPr>
        <w:t xml:space="preserve">inappropriate language. If we receive substantially similar questions, we will group those questions together and provide a single response to avoid repetition. Additional information regarding the submission of questions during the Annual Meeting can be found in our 2020 Rules of Conduct and Procedure, available at </w:t>
      </w:r>
      <w:r>
        <w:rPr>
          <w:rFonts w:ascii="Arial" w:cs="Arial" w:eastAsia="Arial" w:hAnsi="Arial"/>
          <w:sz w:val="18"/>
          <w:szCs w:val="18"/>
          <w:i w:val="1"/>
          <w:iCs w:val="1"/>
          <w:color w:val="4D4D4F"/>
        </w:rPr>
        <w:t>virtualshareholdermeeting.com/ACMR2020.</w:t>
      </w:r>
    </w:p>
    <w:p>
      <w:pPr>
        <w:spacing w:after="0" w:line="38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b w:val="1"/>
          <w:bCs w:val="1"/>
          <w:color w:val="0079C0"/>
        </w:rPr>
      </w:pPr>
      <w:r>
        <w:rPr>
          <w:rFonts w:ascii="Arial" w:cs="Arial" w:eastAsia="Arial" w:hAnsi="Arial"/>
          <w:sz w:val="20"/>
          <w:szCs w:val="20"/>
          <w:b w:val="1"/>
          <w:bCs w:val="1"/>
          <w:color w:val="0079C0"/>
        </w:rPr>
        <w:t>Why is the Annual Meeting being conducted as a virtual meeting?</w:t>
      </w:r>
    </w:p>
    <w:p>
      <w:pPr>
        <w:spacing w:after="0" w:line="171" w:lineRule="exact"/>
        <w:rPr>
          <w:sz w:val="20"/>
          <w:szCs w:val="20"/>
          <w:color w:val="auto"/>
        </w:rPr>
      </w:pPr>
    </w:p>
    <w:p>
      <w:pPr>
        <w:jc w:val="both"/>
        <w:ind w:left="340" w:hanging="332"/>
        <w:spacing w:after="0" w:line="252" w:lineRule="auto"/>
        <w:tabs>
          <w:tab w:leader="none" w:pos="340" w:val="left"/>
        </w:tabs>
        <w:numPr>
          <w:ilvl w:val="0"/>
          <w:numId w:val="34"/>
        </w:numPr>
        <w:rPr>
          <w:rFonts w:ascii="Arial" w:cs="Arial" w:eastAsia="Arial" w:hAnsi="Arial"/>
          <w:sz w:val="18"/>
          <w:szCs w:val="18"/>
          <w:b w:val="1"/>
          <w:bCs w:val="1"/>
          <w:color w:val="4D4D4F"/>
        </w:rPr>
      </w:pPr>
      <w:r>
        <w:rPr>
          <w:rFonts w:ascii="Arial" w:cs="Arial" w:eastAsia="Arial" w:hAnsi="Arial"/>
          <w:sz w:val="18"/>
          <w:szCs w:val="18"/>
          <w:color w:val="4D4D4F"/>
        </w:rPr>
        <w:t>The board considers the appropriate format of our annual meeting of stockholders on an annual basis. This year the board again chose a virtual meeting format for the Annual Meeting in an eﬀort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w:t>
      </w:r>
    </w:p>
    <w:p>
      <w:pPr>
        <w:spacing w:after="0" w:line="268"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We will be able to engage with all stockholders as opposed to just those who can afford to travel to an in-person meeting. The virtual format allows stockholders to submit questions and comments during the meeting. We are utilizing technology from Broadridge Financial Solutions, Inc., or Broadridge, the leading virtual meeting solution. The Broadridge platform is expected to accommodate most, if not all, stockholders. Both we and Broadridge will test the platform technology before going “live” for the Annual Meeting.</w:t>
      </w:r>
    </w:p>
    <w:p>
      <w:pPr>
        <w:spacing w:after="0" w:line="42" w:lineRule="exact"/>
        <w:rPr>
          <w:sz w:val="20"/>
          <w:szCs w:val="20"/>
          <w:color w:val="auto"/>
        </w:rPr>
      </w:pPr>
    </w:p>
    <w:p>
      <w:pPr>
        <w:ind w:left="340" w:hanging="332"/>
        <w:spacing w:after="0" w:line="282" w:lineRule="auto"/>
        <w:tabs>
          <w:tab w:leader="none" w:pos="340" w:val="left"/>
        </w:tabs>
        <w:numPr>
          <w:ilvl w:val="0"/>
          <w:numId w:val="35"/>
        </w:numPr>
        <w:rPr>
          <w:rFonts w:ascii="Arial" w:cs="Arial" w:eastAsia="Arial" w:hAnsi="Arial"/>
          <w:sz w:val="20"/>
          <w:szCs w:val="20"/>
          <w:b w:val="1"/>
          <w:bCs w:val="1"/>
          <w:color w:val="0079C0"/>
        </w:rPr>
      </w:pPr>
      <w:r>
        <w:rPr>
          <w:rFonts w:ascii="Arial" w:cs="Arial" w:eastAsia="Arial" w:hAnsi="Arial"/>
          <w:sz w:val="20"/>
          <w:szCs w:val="20"/>
          <w:b w:val="1"/>
          <w:bCs w:val="1"/>
          <w:color w:val="0079C0"/>
        </w:rPr>
        <w:t>If I am unable to participate in the live audio webcast of the Annual Meeting, may I listen at a later date?</w:t>
      </w:r>
    </w:p>
    <w:p>
      <w:pPr>
        <w:spacing w:after="0" w:line="360" w:lineRule="exact"/>
        <w:rPr>
          <w:sz w:val="20"/>
          <w:szCs w:val="20"/>
          <w:color w:val="auto"/>
        </w:rPr>
      </w:pPr>
    </w:p>
    <w:p>
      <w:pPr>
        <w:jc w:val="both"/>
        <w:ind w:left="340" w:hanging="332"/>
        <w:spacing w:after="0" w:line="267" w:lineRule="auto"/>
        <w:tabs>
          <w:tab w:leader="none" w:pos="340" w:val="left"/>
        </w:tabs>
        <w:numPr>
          <w:ilvl w:val="0"/>
          <w:numId w:val="36"/>
        </w:numPr>
        <w:rPr>
          <w:rFonts w:ascii="Arial" w:cs="Arial" w:eastAsia="Arial" w:hAnsi="Arial"/>
          <w:sz w:val="18"/>
          <w:szCs w:val="18"/>
          <w:b w:val="1"/>
          <w:bCs w:val="1"/>
          <w:color w:val="4D4D4F"/>
        </w:rPr>
      </w:pPr>
      <w:r>
        <w:rPr>
          <w:rFonts w:ascii="Arial" w:cs="Arial" w:eastAsia="Arial" w:hAnsi="Arial"/>
          <w:sz w:val="18"/>
          <w:szCs w:val="18"/>
          <w:color w:val="4D4D4F"/>
        </w:rPr>
        <w:t>An audio replay of the Annual Meeting will be posted and publicly available at http://ir.acmrcsh.com/presentations following the Annual Meeting and will remain publicly available until our next annual meeting of stockholders in 2021. This audio replay will cover the entire Annual Meeting, including each stockholder question addressed during the Annual Meeting.</w:t>
      </w:r>
    </w:p>
    <w:p>
      <w:pPr>
        <w:spacing w:after="0" w:line="29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0"/>
          <w:szCs w:val="20"/>
          <w:b w:val="1"/>
          <w:bCs w:val="1"/>
          <w:color w:val="0079C0"/>
        </w:rPr>
      </w:pPr>
      <w:r>
        <w:rPr>
          <w:rFonts w:ascii="Arial" w:cs="Arial" w:eastAsia="Arial" w:hAnsi="Arial"/>
          <w:sz w:val="20"/>
          <w:szCs w:val="20"/>
          <w:b w:val="1"/>
          <w:bCs w:val="1"/>
          <w:color w:val="0079C0"/>
        </w:rPr>
        <w:t>May I change my vote or revoke my proxy?</w:t>
      </w:r>
    </w:p>
    <w:p>
      <w:pPr>
        <w:spacing w:after="0" w:line="171" w:lineRule="exact"/>
        <w:rPr>
          <w:sz w:val="20"/>
          <w:szCs w:val="20"/>
          <w:color w:val="auto"/>
        </w:rPr>
      </w:pPr>
    </w:p>
    <w:p>
      <w:pPr>
        <w:ind w:left="340" w:hanging="332"/>
        <w:spacing w:after="0" w:line="281" w:lineRule="auto"/>
        <w:tabs>
          <w:tab w:leader="none" w:pos="340" w:val="left"/>
        </w:tabs>
        <w:numPr>
          <w:ilvl w:val="0"/>
          <w:numId w:val="38"/>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previously delivered a proxy, you may subsequently change or revoke your proxy at any time before it is exercised by:</w:t>
      </w:r>
    </w:p>
    <w:p>
      <w:pPr>
        <w:ind w:left="660" w:hanging="328"/>
        <w:spacing w:after="0"/>
        <w:tabs>
          <w:tab w:leader="none" w:pos="660" w:val="left"/>
        </w:tabs>
        <w:numPr>
          <w:ilvl w:val="1"/>
          <w:numId w:val="38"/>
        </w:numPr>
        <w:rPr>
          <w:rFonts w:ascii="Arial" w:cs="Arial" w:eastAsia="Arial" w:hAnsi="Arial"/>
          <w:sz w:val="18"/>
          <w:szCs w:val="18"/>
          <w:color w:val="4D4D4F"/>
        </w:rPr>
      </w:pPr>
      <w:r>
        <w:rPr>
          <w:rFonts w:ascii="Arial" w:cs="Arial" w:eastAsia="Arial" w:hAnsi="Arial"/>
          <w:sz w:val="18"/>
          <w:szCs w:val="18"/>
          <w:color w:val="4D4D4F"/>
        </w:rPr>
        <w:t>voting via the Internet or telephone at a later time;</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38"/>
        </w:numPr>
        <w:rPr>
          <w:rFonts w:ascii="Arial" w:cs="Arial" w:eastAsia="Arial" w:hAnsi="Arial"/>
          <w:sz w:val="18"/>
          <w:szCs w:val="18"/>
          <w:color w:val="4D4D4F"/>
        </w:rPr>
      </w:pPr>
      <w:r>
        <w:rPr>
          <w:rFonts w:ascii="Arial" w:cs="Arial" w:eastAsia="Arial" w:hAnsi="Arial"/>
          <w:sz w:val="18"/>
          <w:szCs w:val="18"/>
          <w:color w:val="4D4D4F"/>
        </w:rPr>
        <w:t>submitting a completed and signed proxy card with a later date; or</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38"/>
        </w:numPr>
        <w:rPr>
          <w:rFonts w:ascii="Arial" w:cs="Arial" w:eastAsia="Arial" w:hAnsi="Arial"/>
          <w:sz w:val="18"/>
          <w:szCs w:val="18"/>
          <w:color w:val="4D4D4F"/>
        </w:rPr>
      </w:pPr>
      <w:r>
        <w:rPr>
          <w:rFonts w:ascii="Arial" w:cs="Arial" w:eastAsia="Arial" w:hAnsi="Arial"/>
          <w:sz w:val="18"/>
          <w:szCs w:val="18"/>
          <w:color w:val="4D4D4F"/>
        </w:rPr>
        <w:t>voting via the Internet at the Annual Meeting.</w:t>
      </w:r>
    </w:p>
    <w:p>
      <w:pPr>
        <w:spacing w:after="0" w:line="69" w:lineRule="exact"/>
        <w:rPr>
          <w:sz w:val="20"/>
          <w:szCs w:val="20"/>
          <w:color w:val="auto"/>
        </w:rPr>
      </w:pPr>
    </w:p>
    <w:p>
      <w:pPr>
        <w:ind w:left="340"/>
        <w:spacing w:after="0" w:line="243" w:lineRule="auto"/>
        <w:rPr>
          <w:sz w:val="20"/>
          <w:szCs w:val="20"/>
          <w:color w:val="auto"/>
        </w:rPr>
      </w:pPr>
      <w:r>
        <w:rPr>
          <w:rFonts w:ascii="Arial" w:cs="Arial" w:eastAsia="Arial" w:hAnsi="Arial"/>
          <w:sz w:val="18"/>
          <w:szCs w:val="18"/>
          <w:color w:val="4D4D4F"/>
        </w:rPr>
        <w:t>If you are a beneficial owner of shares held in street name, you should contact your bank, broker or other nominee for instructions as to whether, and how, you can change or revoke your proxy.</w:t>
      </w:r>
    </w:p>
    <w:p>
      <w:pPr>
        <w:ind w:left="340" w:hanging="332"/>
        <w:spacing w:after="0"/>
        <w:tabs>
          <w:tab w:leader="none" w:pos="340" w:val="left"/>
        </w:tabs>
        <w:numPr>
          <w:ilvl w:val="0"/>
          <w:numId w:val="39"/>
        </w:numPr>
        <w:rPr>
          <w:rFonts w:ascii="Arial" w:cs="Arial" w:eastAsia="Arial" w:hAnsi="Arial"/>
          <w:sz w:val="20"/>
          <w:szCs w:val="20"/>
          <w:b w:val="1"/>
          <w:bCs w:val="1"/>
          <w:color w:val="0079C0"/>
        </w:rPr>
      </w:pPr>
      <w:r>
        <w:rPr>
          <w:rFonts w:ascii="Arial" w:cs="Arial" w:eastAsia="Arial" w:hAnsi="Arial"/>
          <w:sz w:val="20"/>
          <w:szCs w:val="20"/>
          <w:b w:val="1"/>
          <w:bCs w:val="1"/>
          <w:color w:val="0079C0"/>
        </w:rPr>
        <w:t>What happens if I do not give specific voting instructions?</w:t>
      </w:r>
    </w:p>
    <w:p>
      <w:pPr>
        <w:spacing w:after="0" w:line="169" w:lineRule="exact"/>
        <w:rPr>
          <w:sz w:val="20"/>
          <w:szCs w:val="20"/>
          <w:color w:val="auto"/>
        </w:rPr>
      </w:pPr>
    </w:p>
    <w:p>
      <w:pPr>
        <w:jc w:val="both"/>
        <w:ind w:left="340" w:hanging="332"/>
        <w:spacing w:after="0" w:line="267" w:lineRule="auto"/>
        <w:tabs>
          <w:tab w:leader="none" w:pos="340" w:val="left"/>
        </w:tabs>
        <w:numPr>
          <w:ilvl w:val="0"/>
          <w:numId w:val="40"/>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you return a proxy card without giving specific voting instructions, the proxy holders will vote your shares in the manner recommended by the board on both proposals presented in this Proxy Statement and as the proxy holders may determine in its discretion on any other matters properly presented for a vote at the Annual Meeting.</w:t>
      </w:r>
    </w:p>
    <w:p>
      <w:pPr>
        <w:spacing w:after="0" w:line="259" w:lineRule="exact"/>
        <w:rPr>
          <w:rFonts w:ascii="Arial" w:cs="Arial" w:eastAsia="Arial" w:hAnsi="Arial"/>
          <w:sz w:val="18"/>
          <w:szCs w:val="18"/>
          <w:b w:val="1"/>
          <w:bCs w:val="1"/>
          <w:color w:val="4D4D4F"/>
        </w:rPr>
      </w:pPr>
    </w:p>
    <w:p>
      <w:pPr>
        <w:jc w:val="both"/>
        <w:ind w:left="340"/>
        <w:spacing w:after="0" w:line="237" w:lineRule="auto"/>
        <w:rPr>
          <w:rFonts w:ascii="Arial" w:cs="Arial" w:eastAsia="Arial" w:hAnsi="Arial"/>
          <w:sz w:val="18"/>
          <w:szCs w:val="18"/>
          <w:b w:val="1"/>
          <w:bCs w:val="1"/>
          <w:color w:val="4D4D4F"/>
        </w:rPr>
      </w:pPr>
      <w:r>
        <w:rPr>
          <w:rFonts w:ascii="Arial" w:cs="Arial" w:eastAsia="Arial" w:hAnsi="Arial"/>
          <w:sz w:val="18"/>
          <w:szCs w:val="18"/>
          <w:color w:val="4D4D4F"/>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2020 (Proposal 2). If the organization does not receive instructions from you on how to vote your shares on Proposal 1, your shares will be subject to a broker non-vote and no vote will be cast on those matters. See “</w:t>
      </w:r>
      <w:r>
        <w:rPr>
          <w:rFonts w:ascii="Arial" w:cs="Arial" w:eastAsia="Arial" w:hAnsi="Arial"/>
          <w:sz w:val="18"/>
          <w:szCs w:val="18"/>
          <w:i w:val="1"/>
          <w:iCs w:val="1"/>
          <w:color w:val="0079C0"/>
        </w:rPr>
        <w:t>Q. What does it mean for a broker or other nominee</w:t>
      </w:r>
      <w:r>
        <w:rPr>
          <w:rFonts w:ascii="Arial" w:cs="Arial" w:eastAsia="Arial" w:hAnsi="Arial"/>
          <w:sz w:val="18"/>
          <w:szCs w:val="18"/>
          <w:color w:val="4D4D4F"/>
        </w:rPr>
        <w:t xml:space="preserve"> </w:t>
      </w:r>
      <w:r>
        <w:rPr>
          <w:rFonts w:ascii="Arial" w:cs="Arial" w:eastAsia="Arial" w:hAnsi="Arial"/>
          <w:sz w:val="18"/>
          <w:szCs w:val="18"/>
          <w:i w:val="1"/>
          <w:iCs w:val="1"/>
          <w:color w:val="0079C0"/>
        </w:rPr>
        <w:t>to hold shares in ‘street name’?</w:t>
      </w:r>
      <w:r>
        <w:rPr>
          <w:rFonts w:ascii="Arial" w:cs="Arial" w:eastAsia="Arial" w:hAnsi="Arial"/>
          <w:sz w:val="18"/>
          <w:szCs w:val="18"/>
          <w:color w:val="4D4D4F"/>
        </w:rPr>
        <w:t>” above.”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5" w:lineRule="exact"/>
        <w:rPr>
          <w:sz w:val="20"/>
          <w:szCs w:val="20"/>
          <w:color w:val="auto"/>
        </w:rPr>
      </w:pPr>
    </w:p>
    <w:p>
      <w:pPr>
        <w:ind w:left="340" w:hanging="332"/>
        <w:spacing w:after="0" w:line="324" w:lineRule="auto"/>
        <w:tabs>
          <w:tab w:leader="none" w:pos="340" w:val="left"/>
        </w:tabs>
        <w:numPr>
          <w:ilvl w:val="0"/>
          <w:numId w:val="41"/>
        </w:numPr>
        <w:rPr>
          <w:rFonts w:ascii="Arial" w:cs="Arial" w:eastAsia="Arial" w:hAnsi="Arial"/>
          <w:sz w:val="20"/>
          <w:szCs w:val="20"/>
          <w:b w:val="1"/>
          <w:bCs w:val="1"/>
          <w:color w:val="0079C0"/>
        </w:rPr>
      </w:pPr>
      <w:r>
        <w:rPr>
          <w:rFonts w:ascii="Arial" w:cs="Arial" w:eastAsia="Arial" w:hAnsi="Arial"/>
          <w:sz w:val="20"/>
          <w:szCs w:val="20"/>
          <w:b w:val="1"/>
          <w:bCs w:val="1"/>
          <w:color w:val="0079C0"/>
        </w:rPr>
        <w:t>What should I do if, during check-in or the meeting, I have technical diﬃculties or trouble accessing the virtual meeting website?</w:t>
      </w:r>
    </w:p>
    <w:p>
      <w:pPr>
        <w:spacing w:after="0" w:line="9" w:lineRule="exact"/>
        <w:rPr>
          <w:sz w:val="20"/>
          <w:szCs w:val="20"/>
          <w:color w:val="auto"/>
        </w:rPr>
      </w:pPr>
    </w:p>
    <w:p>
      <w:pPr>
        <w:jc w:val="both"/>
        <w:ind w:left="340" w:hanging="332"/>
        <w:spacing w:after="0" w:line="256" w:lineRule="auto"/>
        <w:tabs>
          <w:tab w:leader="none" w:pos="340" w:val="left"/>
        </w:tabs>
        <w:numPr>
          <w:ilvl w:val="0"/>
          <w:numId w:val="42"/>
        </w:numPr>
        <w:rPr>
          <w:rFonts w:ascii="Arial" w:cs="Arial" w:eastAsia="Arial" w:hAnsi="Arial"/>
          <w:sz w:val="18"/>
          <w:szCs w:val="18"/>
          <w:b w:val="1"/>
          <w:bCs w:val="1"/>
          <w:color w:val="4D4D4F"/>
        </w:rPr>
      </w:pPr>
      <w:r>
        <w:rPr>
          <w:rFonts w:ascii="Arial" w:cs="Arial" w:eastAsia="Arial" w:hAnsi="Arial"/>
          <w:sz w:val="18"/>
          <w:szCs w:val="18"/>
          <w:color w:val="4D4D4F"/>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diﬃculties you may have accessing the Annual Meeting. If you encounter any diﬃculties accessing the Annual Meeting during the check-in or at meeting time, you should call the technical support number available at </w:t>
      </w:r>
      <w:r>
        <w:rPr>
          <w:rFonts w:ascii="Arial" w:cs="Arial" w:eastAsia="Arial" w:hAnsi="Arial"/>
          <w:sz w:val="18"/>
          <w:szCs w:val="18"/>
          <w:i w:val="1"/>
          <w:iCs w:val="1"/>
          <w:color w:val="4D4D4F"/>
        </w:rPr>
        <w:t>virtualshareholdermeeting.com/ACMR2020</w:t>
      </w:r>
      <w:r>
        <w:rPr>
          <w:rFonts w:ascii="Arial" w:cs="Arial" w:eastAsia="Arial" w:hAnsi="Arial"/>
          <w:sz w:val="18"/>
          <w:szCs w:val="18"/>
          <w:color w:val="4D4D4F"/>
        </w:rPr>
        <w:t>.</w:t>
      </w:r>
    </w:p>
    <w:p>
      <w:pPr>
        <w:spacing w:after="0" w:line="1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0"/>
          <w:szCs w:val="20"/>
          <w:b w:val="1"/>
          <w:bCs w:val="1"/>
          <w:color w:val="0079C0"/>
        </w:rPr>
      </w:pPr>
      <w:r>
        <w:rPr>
          <w:rFonts w:ascii="Arial" w:cs="Arial" w:eastAsia="Arial" w:hAnsi="Arial"/>
          <w:sz w:val="20"/>
          <w:szCs w:val="20"/>
          <w:b w:val="1"/>
          <w:bCs w:val="1"/>
          <w:color w:val="0079C0"/>
        </w:rPr>
        <w:t>What if other matters are presented at the Annual Meeting?</w:t>
      </w:r>
    </w:p>
    <w:p>
      <w:pPr>
        <w:spacing w:after="0" w:line="217" w:lineRule="exact"/>
        <w:rPr>
          <w:sz w:val="20"/>
          <w:szCs w:val="20"/>
          <w:color w:val="auto"/>
        </w:rPr>
      </w:pPr>
    </w:p>
    <w:p>
      <w:pPr>
        <w:jc w:val="both"/>
        <w:ind w:left="340" w:hanging="332"/>
        <w:spacing w:after="0"/>
        <w:tabs>
          <w:tab w:leader="none" w:pos="340" w:val="left"/>
        </w:tabs>
        <w:numPr>
          <w:ilvl w:val="0"/>
          <w:numId w:val="44"/>
        </w:numPr>
        <w:rPr>
          <w:rFonts w:ascii="Arial" w:cs="Arial" w:eastAsia="Arial" w:hAnsi="Arial"/>
          <w:sz w:val="18"/>
          <w:szCs w:val="18"/>
          <w:b w:val="1"/>
          <w:bCs w:val="1"/>
          <w:color w:val="4D4D4F"/>
        </w:rPr>
      </w:pPr>
      <w:r>
        <w:rPr>
          <w:rFonts w:ascii="Arial" w:cs="Arial" w:eastAsia="Arial" w:hAnsi="Arial"/>
          <w:sz w:val="18"/>
          <w:szCs w:val="18"/>
          <w:color w:val="4D4D4F"/>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do not know of any other matters to be presented for consideration at the Annual Meeting.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Vote Required for Election or Approval</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Introduction</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ACM’s only voting securities are the outstanding shares of Class A and Class B common stock, which we refer to collectively as common stock. As of the record date, which is 5 p.m., Eastern time, on April 8, 2020, there were outstanding 16,317,346 shares of Class A common stock, each of which will be entitled to one vote on each proposal, and 1,862,608 shares of Class B common stock, each of which will be entitled to twenty votes on each proposal. Based on the number of votes for each share of Class A and Class B common stock, up to a total of 53,569,506 votes can be cast on each proposal.</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4D4D4F"/>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316865</wp:posOffset>
            </wp:positionV>
            <wp:extent cx="274320"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320" cy="2825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Election of Directors</w:t>
      </w:r>
    </w:p>
    <w:p>
      <w:pPr>
        <w:spacing w:after="0" w:line="200" w:lineRule="exact"/>
        <w:rPr>
          <w:sz w:val="20"/>
          <w:szCs w:val="20"/>
          <w:color w:val="auto"/>
        </w:rPr>
      </w:pPr>
    </w:p>
    <w:p>
      <w:pPr>
        <w:spacing w:after="0" w:line="2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Each director will be elected by a majority of the votes cast with respect to that director, with the number of votes “for” a director exceeding the number of votes “against” the director. Votes to “abstain” will not be counted for the purpose of determining whether a director is elected. Similarly, broker non-votes will not have any effect on the outcome of the election of directors, since broker non-votes are not counted as “votes cast.”</w:t>
      </w:r>
    </w:p>
    <w:p>
      <w:pPr>
        <w:spacing w:after="0" w:line="11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4D4D4F"/>
        </w:rPr>
        <w:t>Under our Certificate of Incorporation, our Bylaws and the Delaware General Corporation Law, a director holds oﬃce until a successor is elected and qualified or until his or her earlier resignation or removal. Each of the nominees currently serves as one of our directors. If any of the nominees is not elected at the Annual Meeting, then the Bylaws provide that the director shall oﬀer to resign from the board of directors. Pursuant to a Director Resignation Policy approved by the board in October 2017, the nominating and governance committee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oﬀers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318770</wp:posOffset>
            </wp:positionV>
            <wp:extent cx="26543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430" cy="2832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Ratification of Appointment of Independent Auditor for 2020</w:t>
      </w:r>
    </w:p>
    <w:p>
      <w:pPr>
        <w:spacing w:after="0" w:line="3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4D4D4F"/>
        </w:rPr>
        <w:t>The ratification of BDO China Shu Lun Pan Certified Public Accountants LLP as our independent auditor for the year ending December 31, 2020 must be approved by aﬃrmative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Corporate Governance</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of Directors Overview</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Under our Bylaws and the Delaware General Corporation Law, our business and affairs are managed by or under the direction of the board of directors, which selectively delegates responsibilities to its standing committees.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4D4D4F"/>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 w:cs="Arial" w:eastAsia="Arial" w:hAnsi="Arial"/>
          <w:sz w:val="18"/>
          <w:szCs w:val="18"/>
          <w:i w:val="1"/>
          <w:iCs w:val="1"/>
          <w:color w:val="4D4D4F"/>
        </w:rPr>
        <w:t>http://ir.acmrcsh.com/static-files/3446be5b-f608-4932-86c9-d9eff14ca2ac</w:t>
      </w:r>
      <w:r>
        <w:rPr>
          <w:rFonts w:ascii="Arial" w:cs="Arial" w:eastAsia="Arial" w:hAnsi="Arial"/>
          <w:sz w:val="18"/>
          <w:szCs w:val="18"/>
          <w:color w:val="4D4D4F"/>
        </w:rPr>
        <w:t>. Under the Governance Guidelines, we expect directors to regularly attend meetings of the board and of all committees on which they serve and to review the materials sent to them in advance of those meetings. We expect nominees for election at each annual meeting of stockholders to participate in the Annual Meeting.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six meetings in 2019. One director, Zhengfan Yang, attended less than 75% of the total number of board meetings during the director’s term.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4D4D4F"/>
        </w:rPr>
        <w:t>The Governance Guidelines provide that the board will meet in executive session at least twice a year without management in attendance.</w:t>
      </w:r>
    </w:p>
    <w:p>
      <w:pPr>
        <w:spacing w:after="0"/>
        <w:rPr>
          <w:sz w:val="20"/>
          <w:szCs w:val="20"/>
          <w:color w:val="auto"/>
        </w:rPr>
      </w:pPr>
      <w:r>
        <w:rPr>
          <w:rFonts w:ascii="Arial" w:cs="Arial" w:eastAsia="Arial" w:hAnsi="Arial"/>
          <w:sz w:val="18"/>
          <w:szCs w:val="18"/>
          <w:color w:val="4D4D4F"/>
        </w:rPr>
        <w:t>The Lead Director presides at each executive session.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41" w:lineRule="exact"/>
        <w:rPr>
          <w:sz w:val="20"/>
          <w:szCs w:val="20"/>
          <w:color w:val="auto"/>
        </w:rPr>
      </w:pPr>
    </w:p>
    <w:p>
      <w:pPr>
        <w:ind w:left="340" w:right="4820" w:hanging="332"/>
        <w:spacing w:after="0" w:line="234" w:lineRule="auto"/>
        <w:tabs>
          <w:tab w:leader="none" w:pos="340" w:val="left"/>
        </w:tabs>
        <w:numPr>
          <w:ilvl w:val="0"/>
          <w:numId w:val="45"/>
        </w:numPr>
        <w:rPr>
          <w:rFonts w:ascii="Arial" w:cs="Arial" w:eastAsia="Arial" w:hAnsi="Arial"/>
          <w:sz w:val="18"/>
          <w:szCs w:val="18"/>
          <w:color w:val="4D4D4F"/>
        </w:rPr>
      </w:pPr>
      <w:r>
        <w:rPr>
          <w:rFonts w:ascii="Arial" w:cs="Arial" w:eastAsia="Arial" w:hAnsi="Arial"/>
          <w:sz w:val="18"/>
          <w:szCs w:val="18"/>
          <w:color w:val="4D4D4F"/>
        </w:rPr>
        <w:t xml:space="preserve">the audit committee charter at: </w:t>
      </w:r>
      <w:r>
        <w:rPr>
          <w:rFonts w:ascii="Arial" w:cs="Arial" w:eastAsia="Arial" w:hAnsi="Arial"/>
          <w:sz w:val="18"/>
          <w:szCs w:val="18"/>
          <w:i w:val="1"/>
          <w:iCs w:val="1"/>
          <w:color w:val="4D4D4F"/>
        </w:rPr>
        <w:t>media.corporate-ir.net/media_files/IROL/25/254659/acm-ac-charter-final.pdf</w:t>
      </w:r>
      <w:r>
        <w:rPr>
          <w:rFonts w:ascii="Arial" w:cs="Arial" w:eastAsia="Arial" w:hAnsi="Arial"/>
          <w:sz w:val="18"/>
          <w:szCs w:val="18"/>
          <w:color w:val="4D4D4F"/>
        </w:rPr>
        <w:t>;</w:t>
      </w:r>
    </w:p>
    <w:p>
      <w:pPr>
        <w:spacing w:after="0" w:line="1" w:lineRule="exact"/>
        <w:rPr>
          <w:rFonts w:ascii="Arial" w:cs="Arial" w:eastAsia="Arial" w:hAnsi="Arial"/>
          <w:sz w:val="18"/>
          <w:szCs w:val="18"/>
          <w:color w:val="4D4D4F"/>
        </w:rPr>
      </w:pPr>
    </w:p>
    <w:p>
      <w:pPr>
        <w:ind w:left="340" w:right="4480" w:hanging="332"/>
        <w:spacing w:after="0" w:line="234" w:lineRule="auto"/>
        <w:tabs>
          <w:tab w:leader="none" w:pos="340" w:val="left"/>
        </w:tabs>
        <w:numPr>
          <w:ilvl w:val="0"/>
          <w:numId w:val="45"/>
        </w:numPr>
        <w:rPr>
          <w:rFonts w:ascii="Arial" w:cs="Arial" w:eastAsia="Arial" w:hAnsi="Arial"/>
          <w:sz w:val="18"/>
          <w:szCs w:val="18"/>
          <w:color w:val="4D4D4F"/>
        </w:rPr>
      </w:pPr>
      <w:r>
        <w:rPr>
          <w:rFonts w:ascii="Arial" w:cs="Arial" w:eastAsia="Arial" w:hAnsi="Arial"/>
          <w:sz w:val="18"/>
          <w:szCs w:val="18"/>
          <w:color w:val="4D4D4F"/>
        </w:rPr>
        <w:t xml:space="preserve">the compensation committee charter at: </w:t>
      </w:r>
      <w:r>
        <w:rPr>
          <w:rFonts w:ascii="Arial" w:cs="Arial" w:eastAsia="Arial" w:hAnsi="Arial"/>
          <w:sz w:val="18"/>
          <w:szCs w:val="18"/>
          <w:i w:val="1"/>
          <w:iCs w:val="1"/>
          <w:color w:val="4D4D4F"/>
        </w:rPr>
        <w:t>media.corporate-ir.net/media_files/IROL/25/254659/acm-cc-charter-final.pdf</w:t>
      </w:r>
      <w:r>
        <w:rPr>
          <w:rFonts w:ascii="Arial" w:cs="Arial" w:eastAsia="Arial" w:hAnsi="Arial"/>
          <w:sz w:val="18"/>
          <w:szCs w:val="18"/>
          <w:color w:val="4D4D4F"/>
        </w:rPr>
        <w:t>; and</w:t>
      </w:r>
    </w:p>
    <w:p>
      <w:pPr>
        <w:spacing w:after="0" w:line="1" w:lineRule="exact"/>
        <w:rPr>
          <w:rFonts w:ascii="Arial" w:cs="Arial" w:eastAsia="Arial" w:hAnsi="Arial"/>
          <w:sz w:val="18"/>
          <w:szCs w:val="18"/>
          <w:color w:val="4D4D4F"/>
        </w:rPr>
      </w:pPr>
    </w:p>
    <w:p>
      <w:pPr>
        <w:ind w:left="340" w:right="5380" w:hanging="332"/>
        <w:spacing w:after="0" w:line="274" w:lineRule="auto"/>
        <w:tabs>
          <w:tab w:leader="none" w:pos="340" w:val="left"/>
        </w:tabs>
        <w:numPr>
          <w:ilvl w:val="0"/>
          <w:numId w:val="45"/>
        </w:numPr>
        <w:rPr>
          <w:rFonts w:ascii="Arial" w:cs="Arial" w:eastAsia="Arial" w:hAnsi="Arial"/>
          <w:sz w:val="17"/>
          <w:szCs w:val="17"/>
          <w:color w:val="4D4D4F"/>
        </w:rPr>
      </w:pPr>
      <w:r>
        <w:rPr>
          <w:rFonts w:ascii="Arial" w:cs="Arial" w:eastAsia="Arial" w:hAnsi="Arial"/>
          <w:sz w:val="17"/>
          <w:szCs w:val="17"/>
          <w:color w:val="4D4D4F"/>
        </w:rPr>
        <w:t>the nominating and governance committee charter at: ir.acmrcsh.com/static-files/03f9c6d2-908e-4c59-b7da-8e227707e5a7.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4D4D4F"/>
        </w:rPr>
        <w:t>The committees have the functions and responsibilities described in the sections below.</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1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board has adopted Communications Policies pursuant to which our Chief Executive Oﬃcer, our Chief Financial Oﬃcer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 We believe these precautions are particularly appropriate given our status as a newly public and our executives and directors relatively limited experience in speaking to the public on our behalf.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Independence of Directors</w:t>
      </w:r>
    </w:p>
    <w:p>
      <w:pPr>
        <w:spacing w:after="0" w:line="2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of directors must consist of a majority of independent directors not only under the requirements of Nasdaq but also under the Governance Guidelines.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 w:cs="Arial" w:eastAsia="Arial" w:hAnsi="Arial"/>
          <w:sz w:val="18"/>
          <w:szCs w:val="18"/>
          <w:i w:val="1"/>
          <w:iCs w:val="1"/>
          <w:color w:val="4D4D4F"/>
        </w:rPr>
        <w:t>http://ir.acmrcsh.com/static-files/4211086b-a968-414e-888d-007c1906489d</w:t>
      </w:r>
      <w:r>
        <w:rPr>
          <w:rFonts w:ascii="Arial" w:cs="Arial" w:eastAsia="Arial" w:hAnsi="Arial"/>
          <w:sz w:val="18"/>
          <w:szCs w:val="18"/>
          <w:color w:val="4D4D4F"/>
        </w:rPr>
        <w:t>. These categorical standards require that, to be independent, a director may not have a material relationship with</w:t>
      </w:r>
      <w:r>
        <w:rPr>
          <w:rFonts w:ascii="Arial" w:cs="Arial" w:eastAsia="Arial" w:hAnsi="Arial"/>
          <w:sz w:val="18"/>
          <w:szCs w:val="18"/>
          <w:i w:val="1"/>
          <w:iCs w:val="1"/>
          <w:color w:val="4D4D4F"/>
        </w:rPr>
        <w:t xml:space="preserve"> </w:t>
      </w:r>
      <w:r>
        <w:rPr>
          <w:rFonts w:ascii="Arial" w:cs="Arial" w:eastAsia="Arial" w:hAnsi="Arial"/>
          <w:sz w:val="18"/>
          <w:szCs w:val="18"/>
          <w:color w:val="4D4D4F"/>
        </w:rPr>
        <w:t>ACM. Even if a director meets all categorical standards for independence, the board reviews other relationships with ACM in order to conclude that each independent director has no material relationship with ACM either directly or indirectly.</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upon information requested from and provided by each director concerning the director’s background, employment and affiliations, including family relationships, the board has determined that each of Haiping Dun, Chenming Hu, Tracy Liu, Yinan Xiang and Zhengfan Yang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Nomination Rights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connection with our sale and issuance of capital stock in 2017, we, and certain other stockholders, have entered into a voting agreement with Shanghai S&amp;T Venture Capital (Group) Co. Ltd., or SSTVC, and a nomination and voting agreement with Xinxin (Hongkong) Capital Co., Limited, or Xinxin.</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4D4D4F"/>
        </w:rPr>
        <w:t>Pursuant to our voting agreement with SSTVC, SSTVC has the right to designate one individual for nomination to the board of directors. The rights and obligations of the parties under the voting agreement will be in eﬀect as long as SSTVC continues to beneficially own all of the 1,666,170 shares of Class A common stock that have been issued to SSTVC. Yinan Xiang was initially designated by SSTVC and was appointed as a member of the board eﬀective upon the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4D4D4F"/>
        </w:rPr>
        <w:t>completion of our initial public offering in November 2017. Ms. Xiang is the designee of SSTVC, and has been nominated by the board, for re-election at the Annual Meeting.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Pursuant to our nomination and voting agreement with Xinxin, Xinxin has the right to designate one individual for nomination to the board. In addition, holders who will have 53.8% of the voting power of Class A and Class B common stock, voting together, as of the record date of the Annual Meeting, including David H. Wang, our Chair of the Board, Chief Executive Officer and President, and Haiping Dun, our Lead Director, have agreed to vote their shares of common stock for the election of the nominee designated by Xinxin. The rights and obligations of the parties under the nomination and voting agreement with Xinxin will be in effect as long as Xinxin and its affiliates continue to hold at least 625,000 shares of Class A common stock that have been issued to Xinxin. Zhengfan Yang was initially designated by Xinxin and was appointed as a member of the board in January 2018. Mr. Yang is the designee of Xinxin, and has been nominated by the board, for re-election at the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Code of Business Conduct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We have a Code of Business Conduct applicable to all directors, officers and employees of ACM Research and its subsidiaries. We have posted the Code of Business Conduct on our website at </w:t>
      </w:r>
      <w:r>
        <w:rPr>
          <w:rFonts w:ascii="Arial" w:cs="Arial" w:eastAsia="Arial" w:hAnsi="Arial"/>
          <w:sz w:val="18"/>
          <w:szCs w:val="18"/>
          <w:i w:val="1"/>
          <w:iCs w:val="1"/>
          <w:color w:val="4D4D4F"/>
        </w:rPr>
        <w:t>http://ir.acmrcsh.com/static-files/fdff1cd1-dfea-4a25-a8a6-ae2394fa5d53</w:t>
      </w:r>
      <w:r>
        <w:rPr>
          <w:rFonts w:ascii="Arial" w:cs="Arial" w:eastAsia="Arial" w:hAnsi="Arial"/>
          <w:sz w:val="18"/>
          <w:szCs w:val="18"/>
          <w:color w:val="4D4D4F"/>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Oversight of Risk</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4D4D4F"/>
        </w:rPr>
        <w:t>Matters of significant strategic risk are considered by the board as a whole.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Leadership Structure</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audit committee include:</w:t>
      </w:r>
    </w:p>
    <w:p>
      <w:pPr>
        <w:spacing w:after="0" w:line="1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appointing, approving the compensation of, and assessing the independence of our registered public accounting firm;</w:t>
      </w:r>
    </w:p>
    <w:p>
      <w:pPr>
        <w:spacing w:after="0" w:line="69" w:lineRule="exact"/>
        <w:rPr>
          <w:rFonts w:ascii="Arial" w:cs="Arial" w:eastAsia="Arial" w:hAnsi="Arial"/>
          <w:sz w:val="18"/>
          <w:szCs w:val="18"/>
          <w:color w:val="4D4D4F"/>
        </w:rPr>
      </w:pPr>
    </w:p>
    <w:p>
      <w:pPr>
        <w:ind w:left="340" w:right="20" w:hanging="332"/>
        <w:spacing w:after="0" w:line="266" w:lineRule="auto"/>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overseeing the work of our registered public accounting firm, including through the receipt and consideration of reports from such firm;</w:t>
      </w:r>
    </w:p>
    <w:p>
      <w:pPr>
        <w:spacing w:after="0" w:line="229" w:lineRule="exact"/>
        <w:rPr>
          <w:rFonts w:ascii="Arial" w:cs="Arial" w:eastAsia="Arial" w:hAnsi="Arial"/>
          <w:sz w:val="18"/>
          <w:szCs w:val="18"/>
          <w:color w:val="4D4D4F"/>
        </w:rPr>
      </w:pPr>
    </w:p>
    <w:p>
      <w:pPr>
        <w:ind w:left="340" w:hanging="332"/>
        <w:spacing w:after="0" w:line="266" w:lineRule="auto"/>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reviewing and discussing with management and the registered public accounting firm our annual and quarterly financial statements and related disclosures;</w:t>
      </w: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monitoring our internal control over financial reporting and our disclosure controls and procedures;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meeting independently with our registered public accounting firm and management;</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furnishing the audit committee report required by SEC rules;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reviewing and reassessing the adequacy of our conflict of interest policy;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overseeing our risk assessment and risk management policies.</w:t>
      </w:r>
    </w:p>
    <w:p>
      <w:pPr>
        <w:spacing w:after="0" w:line="3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current members of the audit committee are Tracy Liu, who serves as chair, Haiping Dun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audit committee held five meetings in 2019. One member, Yinan Xiang, attended less than 75% of the total number of audit committee meetings held while the member served on the audit committee.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Nominating and Governance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The principal responsibilities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include:</w:t>
      </w:r>
    </w:p>
    <w:p>
      <w:pPr>
        <w:spacing w:after="0" w:line="10"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identifying, evaluating, and making recommendations to the board of directors and our stockholders concerning nominees for election to the board, to each of the board’s committees and as committee chairs;</w:t>
      </w:r>
    </w:p>
    <w:p>
      <w:pPr>
        <w:spacing w:after="0" w:line="1" w:lineRule="exact"/>
        <w:rPr>
          <w:rFonts w:ascii="Arial" w:cs="Arial" w:eastAsia="Arial" w:hAnsi="Arial"/>
          <w:sz w:val="18"/>
          <w:szCs w:val="18"/>
          <w:color w:val="4D4D4F"/>
        </w:rPr>
      </w:pPr>
    </w:p>
    <w:p>
      <w:pPr>
        <w:ind w:left="340" w:hanging="332"/>
        <w:spacing w:after="0" w:line="266" w:lineRule="auto"/>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annually reviewing the performance and eﬀectiveness of the board and developing and overseeing a performance evaluation process;</w:t>
      </w:r>
    </w:p>
    <w:p>
      <w:pPr>
        <w:spacing w:after="0" w:line="229" w:lineRule="exact"/>
        <w:rPr>
          <w:rFonts w:ascii="Arial" w:cs="Arial" w:eastAsia="Arial" w:hAnsi="Arial"/>
          <w:sz w:val="18"/>
          <w:szCs w:val="18"/>
          <w:color w:val="4D4D4F"/>
        </w:rPr>
      </w:pPr>
    </w:p>
    <w:p>
      <w:pPr>
        <w:ind w:left="340" w:hanging="332"/>
        <w:spacing w:after="0" w:line="266" w:lineRule="auto"/>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annually evaluating the performance of management, the board and each board committee against their duties and responsibilities relating to corporate governance;</w:t>
      </w:r>
    </w:p>
    <w:p>
      <w:pPr>
        <w:ind w:left="340" w:hanging="332"/>
        <w:spacing w:after="0"/>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annually evaluating adequacy of our corporate governance structure, policies and procedures;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providing reports to the board regarding the committee’s nominations for election to the board and its committees.</w:t>
      </w:r>
    </w:p>
    <w:p>
      <w:pPr>
        <w:spacing w:after="0" w:line="31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The current members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are Chenming Hu, who serves as chair, Tracy Liu, and Zhengfan Yang. All three members are standing for re-election at the Annual Meeting. The board has determined that each of Dr. Hu, Ms. Liu and Mr. Yang is independent, as defined in the listing standards of Nasdaq.</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2019. No member attended less than 75% of the total number of nominating and governance committee meetings held while the member served on the nominating and governance committee.</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 w:cs="Arial" w:eastAsia="Arial" w:hAnsi="Arial"/>
          <w:sz w:val="18"/>
          <w:szCs w:val="18"/>
          <w:i w:val="1"/>
          <w:iCs w:val="1"/>
          <w:color w:val="4D4D4F"/>
        </w:rPr>
        <w:t>http://ir.acmrcsh.com/static-files/01b22d4f-d523-4d9e-a1ac-56030666adad</w:t>
      </w:r>
      <w:r>
        <w:rPr>
          <w:rFonts w:ascii="Arial" w:cs="Arial" w:eastAsia="Arial" w:hAnsi="Arial"/>
          <w:sz w:val="18"/>
          <w:szCs w:val="18"/>
          <w:color w:val="4D4D4F"/>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compensation committee include:</w:t>
      </w:r>
    </w:p>
    <w:p>
      <w:pPr>
        <w:spacing w:after="0" w:line="10"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evaluating the performance of our Chief Executive Oﬃcer and determining the Chief Executive Oﬃcer’s salary and contingent compensation based on his or her performance and other relevant criteria;</w:t>
      </w:r>
    </w:p>
    <w:p>
      <w:pPr>
        <w:spacing w:after="0" w:line="1"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identifying the corporate and individual objectives governing the Chief Executive Oﬃcer’s compensation;</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approving the compensation of our other executive oﬃcers;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making recommendations to the board with respect to director compensation;</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reviewing and approving the terms of certain material agreements;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overseeing and administering our equity incentive plans and employee benefit plans;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preparing the annual compensation committee report required by SEC rules; and</w:t>
      </w:r>
    </w:p>
    <w:p>
      <w:pPr>
        <w:spacing w:after="0" w:line="49" w:lineRule="exact"/>
        <w:rPr>
          <w:rFonts w:ascii="Arial" w:cs="Arial" w:eastAsia="Arial" w:hAnsi="Arial"/>
          <w:sz w:val="18"/>
          <w:szCs w:val="18"/>
          <w:color w:val="4D4D4F"/>
        </w:rPr>
      </w:pPr>
    </w:p>
    <w:p>
      <w:pPr>
        <w:ind w:left="340" w:right="20" w:hanging="332"/>
        <w:spacing w:after="0" w:line="292" w:lineRule="auto"/>
        <w:tabs>
          <w:tab w:leader="none" w:pos="340" w:val="left"/>
        </w:tabs>
        <w:numPr>
          <w:ilvl w:val="0"/>
          <w:numId w:val="48"/>
        </w:numPr>
        <w:rPr>
          <w:rFonts w:ascii="Arial" w:cs="Arial" w:eastAsia="Arial" w:hAnsi="Arial"/>
          <w:sz w:val="18"/>
          <w:szCs w:val="18"/>
          <w:color w:val="4D4D4F"/>
        </w:rPr>
      </w:pPr>
      <w:r>
        <w:rPr>
          <w:rFonts w:ascii="Arial" w:cs="Arial" w:eastAsia="Arial" w:hAnsi="Arial"/>
          <w:sz w:val="18"/>
          <w:szCs w:val="18"/>
          <w:color w:val="4D4D4F"/>
        </w:rPr>
        <w:t>conducting a review of executive oﬃcer succession planning, as necessary, reporting its findings and recommendations to the board, and working with the board in evaluating potential successors to executive oﬃcer positions.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6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4D4D4F"/>
        </w:rPr>
        <w:t>The compensation committee held three meetings in 2019. Each then-serving member participated in the meeting of the compensation committee. The compensation committee has the sole authority to retain, oversee and terminate any compensation consultant to be used to assist in the evaluation of executive compensation and to approve the consultant’s fees and retention terms.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 Interlocks and Insider Participation</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During 2019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Certain Relationships and Related-Person Transactions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4D4D4F"/>
        </w:rPr>
        <w:t>http://ir.acmrcsh.com/static-files/c9bb9bf0-847b-4f79-b747-bf7e5bb06994</w:t>
      </w:r>
      <w:r>
        <w:rPr>
          <w:rFonts w:ascii="Arial" w:cs="Arial" w:eastAsia="Arial" w:hAnsi="Arial"/>
          <w:sz w:val="18"/>
          <w:szCs w:val="18"/>
          <w:color w:val="4D4D4F"/>
        </w:rPr>
        <w:t>. We will post any amendments to the Conflict of Interest Policy on our website.</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following is a description of transactions since January 1, 2018 to which we have been a party, in which the amount involved exceeded or will exceed $ 120,000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Issuance and Exercise of Warrant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and other employees of our subsidiary ACM Shanghai. Jian Wang, who is a limited partner of SMC, is the Chief Executive Officer and President of ACM Shanghai and the brother of our Chief Executive Officer and President David H. Wan</w:t>
      </w:r>
      <w:r>
        <w:rPr>
          <w:rFonts w:ascii="Arial" w:cs="Arial" w:eastAsia="Arial" w:hAnsi="Arial"/>
          <w:sz w:val="18"/>
          <w:szCs w:val="18"/>
          <w:color w:val="000000"/>
        </w:rPr>
        <w:t>g.</w:t>
      </w:r>
      <w:r>
        <w:rPr>
          <w:rFonts w:ascii="Arial" w:cs="Arial" w:eastAsia="Arial" w:hAnsi="Arial"/>
          <w:sz w:val="18"/>
          <w:szCs w:val="18"/>
          <w:color w:val="4D4D4F"/>
        </w:rPr>
        <w:t xml:space="preserve"> </w:t>
      </w:r>
      <w:r>
        <w:rPr>
          <w:rFonts w:ascii="Arial" w:cs="Arial" w:eastAsia="Arial" w:hAnsi="Arial"/>
          <w:sz w:val="18"/>
          <w:szCs w:val="18"/>
          <w:color w:val="000000"/>
        </w:rPr>
        <w:t>Until March 31, 2020, Jian Wang also had been the General Partner of SMC, as a result of which, under the rules of the SEC, he had been deemed to beneficially own all of the shares owned by SMC and SMC was deemed to be an affiliate of ours.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4D4D4F"/>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Each of the two</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connection with a follow-on public offering of Class A common stock in August 2019, we agreed to purchase a total of 154,821 of the warrant shares from SMC at a per share price of $13.195, of which (a) $1.2 million was applied to reduce SMC’s obligations to ACM Shanghai under the SMC note, and which we then withheld for our own account and applied to reduce ACM Shanghai’s obligations to us under the Intercompany Note and (b) the remaining $0.9 million was paid to SMC.</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Advisory Board Agreement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May 2016 we entered into an Advisory Board Agreement with one of our directors, Chenming Hu, under which Dr. Hu agreed to serve as a member of our advisory board and to use commercially reasonable efforts to provide us with various advisory services for a term extending until May 2021. We agreed to pay to Dr. Hu consulting fees of $25,000 per calendar quarter during the terms of the agreement and we granted to Dr. Hu in May 2016 an option to purchase up to 83,333 shares of common stock at $3.00 per share, all of which have vested.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and Executive Compensation and Indemnification Agreements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Please see “Director Compensation” and “Executive Compensation” for discussion of the compensation of our non-employee directors and our executive officers.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4D4D4F"/>
        </w:rPr>
        <w:t>We have entered into indemnification agreements with our directors and executive oﬃcers. Under these agreements, we agree to indemnify, to the fullest extent permitted by Delaware law (subject to certain limitations), each of director and executive oﬃcer against any and all expenses incurred by the director or oﬃcer in connection with proceedings because of his or her status as one of our directors or executive oﬃcers. In addition, these indemnification agreements provide that, to the fullest extent permitted by Delaware law, we will pay for all expenses incurred by our directors and executive oﬃcers in connection with a legal proceeding arising out of their service to 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Director Compensation</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at least annually based on recommendations by the nominating and governance committee. The nominating and governance committee has the sole authority to engage a consulting firm to evaluate director compensation.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October 2017 we adopted a policy with respect to the compensation payable to certain of our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Our qualifying non-employee directors receive the following annual cash retainers for their service: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DIRECTOR ANNUAL CASH RETAINERS</w:t>
      </w:r>
    </w:p>
    <w:p>
      <w:pPr>
        <w:spacing w:after="0" w:line="38" w:lineRule="exact"/>
        <w:rPr>
          <w:sz w:val="20"/>
          <w:szCs w:val="20"/>
          <w:color w:val="auto"/>
        </w:rPr>
      </w:pPr>
    </w:p>
    <w:tbl>
      <w:tblPr>
        <w:tblLayout w:type="fixed"/>
        <w:tblInd w:w="2200" w:type="dxa"/>
        <w:tblCellMar>
          <w:top w:w="0" w:type="dxa"/>
          <w:left w:w="0" w:type="dxa"/>
          <w:bottom w:w="0" w:type="dxa"/>
          <w:right w:w="0" w:type="dxa"/>
        </w:tblCellMar>
      </w:tblPr>
      <w:tr>
        <w:trPr>
          <w:trHeight w:val="169"/>
        </w:trPr>
        <w:tc>
          <w:tcPr>
            <w:tcW w:w="5240" w:type="dxa"/>
            <w:vAlign w:val="bottom"/>
            <w:shd w:val="clear" w:color="auto" w:fill="003E64"/>
          </w:tcPr>
          <w:p>
            <w:pPr>
              <w:ind w:left="100"/>
              <w:spacing w:after="0"/>
              <w:rPr>
                <w:sz w:val="20"/>
                <w:szCs w:val="20"/>
                <w:color w:val="auto"/>
              </w:rPr>
            </w:pPr>
            <w:r>
              <w:rPr>
                <w:rFonts w:ascii="Arial" w:cs="Arial" w:eastAsia="Arial" w:hAnsi="Arial"/>
                <w:sz w:val="14"/>
                <w:szCs w:val="14"/>
                <w:b w:val="1"/>
                <w:bCs w:val="1"/>
                <w:color w:val="FFFFFF"/>
              </w:rPr>
              <w:t>Position</w:t>
            </w:r>
          </w:p>
        </w:tc>
        <w:tc>
          <w:tcPr>
            <w:tcW w:w="1620" w:type="dxa"/>
            <w:vAlign w:val="bottom"/>
            <w:shd w:val="clear" w:color="auto" w:fill="003E64"/>
          </w:tcPr>
          <w:p>
            <w:pPr>
              <w:ind w:left="680"/>
              <w:spacing w:after="0"/>
              <w:rPr>
                <w:sz w:val="20"/>
                <w:szCs w:val="20"/>
                <w:color w:val="auto"/>
              </w:rPr>
            </w:pPr>
            <w:r>
              <w:rPr>
                <w:rFonts w:ascii="Arial" w:cs="Arial" w:eastAsia="Arial" w:hAnsi="Arial"/>
                <w:sz w:val="14"/>
                <w:szCs w:val="14"/>
                <w:b w:val="1"/>
                <w:bCs w:val="1"/>
                <w:color w:val="FFFFFF"/>
              </w:rPr>
              <w:t>Retainer</w:t>
            </w:r>
          </w:p>
        </w:tc>
      </w:tr>
      <w:tr>
        <w:trPr>
          <w:trHeight w:val="203"/>
        </w:trPr>
        <w:tc>
          <w:tcPr>
            <w:tcW w:w="5240" w:type="dxa"/>
            <w:vAlign w:val="bottom"/>
          </w:tcPr>
          <w:p>
            <w:pPr>
              <w:ind w:left="100"/>
              <w:spacing w:after="0" w:line="202" w:lineRule="exact"/>
              <w:rPr>
                <w:sz w:val="20"/>
                <w:szCs w:val="20"/>
                <w:color w:val="auto"/>
              </w:rPr>
            </w:pPr>
            <w:r>
              <w:rPr>
                <w:rFonts w:ascii="Arial" w:cs="Arial" w:eastAsia="Arial" w:hAnsi="Arial"/>
                <w:sz w:val="18"/>
                <w:szCs w:val="18"/>
                <w:color w:val="4D4D4F"/>
              </w:rPr>
              <w:t>Lead Director</w:t>
            </w:r>
          </w:p>
        </w:tc>
        <w:tc>
          <w:tcPr>
            <w:tcW w:w="1620" w:type="dxa"/>
            <w:vAlign w:val="bottom"/>
          </w:tcPr>
          <w:p>
            <w:pPr>
              <w:jc w:val="center"/>
              <w:ind w:left="232"/>
              <w:spacing w:after="0" w:line="202" w:lineRule="exact"/>
              <w:rPr>
                <w:sz w:val="20"/>
                <w:szCs w:val="20"/>
                <w:color w:val="auto"/>
              </w:rPr>
            </w:pPr>
            <w:r>
              <w:rPr>
                <w:rFonts w:ascii="Arial" w:cs="Arial" w:eastAsia="Arial" w:hAnsi="Arial"/>
                <w:sz w:val="18"/>
                <w:szCs w:val="18"/>
                <w:color w:val="4D4D4F"/>
              </w:rPr>
              <w:t>$20,000</w:t>
            </w:r>
          </w:p>
        </w:tc>
      </w:tr>
      <w:tr>
        <w:trPr>
          <w:trHeight w:val="203"/>
        </w:trPr>
        <w:tc>
          <w:tcPr>
            <w:tcW w:w="5240" w:type="dxa"/>
            <w:vAlign w:val="bottom"/>
            <w:shd w:val="clear" w:color="auto" w:fill="B7E4FF"/>
          </w:tcPr>
          <w:p>
            <w:pPr>
              <w:ind w:left="100"/>
              <w:spacing w:after="0" w:line="202" w:lineRule="exact"/>
              <w:rPr>
                <w:sz w:val="20"/>
                <w:szCs w:val="20"/>
                <w:color w:val="auto"/>
              </w:rPr>
            </w:pPr>
            <w:r>
              <w:rPr>
                <w:rFonts w:ascii="Arial" w:cs="Arial" w:eastAsia="Arial" w:hAnsi="Arial"/>
                <w:sz w:val="18"/>
                <w:szCs w:val="18"/>
                <w:color w:val="4D4D4F"/>
              </w:rPr>
              <w:t>Other Directors</w:t>
            </w:r>
          </w:p>
        </w:tc>
        <w:tc>
          <w:tcPr>
            <w:tcW w:w="1620" w:type="dxa"/>
            <w:vAlign w:val="bottom"/>
            <w:shd w:val="clear" w:color="auto" w:fill="B7E4FF"/>
          </w:tcPr>
          <w:p>
            <w:pPr>
              <w:jc w:val="center"/>
              <w:ind w:left="232"/>
              <w:spacing w:after="0" w:line="202" w:lineRule="exact"/>
              <w:rPr>
                <w:sz w:val="20"/>
                <w:szCs w:val="20"/>
                <w:color w:val="auto"/>
              </w:rPr>
            </w:pPr>
            <w:r>
              <w:rPr>
                <w:rFonts w:ascii="Arial" w:cs="Arial" w:eastAsia="Arial" w:hAnsi="Arial"/>
                <w:sz w:val="18"/>
                <w:szCs w:val="18"/>
                <w:color w:val="4D4D4F"/>
                <w:w w:val="98"/>
              </w:rPr>
              <w:t>15,000</w:t>
            </w:r>
          </w:p>
        </w:tc>
      </w:tr>
      <w:tr>
        <w:trPr>
          <w:trHeight w:val="203"/>
        </w:trPr>
        <w:tc>
          <w:tcPr>
            <w:tcW w:w="5240" w:type="dxa"/>
            <w:vAlign w:val="bottom"/>
          </w:tcPr>
          <w:p>
            <w:pPr>
              <w:ind w:left="100"/>
              <w:spacing w:after="0" w:line="202" w:lineRule="exact"/>
              <w:rPr>
                <w:sz w:val="20"/>
                <w:szCs w:val="20"/>
                <w:color w:val="auto"/>
              </w:rPr>
            </w:pPr>
            <w:r>
              <w:rPr>
                <w:rFonts w:ascii="Arial" w:cs="Arial" w:eastAsia="Arial" w:hAnsi="Arial"/>
                <w:sz w:val="18"/>
                <w:szCs w:val="18"/>
                <w:color w:val="4D4D4F"/>
              </w:rPr>
              <w:t>Audit Committee Chair</w:t>
            </w:r>
          </w:p>
        </w:tc>
        <w:tc>
          <w:tcPr>
            <w:tcW w:w="1620" w:type="dxa"/>
            <w:vAlign w:val="bottom"/>
          </w:tcPr>
          <w:p>
            <w:pPr>
              <w:jc w:val="center"/>
              <w:ind w:left="232"/>
              <w:spacing w:after="0" w:line="202" w:lineRule="exact"/>
              <w:rPr>
                <w:sz w:val="20"/>
                <w:szCs w:val="20"/>
                <w:color w:val="auto"/>
              </w:rPr>
            </w:pPr>
            <w:r>
              <w:rPr>
                <w:rFonts w:ascii="Arial" w:cs="Arial" w:eastAsia="Arial" w:hAnsi="Arial"/>
                <w:sz w:val="18"/>
                <w:szCs w:val="18"/>
                <w:color w:val="4D4D4F"/>
              </w:rPr>
              <w:t>4,000</w:t>
            </w:r>
          </w:p>
        </w:tc>
      </w:tr>
      <w:tr>
        <w:trPr>
          <w:trHeight w:val="203"/>
        </w:trPr>
        <w:tc>
          <w:tcPr>
            <w:tcW w:w="5240" w:type="dxa"/>
            <w:vAlign w:val="bottom"/>
            <w:shd w:val="clear" w:color="auto" w:fill="B7E4FF"/>
          </w:tcPr>
          <w:p>
            <w:pPr>
              <w:ind w:left="100"/>
              <w:spacing w:after="0" w:line="202" w:lineRule="exact"/>
              <w:rPr>
                <w:sz w:val="20"/>
                <w:szCs w:val="20"/>
                <w:color w:val="auto"/>
              </w:rPr>
            </w:pPr>
            <w:r>
              <w:rPr>
                <w:rFonts w:ascii="Arial" w:cs="Arial" w:eastAsia="Arial" w:hAnsi="Arial"/>
                <w:sz w:val="18"/>
                <w:szCs w:val="18"/>
                <w:color w:val="4D4D4F"/>
              </w:rPr>
              <w:t>Other Audit Committee Members</w:t>
            </w:r>
          </w:p>
        </w:tc>
        <w:tc>
          <w:tcPr>
            <w:tcW w:w="1620" w:type="dxa"/>
            <w:vAlign w:val="bottom"/>
            <w:shd w:val="clear" w:color="auto" w:fill="B7E4FF"/>
          </w:tcPr>
          <w:p>
            <w:pPr>
              <w:jc w:val="center"/>
              <w:ind w:left="232"/>
              <w:spacing w:after="0" w:line="202" w:lineRule="exact"/>
              <w:rPr>
                <w:sz w:val="20"/>
                <w:szCs w:val="20"/>
                <w:color w:val="auto"/>
              </w:rPr>
            </w:pPr>
            <w:r>
              <w:rPr>
                <w:rFonts w:ascii="Arial" w:cs="Arial" w:eastAsia="Arial" w:hAnsi="Arial"/>
                <w:sz w:val="18"/>
                <w:szCs w:val="18"/>
                <w:color w:val="4D4D4F"/>
              </w:rPr>
              <w:t>3,000</w:t>
            </w:r>
          </w:p>
        </w:tc>
      </w:tr>
      <w:tr>
        <w:trPr>
          <w:trHeight w:val="203"/>
        </w:trPr>
        <w:tc>
          <w:tcPr>
            <w:tcW w:w="5240" w:type="dxa"/>
            <w:vAlign w:val="bottom"/>
          </w:tcPr>
          <w:p>
            <w:pPr>
              <w:ind w:left="100"/>
              <w:spacing w:after="0" w:line="202" w:lineRule="exact"/>
              <w:rPr>
                <w:sz w:val="20"/>
                <w:szCs w:val="20"/>
                <w:color w:val="auto"/>
              </w:rPr>
            </w:pPr>
            <w:r>
              <w:rPr>
                <w:rFonts w:ascii="Arial" w:cs="Arial" w:eastAsia="Arial" w:hAnsi="Arial"/>
                <w:sz w:val="18"/>
                <w:szCs w:val="18"/>
                <w:color w:val="4D4D4F"/>
              </w:rPr>
              <w:t>Compensation Committee Chair</w:t>
            </w:r>
          </w:p>
        </w:tc>
        <w:tc>
          <w:tcPr>
            <w:tcW w:w="1620" w:type="dxa"/>
            <w:vAlign w:val="bottom"/>
          </w:tcPr>
          <w:p>
            <w:pPr>
              <w:jc w:val="center"/>
              <w:ind w:left="232"/>
              <w:spacing w:after="0" w:line="202" w:lineRule="exact"/>
              <w:rPr>
                <w:sz w:val="20"/>
                <w:szCs w:val="20"/>
                <w:color w:val="auto"/>
              </w:rPr>
            </w:pPr>
            <w:r>
              <w:rPr>
                <w:rFonts w:ascii="Arial" w:cs="Arial" w:eastAsia="Arial" w:hAnsi="Arial"/>
                <w:sz w:val="18"/>
                <w:szCs w:val="18"/>
                <w:color w:val="4D4D4F"/>
              </w:rPr>
              <w:t>4,000</w:t>
            </w:r>
          </w:p>
        </w:tc>
      </w:tr>
      <w:tr>
        <w:trPr>
          <w:trHeight w:val="203"/>
        </w:trPr>
        <w:tc>
          <w:tcPr>
            <w:tcW w:w="5240" w:type="dxa"/>
            <w:vAlign w:val="bottom"/>
            <w:shd w:val="clear" w:color="auto" w:fill="B7E4FF"/>
          </w:tcPr>
          <w:p>
            <w:pPr>
              <w:ind w:left="100"/>
              <w:spacing w:after="0" w:line="202" w:lineRule="exact"/>
              <w:rPr>
                <w:sz w:val="20"/>
                <w:szCs w:val="20"/>
                <w:color w:val="auto"/>
              </w:rPr>
            </w:pPr>
            <w:r>
              <w:rPr>
                <w:rFonts w:ascii="Arial" w:cs="Arial" w:eastAsia="Arial" w:hAnsi="Arial"/>
                <w:sz w:val="18"/>
                <w:szCs w:val="18"/>
                <w:color w:val="4D4D4F"/>
              </w:rPr>
              <w:t>Other Compensation Committee Members</w:t>
            </w:r>
          </w:p>
        </w:tc>
        <w:tc>
          <w:tcPr>
            <w:tcW w:w="1620" w:type="dxa"/>
            <w:vAlign w:val="bottom"/>
            <w:shd w:val="clear" w:color="auto" w:fill="B7E4FF"/>
          </w:tcPr>
          <w:p>
            <w:pPr>
              <w:jc w:val="center"/>
              <w:ind w:left="232"/>
              <w:spacing w:after="0" w:line="202" w:lineRule="exact"/>
              <w:rPr>
                <w:sz w:val="20"/>
                <w:szCs w:val="20"/>
                <w:color w:val="auto"/>
              </w:rPr>
            </w:pPr>
            <w:r>
              <w:rPr>
                <w:rFonts w:ascii="Arial" w:cs="Arial" w:eastAsia="Arial" w:hAnsi="Arial"/>
                <w:sz w:val="18"/>
                <w:szCs w:val="18"/>
                <w:color w:val="4D4D4F"/>
              </w:rPr>
              <w:t>3,000</w:t>
            </w:r>
          </w:p>
        </w:tc>
      </w:tr>
      <w:tr>
        <w:trPr>
          <w:trHeight w:val="203"/>
        </w:trPr>
        <w:tc>
          <w:tcPr>
            <w:tcW w:w="5240" w:type="dxa"/>
            <w:vAlign w:val="bottom"/>
          </w:tcPr>
          <w:p>
            <w:pPr>
              <w:ind w:left="100"/>
              <w:spacing w:after="0" w:line="202" w:lineRule="exact"/>
              <w:rPr>
                <w:sz w:val="20"/>
                <w:szCs w:val="20"/>
                <w:color w:val="auto"/>
              </w:rPr>
            </w:pPr>
            <w:r>
              <w:rPr>
                <w:rFonts w:ascii="Arial" w:cs="Arial" w:eastAsia="Arial" w:hAnsi="Arial"/>
                <w:sz w:val="18"/>
                <w:szCs w:val="18"/>
                <w:color w:val="4D4D4F"/>
              </w:rPr>
              <w:t>Nominating and Governance Committee Chair</w:t>
            </w:r>
          </w:p>
        </w:tc>
        <w:tc>
          <w:tcPr>
            <w:tcW w:w="1620" w:type="dxa"/>
            <w:vAlign w:val="bottom"/>
          </w:tcPr>
          <w:p>
            <w:pPr>
              <w:jc w:val="center"/>
              <w:ind w:left="232"/>
              <w:spacing w:after="0" w:line="202" w:lineRule="exact"/>
              <w:rPr>
                <w:sz w:val="20"/>
                <w:szCs w:val="20"/>
                <w:color w:val="auto"/>
              </w:rPr>
            </w:pPr>
            <w:r>
              <w:rPr>
                <w:rFonts w:ascii="Arial" w:cs="Arial" w:eastAsia="Arial" w:hAnsi="Arial"/>
                <w:sz w:val="18"/>
                <w:szCs w:val="18"/>
                <w:color w:val="4D4D4F"/>
              </w:rPr>
              <w:t>4,000</w:t>
            </w:r>
          </w:p>
        </w:tc>
      </w:tr>
      <w:tr>
        <w:trPr>
          <w:trHeight w:val="203"/>
        </w:trPr>
        <w:tc>
          <w:tcPr>
            <w:tcW w:w="5240" w:type="dxa"/>
            <w:vAlign w:val="bottom"/>
            <w:shd w:val="clear" w:color="auto" w:fill="B7E4FF"/>
          </w:tcPr>
          <w:p>
            <w:pPr>
              <w:ind w:left="100"/>
              <w:spacing w:after="0" w:line="202" w:lineRule="exact"/>
              <w:rPr>
                <w:sz w:val="20"/>
                <w:szCs w:val="20"/>
                <w:color w:val="auto"/>
              </w:rPr>
            </w:pPr>
            <w:r>
              <w:rPr>
                <w:rFonts w:ascii="Arial" w:cs="Arial" w:eastAsia="Arial" w:hAnsi="Arial"/>
                <w:sz w:val="18"/>
                <w:szCs w:val="18"/>
                <w:color w:val="4D4D4F"/>
              </w:rPr>
              <w:t>Other Nominating and Governance Committee Members</w:t>
            </w:r>
          </w:p>
        </w:tc>
        <w:tc>
          <w:tcPr>
            <w:tcW w:w="1620" w:type="dxa"/>
            <w:vAlign w:val="bottom"/>
            <w:shd w:val="clear" w:color="auto" w:fill="B7E4FF"/>
          </w:tcPr>
          <w:p>
            <w:pPr>
              <w:jc w:val="center"/>
              <w:ind w:left="232"/>
              <w:spacing w:after="0" w:line="202" w:lineRule="exact"/>
              <w:rPr>
                <w:sz w:val="20"/>
                <w:szCs w:val="20"/>
                <w:color w:val="auto"/>
              </w:rPr>
            </w:pPr>
            <w:r>
              <w:rPr>
                <w:rFonts w:ascii="Arial" w:cs="Arial" w:eastAsia="Arial" w:hAnsi="Arial"/>
                <w:sz w:val="18"/>
                <w:szCs w:val="18"/>
                <w:color w:val="4D4D4F"/>
              </w:rPr>
              <w:t>3,000</w:t>
            </w:r>
          </w:p>
        </w:tc>
      </w:tr>
    </w:tbl>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Equity awards for qualifying non-employee directors will consist of (a) an initial equity award with a value of $75,000, upon initial election to the board, subject to vesting and to continued service on the board, and (b) annual equity awards with a value of $35,000, subject to vesting and continued service on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4D4D4F"/>
        </w:rPr>
        <w:t>Directors may be reimbursed for reasonable out-of-pocket expenses incurred in attending board and committee meetings.</w:t>
      </w:r>
    </w:p>
    <w:p>
      <w:pPr>
        <w:spacing w:after="0" w:line="125"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4D4D4F"/>
        </w:rPr>
        <w:t>In October 2017 the board adopted a Director Compensation Policy. Under this policy, each director receives $75,000 in restricted stock units upon his or her initial election to the board. These restricted stock units are subject to vesting restrictions that are contingent upon continued board service. Additionally, on the date of each annual meeting of stockholders, each director who (a) is not a designee nominated to the board pursuant to existing agreements to which ACM is a party and (b) is continuing his or her board service following the date of the then</w:t>
      </w:r>
      <w:r>
        <w:rPr>
          <w:rFonts w:ascii="MS PGothic" w:cs="MS PGothic" w:eastAsia="MS PGothic" w:hAnsi="MS PGothic"/>
          <w:sz w:val="18"/>
          <w:szCs w:val="18"/>
          <w:color w:val="4D4D4F"/>
        </w:rPr>
        <w:t>‑</w:t>
      </w:r>
      <w:r>
        <w:rPr>
          <w:rFonts w:ascii="Arial" w:cs="Arial" w:eastAsia="Arial" w:hAnsi="Arial"/>
          <w:sz w:val="18"/>
          <w:szCs w:val="18"/>
          <w:color w:val="4D4D4F"/>
        </w:rPr>
        <w:t>current annual meeting of stockholders, shall receive $35,000 in restricted stock units, subject to vesting restrictions. Pursuant to the terms of the Director Compensation Policy, Dr. Dun was eligible to receive this annual equity compensation in 2019. Ms. Liu will be eligible beginning on the date of the Annual Meeting and Dr. Hu will be eligible beginning on the date of our 2021 annual meeting of stockholders. Ms. Xiang and Mr. Yang do not qualify for eligibility to receive this annual equity compensation because they are designees nominated to the board pursuant to existing agreements to which ACM is a party, as described under “Corporate Governance—Director Nomination Rights.”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4D4D4F"/>
        </w:rPr>
        <w:t>The following table shows the total compensation for non-employee directors during 2019. David H. Wang, our sole executive officer who served as a member of the board during 2019, did not receive any additional compensation for such service as a director.</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2019 DIRECTOR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60" w:type="dxa"/>
            <w:vAlign w:val="bottom"/>
            <w:tcBorders>
              <w:top w:val="single" w:sz="8" w:color="auto"/>
            </w:tcBorders>
            <w:vMerge w:val="restart"/>
            <w:shd w:val="clear" w:color="auto" w:fill="003E64"/>
          </w:tcPr>
          <w:p>
            <w:pPr>
              <w:ind w:left="120"/>
              <w:spacing w:after="0"/>
              <w:rPr>
                <w:sz w:val="20"/>
                <w:szCs w:val="20"/>
                <w:color w:val="auto"/>
              </w:rPr>
            </w:pPr>
            <w:r>
              <w:rPr>
                <w:rFonts w:ascii="Arial" w:cs="Arial" w:eastAsia="Arial" w:hAnsi="Arial"/>
                <w:sz w:val="14"/>
                <w:szCs w:val="14"/>
                <w:b w:val="1"/>
                <w:bCs w:val="1"/>
                <w:color w:val="FFFFFF"/>
              </w:rPr>
              <w:t>Director</w:t>
            </w:r>
          </w:p>
        </w:tc>
        <w:tc>
          <w:tcPr>
            <w:tcW w:w="2480" w:type="dxa"/>
            <w:vAlign w:val="bottom"/>
            <w:tcBorders>
              <w:top w:val="single" w:sz="8" w:color="auto"/>
            </w:tcBorders>
            <w:shd w:val="clear" w:color="auto" w:fill="003E64"/>
          </w:tcPr>
          <w:p>
            <w:pPr>
              <w:ind w:left="1100"/>
              <w:spacing w:after="0" w:line="156" w:lineRule="exact"/>
              <w:rPr>
                <w:sz w:val="20"/>
                <w:szCs w:val="20"/>
                <w:color w:val="auto"/>
              </w:rPr>
            </w:pPr>
            <w:r>
              <w:rPr>
                <w:rFonts w:ascii="Arial" w:cs="Arial" w:eastAsia="Arial" w:hAnsi="Arial"/>
                <w:sz w:val="14"/>
                <w:szCs w:val="14"/>
                <w:b w:val="1"/>
                <w:bCs w:val="1"/>
                <w:color w:val="FFFFFF"/>
              </w:rPr>
              <w:t>Fees Earned or</w:t>
            </w:r>
          </w:p>
        </w:tc>
        <w:tc>
          <w:tcPr>
            <w:tcW w:w="2040" w:type="dxa"/>
            <w:vAlign w:val="bottom"/>
            <w:tcBorders>
              <w:top w:val="single" w:sz="8" w:color="auto"/>
            </w:tcBorders>
            <w:shd w:val="clear" w:color="auto" w:fill="003E64"/>
          </w:tcPr>
          <w:p>
            <w:pPr>
              <w:spacing w:after="0"/>
              <w:rPr>
                <w:sz w:val="13"/>
                <w:szCs w:val="13"/>
                <w:color w:val="auto"/>
              </w:rPr>
            </w:pPr>
          </w:p>
        </w:tc>
        <w:tc>
          <w:tcPr>
            <w:tcW w:w="1960" w:type="dxa"/>
            <w:vAlign w:val="bottom"/>
            <w:tcBorders>
              <w:top w:val="single" w:sz="8" w:color="auto"/>
            </w:tcBorders>
            <w:shd w:val="clear" w:color="auto" w:fill="003E64"/>
          </w:tcPr>
          <w:p>
            <w:pPr>
              <w:jc w:val="center"/>
              <w:ind w:right="75"/>
              <w:spacing w:after="0" w:line="156" w:lineRule="exact"/>
              <w:rPr>
                <w:sz w:val="20"/>
                <w:szCs w:val="20"/>
                <w:color w:val="auto"/>
              </w:rPr>
            </w:pPr>
            <w:r>
              <w:rPr>
                <w:rFonts w:ascii="Arial" w:cs="Arial" w:eastAsia="Arial" w:hAnsi="Arial"/>
                <w:sz w:val="14"/>
                <w:szCs w:val="14"/>
                <w:b w:val="1"/>
                <w:bCs w:val="1"/>
                <w:color w:val="FFFFFF"/>
              </w:rPr>
              <w:t>All Other</w:t>
            </w:r>
          </w:p>
        </w:tc>
        <w:tc>
          <w:tcPr>
            <w:tcW w:w="1800" w:type="dxa"/>
            <w:vAlign w:val="bottom"/>
            <w:tcBorders>
              <w:top w:val="single" w:sz="8" w:color="auto"/>
            </w:tcBorders>
            <w:shd w:val="clear" w:color="auto" w:fill="003E64"/>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60" w:type="dxa"/>
            <w:vAlign w:val="bottom"/>
            <w:tcBorders>
              <w:bottom w:val="single" w:sz="8" w:color="auto"/>
            </w:tcBorders>
            <w:vMerge w:val="continue"/>
            <w:shd w:val="clear" w:color="auto" w:fill="003E64"/>
          </w:tcPr>
          <w:p>
            <w:pPr>
              <w:spacing w:after="0"/>
              <w:rPr>
                <w:sz w:val="15"/>
                <w:szCs w:val="15"/>
                <w:color w:val="auto"/>
              </w:rPr>
            </w:pPr>
          </w:p>
        </w:tc>
        <w:tc>
          <w:tcPr>
            <w:tcW w:w="2480" w:type="dxa"/>
            <w:vAlign w:val="bottom"/>
            <w:tcBorders>
              <w:bottom w:val="single" w:sz="8" w:color="auto"/>
            </w:tcBorders>
            <w:shd w:val="clear" w:color="auto" w:fill="003E64"/>
          </w:tcPr>
          <w:p>
            <w:pPr>
              <w:ind w:left="1100"/>
              <w:spacing w:after="0"/>
              <w:rPr>
                <w:sz w:val="20"/>
                <w:szCs w:val="20"/>
                <w:color w:val="auto"/>
              </w:rPr>
            </w:pPr>
            <w:r>
              <w:rPr>
                <w:rFonts w:ascii="Arial" w:cs="Arial" w:eastAsia="Arial" w:hAnsi="Arial"/>
                <w:sz w:val="14"/>
                <w:szCs w:val="14"/>
                <w:b w:val="1"/>
                <w:bCs w:val="1"/>
                <w:color w:val="FFFFFF"/>
              </w:rPr>
              <w:t>Paid in Cash($)</w:t>
            </w:r>
          </w:p>
        </w:tc>
        <w:tc>
          <w:tcPr>
            <w:tcW w:w="2040" w:type="dxa"/>
            <w:vAlign w:val="bottom"/>
            <w:tcBorders>
              <w:bottom w:val="single" w:sz="8" w:color="auto"/>
            </w:tcBorders>
            <w:shd w:val="clear" w:color="auto" w:fill="003E64"/>
          </w:tcPr>
          <w:p>
            <w:pPr>
              <w:ind w:left="360"/>
              <w:spacing w:after="0"/>
              <w:rPr>
                <w:sz w:val="20"/>
                <w:szCs w:val="20"/>
                <w:color w:val="auto"/>
              </w:rPr>
            </w:pPr>
            <w:r>
              <w:rPr>
                <w:rFonts w:ascii="Arial" w:cs="Arial" w:eastAsia="Arial" w:hAnsi="Arial"/>
                <w:sz w:val="14"/>
                <w:szCs w:val="14"/>
                <w:b w:val="1"/>
                <w:bCs w:val="1"/>
                <w:color w:val="FFFFFF"/>
              </w:rPr>
              <w:t>Option Awards($)(1)</w:t>
            </w:r>
          </w:p>
        </w:tc>
        <w:tc>
          <w:tcPr>
            <w:tcW w:w="1960" w:type="dxa"/>
            <w:vAlign w:val="bottom"/>
            <w:tcBorders>
              <w:bottom w:val="single" w:sz="8" w:color="auto"/>
            </w:tcBorders>
            <w:shd w:val="clear" w:color="auto" w:fill="003E64"/>
          </w:tcPr>
          <w:p>
            <w:pPr>
              <w:jc w:val="center"/>
              <w:ind w:right="55"/>
              <w:spacing w:after="0"/>
              <w:rPr>
                <w:sz w:val="20"/>
                <w:szCs w:val="20"/>
                <w:color w:val="auto"/>
              </w:rPr>
            </w:pPr>
            <w:r>
              <w:rPr>
                <w:rFonts w:ascii="Arial" w:cs="Arial" w:eastAsia="Arial" w:hAnsi="Arial"/>
                <w:sz w:val="14"/>
                <w:szCs w:val="14"/>
                <w:b w:val="1"/>
                <w:bCs w:val="1"/>
                <w:color w:val="FFFFFF"/>
              </w:rPr>
              <w:t>Compensation($)</w:t>
            </w:r>
          </w:p>
        </w:tc>
        <w:tc>
          <w:tcPr>
            <w:tcW w:w="1800" w:type="dxa"/>
            <w:vAlign w:val="bottom"/>
            <w:tcBorders>
              <w:bottom w:val="single" w:sz="8" w:color="auto"/>
            </w:tcBorders>
            <w:shd w:val="clear" w:color="auto" w:fill="003E64"/>
          </w:tcPr>
          <w:p>
            <w:pPr>
              <w:ind w:left="6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4D4D4F"/>
              </w:rPr>
              <w:t>Haiping Dun(2)</w:t>
            </w:r>
          </w:p>
        </w:tc>
        <w:tc>
          <w:tcPr>
            <w:tcW w:w="2480" w:type="dxa"/>
            <w:vAlign w:val="bottom"/>
          </w:tcPr>
          <w:p>
            <w:pPr>
              <w:jc w:val="center"/>
              <w:ind w:left="655"/>
              <w:spacing w:after="0"/>
              <w:rPr>
                <w:sz w:val="20"/>
                <w:szCs w:val="20"/>
                <w:color w:val="auto"/>
              </w:rPr>
            </w:pPr>
            <w:r>
              <w:rPr>
                <w:rFonts w:ascii="Arial" w:cs="Arial" w:eastAsia="Arial" w:hAnsi="Arial"/>
                <w:sz w:val="18"/>
                <w:szCs w:val="18"/>
                <w:color w:val="4D4D4F"/>
              </w:rPr>
              <w:t>$27,000</w:t>
            </w:r>
          </w:p>
        </w:tc>
        <w:tc>
          <w:tcPr>
            <w:tcW w:w="2040" w:type="dxa"/>
            <w:vAlign w:val="bottom"/>
          </w:tcPr>
          <w:p>
            <w:pPr>
              <w:jc w:val="center"/>
              <w:spacing w:after="0"/>
              <w:rPr>
                <w:sz w:val="20"/>
                <w:szCs w:val="20"/>
                <w:color w:val="auto"/>
              </w:rPr>
            </w:pPr>
            <w:r>
              <w:rPr>
                <w:rFonts w:ascii="Arial" w:cs="Arial" w:eastAsia="Arial" w:hAnsi="Arial"/>
                <w:sz w:val="18"/>
                <w:szCs w:val="18"/>
                <w:color w:val="4D4D4F"/>
              </w:rPr>
              <w:t>$129,938</w:t>
            </w:r>
          </w:p>
        </w:tc>
        <w:tc>
          <w:tcPr>
            <w:tcW w:w="1960" w:type="dxa"/>
            <w:vAlign w:val="bottom"/>
          </w:tcPr>
          <w:p>
            <w:pPr>
              <w:jc w:val="center"/>
              <w:ind w:right="5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w w:val="98"/>
              </w:rPr>
              <w:t>$156,938</w:t>
            </w:r>
          </w:p>
        </w:tc>
        <w:tc>
          <w:tcPr>
            <w:tcW w:w="0" w:type="dxa"/>
            <w:vAlign w:val="bottom"/>
          </w:tcPr>
          <w:p>
            <w:pPr>
              <w:spacing w:after="0"/>
              <w:rPr>
                <w:sz w:val="1"/>
                <w:szCs w:val="1"/>
                <w:color w:val="auto"/>
              </w:rPr>
            </w:pPr>
          </w:p>
        </w:tc>
      </w:tr>
      <w:tr>
        <w:trPr>
          <w:trHeight w:val="216"/>
        </w:trPr>
        <w:tc>
          <w:tcPr>
            <w:tcW w:w="2960" w:type="dxa"/>
            <w:vAlign w:val="bottom"/>
            <w:shd w:val="clear" w:color="auto" w:fill="B7E4FF"/>
          </w:tcPr>
          <w:p>
            <w:pPr>
              <w:ind w:left="120"/>
              <w:spacing w:after="0"/>
              <w:rPr>
                <w:sz w:val="20"/>
                <w:szCs w:val="20"/>
                <w:color w:val="auto"/>
              </w:rPr>
            </w:pPr>
            <w:r>
              <w:rPr>
                <w:rFonts w:ascii="Arial" w:cs="Arial" w:eastAsia="Arial" w:hAnsi="Arial"/>
                <w:sz w:val="18"/>
                <w:szCs w:val="18"/>
                <w:color w:val="4D4D4F"/>
              </w:rPr>
              <w:t>Chenming C. Hu(2)</w:t>
            </w:r>
          </w:p>
        </w:tc>
        <w:tc>
          <w:tcPr>
            <w:tcW w:w="2480" w:type="dxa"/>
            <w:vAlign w:val="bottom"/>
            <w:shd w:val="clear" w:color="auto" w:fill="B7E4FF"/>
          </w:tcPr>
          <w:p>
            <w:pPr>
              <w:jc w:val="center"/>
              <w:ind w:left="655"/>
              <w:spacing w:after="0"/>
              <w:rPr>
                <w:sz w:val="20"/>
                <w:szCs w:val="20"/>
                <w:color w:val="auto"/>
              </w:rPr>
            </w:pPr>
            <w:r>
              <w:rPr>
                <w:rFonts w:ascii="Arial" w:cs="Arial" w:eastAsia="Arial" w:hAnsi="Arial"/>
                <w:sz w:val="18"/>
                <w:szCs w:val="18"/>
                <w:color w:val="4D4D4F"/>
                <w:w w:val="98"/>
              </w:rPr>
              <w:t>19,000</w:t>
            </w:r>
          </w:p>
        </w:tc>
        <w:tc>
          <w:tcPr>
            <w:tcW w:w="2040" w:type="dxa"/>
            <w:vAlign w:val="bottom"/>
            <w:shd w:val="clear" w:color="auto" w:fill="B7E4FF"/>
          </w:tcPr>
          <w:p>
            <w:pPr>
              <w:jc w:val="center"/>
              <w:spacing w:after="0"/>
              <w:rPr>
                <w:sz w:val="20"/>
                <w:szCs w:val="20"/>
                <w:color w:val="auto"/>
              </w:rPr>
            </w:pPr>
            <w:r>
              <w:rPr>
                <w:rFonts w:ascii="Arial" w:cs="Arial" w:eastAsia="Arial" w:hAnsi="Arial"/>
                <w:sz w:val="18"/>
                <w:szCs w:val="18"/>
                <w:color w:val="4D4D4F"/>
                <w:w w:val="99"/>
              </w:rPr>
              <w:t>—</w:t>
            </w:r>
          </w:p>
        </w:tc>
        <w:tc>
          <w:tcPr>
            <w:tcW w:w="1960" w:type="dxa"/>
            <w:vAlign w:val="bottom"/>
            <w:shd w:val="clear" w:color="auto" w:fill="B7E4FF"/>
          </w:tcPr>
          <w:p>
            <w:pPr>
              <w:jc w:val="center"/>
              <w:ind w:right="55"/>
              <w:spacing w:after="0"/>
              <w:rPr>
                <w:sz w:val="20"/>
                <w:szCs w:val="20"/>
                <w:color w:val="auto"/>
              </w:rPr>
            </w:pPr>
            <w:r>
              <w:rPr>
                <w:rFonts w:ascii="Arial" w:cs="Arial" w:eastAsia="Arial" w:hAnsi="Arial"/>
                <w:sz w:val="18"/>
                <w:szCs w:val="18"/>
                <w:color w:val="4D4D4F"/>
              </w:rPr>
              <w:t>$100,000(3)</w:t>
            </w:r>
          </w:p>
        </w:tc>
        <w:tc>
          <w:tcPr>
            <w:tcW w:w="1800" w:type="dxa"/>
            <w:vAlign w:val="bottom"/>
            <w:shd w:val="clear" w:color="auto" w:fill="B7E4FF"/>
          </w:tcPr>
          <w:p>
            <w:pPr>
              <w:jc w:val="center"/>
              <w:ind w:right="13"/>
              <w:spacing w:after="0"/>
              <w:rPr>
                <w:sz w:val="20"/>
                <w:szCs w:val="20"/>
                <w:color w:val="auto"/>
              </w:rPr>
            </w:pPr>
            <w:r>
              <w:rPr>
                <w:rFonts w:ascii="Arial" w:cs="Arial" w:eastAsia="Arial" w:hAnsi="Arial"/>
                <w:sz w:val="18"/>
                <w:szCs w:val="18"/>
                <w:color w:val="4D4D4F"/>
              </w:rPr>
              <w:t>119,000</w:t>
            </w: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4D4D4F"/>
              </w:rPr>
              <w:t>Tracy Liu(2)</w:t>
            </w:r>
          </w:p>
        </w:tc>
        <w:tc>
          <w:tcPr>
            <w:tcW w:w="2480" w:type="dxa"/>
            <w:vAlign w:val="bottom"/>
          </w:tcPr>
          <w:p>
            <w:pPr>
              <w:jc w:val="center"/>
              <w:ind w:left="655"/>
              <w:spacing w:after="0"/>
              <w:rPr>
                <w:sz w:val="20"/>
                <w:szCs w:val="20"/>
                <w:color w:val="auto"/>
              </w:rPr>
            </w:pPr>
            <w:r>
              <w:rPr>
                <w:rFonts w:ascii="Arial" w:cs="Arial" w:eastAsia="Arial" w:hAnsi="Arial"/>
                <w:sz w:val="18"/>
                <w:szCs w:val="18"/>
                <w:color w:val="4D4D4F"/>
                <w:w w:val="98"/>
              </w:rPr>
              <w:t>25,000</w:t>
            </w:r>
          </w:p>
        </w:tc>
        <w:tc>
          <w:tcPr>
            <w:tcW w:w="2040" w:type="dxa"/>
            <w:vAlign w:val="bottom"/>
          </w:tcPr>
          <w:p>
            <w:pPr>
              <w:jc w:val="center"/>
              <w:spacing w:after="0"/>
              <w:rPr>
                <w:sz w:val="20"/>
                <w:szCs w:val="20"/>
                <w:color w:val="auto"/>
              </w:rPr>
            </w:pPr>
            <w:r>
              <w:rPr>
                <w:rFonts w:ascii="Arial" w:cs="Arial" w:eastAsia="Arial" w:hAnsi="Arial"/>
                <w:sz w:val="18"/>
                <w:szCs w:val="18"/>
                <w:color w:val="4D4D4F"/>
                <w:w w:val="98"/>
              </w:rPr>
              <w:t>129,938</w:t>
            </w:r>
          </w:p>
        </w:tc>
        <w:tc>
          <w:tcPr>
            <w:tcW w:w="1960" w:type="dxa"/>
            <w:vAlign w:val="bottom"/>
          </w:tcPr>
          <w:p>
            <w:pPr>
              <w:jc w:val="center"/>
              <w:ind w:right="5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rPr>
              <w:t>154,938</w:t>
            </w:r>
          </w:p>
        </w:tc>
        <w:tc>
          <w:tcPr>
            <w:tcW w:w="0" w:type="dxa"/>
            <w:vAlign w:val="bottom"/>
          </w:tcPr>
          <w:p>
            <w:pPr>
              <w:spacing w:after="0"/>
              <w:rPr>
                <w:sz w:val="1"/>
                <w:szCs w:val="1"/>
                <w:color w:val="auto"/>
              </w:rPr>
            </w:pPr>
          </w:p>
        </w:tc>
      </w:tr>
      <w:tr>
        <w:trPr>
          <w:trHeight w:val="216"/>
        </w:trPr>
        <w:tc>
          <w:tcPr>
            <w:tcW w:w="2960" w:type="dxa"/>
            <w:vAlign w:val="bottom"/>
            <w:shd w:val="clear" w:color="auto" w:fill="B7E4FF"/>
          </w:tcPr>
          <w:p>
            <w:pPr>
              <w:ind w:left="120"/>
              <w:spacing w:after="0"/>
              <w:rPr>
                <w:sz w:val="20"/>
                <w:szCs w:val="20"/>
                <w:color w:val="auto"/>
              </w:rPr>
            </w:pPr>
            <w:r>
              <w:rPr>
                <w:rFonts w:ascii="Arial" w:cs="Arial" w:eastAsia="Arial" w:hAnsi="Arial"/>
                <w:sz w:val="18"/>
                <w:szCs w:val="18"/>
                <w:color w:val="4D4D4F"/>
              </w:rPr>
              <w:t>Zhengfan Yang</w:t>
            </w:r>
          </w:p>
        </w:tc>
        <w:tc>
          <w:tcPr>
            <w:tcW w:w="2480" w:type="dxa"/>
            <w:vAlign w:val="bottom"/>
            <w:shd w:val="clear" w:color="auto" w:fill="B7E4FF"/>
          </w:tcPr>
          <w:p>
            <w:pPr>
              <w:jc w:val="center"/>
              <w:ind w:left="655"/>
              <w:spacing w:after="0"/>
              <w:rPr>
                <w:sz w:val="20"/>
                <w:szCs w:val="20"/>
                <w:color w:val="auto"/>
              </w:rPr>
            </w:pPr>
            <w:r>
              <w:rPr>
                <w:rFonts w:ascii="Arial" w:cs="Arial" w:eastAsia="Arial" w:hAnsi="Arial"/>
                <w:sz w:val="18"/>
                <w:szCs w:val="18"/>
                <w:color w:val="4D4D4F"/>
                <w:w w:val="98"/>
              </w:rPr>
              <w:t>18,000</w:t>
            </w:r>
          </w:p>
        </w:tc>
        <w:tc>
          <w:tcPr>
            <w:tcW w:w="2040" w:type="dxa"/>
            <w:vAlign w:val="bottom"/>
            <w:shd w:val="clear" w:color="auto" w:fill="B7E4FF"/>
          </w:tcPr>
          <w:p>
            <w:pPr>
              <w:jc w:val="center"/>
              <w:spacing w:after="0"/>
              <w:rPr>
                <w:sz w:val="20"/>
                <w:szCs w:val="20"/>
                <w:color w:val="auto"/>
              </w:rPr>
            </w:pPr>
            <w:r>
              <w:rPr>
                <w:rFonts w:ascii="Arial" w:cs="Arial" w:eastAsia="Arial" w:hAnsi="Arial"/>
                <w:sz w:val="18"/>
                <w:szCs w:val="18"/>
                <w:color w:val="4D4D4F"/>
                <w:w w:val="99"/>
              </w:rPr>
              <w:t>—</w:t>
            </w:r>
          </w:p>
        </w:tc>
        <w:tc>
          <w:tcPr>
            <w:tcW w:w="1960" w:type="dxa"/>
            <w:vAlign w:val="bottom"/>
            <w:shd w:val="clear" w:color="auto" w:fill="B7E4FF"/>
          </w:tcPr>
          <w:p>
            <w:pPr>
              <w:jc w:val="center"/>
              <w:ind w:right="55"/>
              <w:spacing w:after="0"/>
              <w:rPr>
                <w:sz w:val="20"/>
                <w:szCs w:val="20"/>
                <w:color w:val="auto"/>
              </w:rPr>
            </w:pPr>
            <w:r>
              <w:rPr>
                <w:rFonts w:ascii="Arial" w:cs="Arial" w:eastAsia="Arial" w:hAnsi="Arial"/>
                <w:sz w:val="18"/>
                <w:szCs w:val="18"/>
                <w:color w:val="4D4D4F"/>
                <w:w w:val="99"/>
              </w:rPr>
              <w:t>—</w:t>
            </w:r>
          </w:p>
        </w:tc>
        <w:tc>
          <w:tcPr>
            <w:tcW w:w="1800" w:type="dxa"/>
            <w:vAlign w:val="bottom"/>
            <w:shd w:val="clear" w:color="auto" w:fill="B7E4FF"/>
          </w:tcPr>
          <w:p>
            <w:pPr>
              <w:jc w:val="center"/>
              <w:ind w:right="13"/>
              <w:spacing w:after="0"/>
              <w:rPr>
                <w:sz w:val="20"/>
                <w:szCs w:val="20"/>
                <w:color w:val="auto"/>
              </w:rPr>
            </w:pPr>
            <w:r>
              <w:rPr>
                <w:rFonts w:ascii="Arial" w:cs="Arial" w:eastAsia="Arial" w:hAnsi="Arial"/>
                <w:sz w:val="18"/>
                <w:szCs w:val="18"/>
                <w:color w:val="4D4D4F"/>
                <w:w w:val="98"/>
              </w:rPr>
              <w:t>18,000</w:t>
            </w:r>
          </w:p>
        </w:tc>
        <w:tc>
          <w:tcPr>
            <w:tcW w:w="0" w:type="dxa"/>
            <w:vAlign w:val="bottom"/>
          </w:tcPr>
          <w:p>
            <w:pPr>
              <w:spacing w:after="0"/>
              <w:rPr>
                <w:sz w:val="1"/>
                <w:szCs w:val="1"/>
                <w:color w:val="auto"/>
              </w:rPr>
            </w:pPr>
          </w:p>
        </w:tc>
      </w:tr>
      <w:tr>
        <w:trPr>
          <w:trHeight w:val="217"/>
        </w:trPr>
        <w:tc>
          <w:tcPr>
            <w:tcW w:w="2960" w:type="dxa"/>
            <w:vAlign w:val="bottom"/>
          </w:tcPr>
          <w:p>
            <w:pPr>
              <w:ind w:left="120"/>
              <w:spacing w:after="0"/>
              <w:rPr>
                <w:sz w:val="20"/>
                <w:szCs w:val="20"/>
                <w:color w:val="auto"/>
              </w:rPr>
            </w:pPr>
            <w:r>
              <w:rPr>
                <w:rFonts w:ascii="Arial" w:cs="Arial" w:eastAsia="Arial" w:hAnsi="Arial"/>
                <w:sz w:val="18"/>
                <w:szCs w:val="18"/>
                <w:color w:val="4D4D4F"/>
              </w:rPr>
              <w:t>Yinan Xiang</w:t>
            </w:r>
          </w:p>
        </w:tc>
        <w:tc>
          <w:tcPr>
            <w:tcW w:w="2480" w:type="dxa"/>
            <w:vAlign w:val="bottom"/>
          </w:tcPr>
          <w:p>
            <w:pPr>
              <w:jc w:val="center"/>
              <w:ind w:left="655"/>
              <w:spacing w:after="0"/>
              <w:rPr>
                <w:sz w:val="20"/>
                <w:szCs w:val="20"/>
                <w:color w:val="auto"/>
              </w:rPr>
            </w:pPr>
            <w:r>
              <w:rPr>
                <w:rFonts w:ascii="Arial" w:cs="Arial" w:eastAsia="Arial" w:hAnsi="Arial"/>
                <w:sz w:val="18"/>
                <w:szCs w:val="18"/>
                <w:color w:val="4D4D4F"/>
                <w:w w:val="98"/>
              </w:rPr>
              <w:t>18,000</w:t>
            </w:r>
          </w:p>
        </w:tc>
        <w:tc>
          <w:tcPr>
            <w:tcW w:w="2040" w:type="dxa"/>
            <w:vAlign w:val="bottom"/>
          </w:tcPr>
          <w:p>
            <w:pPr>
              <w:jc w:val="center"/>
              <w:spacing w:after="0"/>
              <w:rPr>
                <w:sz w:val="20"/>
                <w:szCs w:val="20"/>
                <w:color w:val="auto"/>
              </w:rPr>
            </w:pPr>
            <w:r>
              <w:rPr>
                <w:rFonts w:ascii="Arial" w:cs="Arial" w:eastAsia="Arial" w:hAnsi="Arial"/>
                <w:sz w:val="18"/>
                <w:szCs w:val="18"/>
                <w:color w:val="4D4D4F"/>
                <w:w w:val="99"/>
              </w:rPr>
              <w:t>—</w:t>
            </w:r>
          </w:p>
        </w:tc>
        <w:tc>
          <w:tcPr>
            <w:tcW w:w="1960" w:type="dxa"/>
            <w:vAlign w:val="bottom"/>
          </w:tcPr>
          <w:p>
            <w:pPr>
              <w:jc w:val="center"/>
              <w:ind w:right="5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w w:val="98"/>
              </w:rPr>
              <w:t>18,000</w:t>
            </w:r>
          </w:p>
        </w:tc>
        <w:tc>
          <w:tcPr>
            <w:tcW w:w="0" w:type="dxa"/>
            <w:vAlign w:val="bottom"/>
          </w:tcPr>
          <w:p>
            <w:pPr>
              <w:spacing w:after="0"/>
              <w:rPr>
                <w:sz w:val="1"/>
                <w:szCs w:val="1"/>
                <w:color w:val="auto"/>
              </w:rPr>
            </w:pPr>
          </w:p>
        </w:tc>
      </w:tr>
    </w:tbl>
    <w:p>
      <w:pPr>
        <w:jc w:val="both"/>
        <w:ind w:left="340" w:hanging="332"/>
        <w:spacing w:after="0" w:line="269" w:lineRule="auto"/>
        <w:tabs>
          <w:tab w:leader="none" w:pos="340" w:val="left"/>
        </w:tabs>
        <w:numPr>
          <w:ilvl w:val="0"/>
          <w:numId w:val="49"/>
        </w:numPr>
        <w:rPr>
          <w:rFonts w:ascii="Arial" w:cs="Arial" w:eastAsia="Arial" w:hAnsi="Arial"/>
          <w:sz w:val="14"/>
          <w:szCs w:val="14"/>
          <w:color w:val="4D4D4F"/>
        </w:rPr>
      </w:pPr>
      <w:r>
        <w:rPr>
          <w:rFonts w:ascii="Arial" w:cs="Arial" w:eastAsia="Arial" w:hAnsi="Arial"/>
          <w:sz w:val="14"/>
          <w:szCs w:val="14"/>
          <w:color w:val="4D4D4F"/>
        </w:rPr>
        <w:t>The amounts shown represent the aggregate grant date fair value of stock awards granted in accordance with Financial Accounting Standards Board Accounting Standards Codification Topic 718, Compensation—Stock Compensation.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2019.</w:t>
      </w:r>
    </w:p>
    <w:p>
      <w:pPr>
        <w:ind w:left="340" w:hanging="332"/>
        <w:spacing w:after="0"/>
        <w:tabs>
          <w:tab w:leader="none" w:pos="340" w:val="left"/>
        </w:tabs>
        <w:numPr>
          <w:ilvl w:val="0"/>
          <w:numId w:val="49"/>
        </w:numPr>
        <w:rPr>
          <w:rFonts w:ascii="Arial" w:cs="Arial" w:eastAsia="Arial" w:hAnsi="Arial"/>
          <w:sz w:val="14"/>
          <w:szCs w:val="14"/>
          <w:color w:val="4D4D4F"/>
        </w:rPr>
      </w:pPr>
      <w:r>
        <w:rPr>
          <w:rFonts w:ascii="Arial" w:cs="Arial" w:eastAsia="Arial" w:hAnsi="Arial"/>
          <w:sz w:val="14"/>
          <w:szCs w:val="14"/>
          <w:color w:val="4D4D4F"/>
        </w:rPr>
        <w:t>Chair of a board committee during 2019.</w:t>
      </w:r>
    </w:p>
    <w:p>
      <w:pPr>
        <w:spacing w:after="0" w:line="105"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49"/>
        </w:numPr>
        <w:rPr>
          <w:rFonts w:ascii="Arial" w:cs="Arial" w:eastAsia="Arial" w:hAnsi="Arial"/>
          <w:sz w:val="14"/>
          <w:szCs w:val="14"/>
          <w:color w:val="4D4D4F"/>
        </w:rPr>
      </w:pPr>
      <w:r>
        <w:rPr>
          <w:rFonts w:ascii="Arial" w:cs="Arial" w:eastAsia="Arial" w:hAnsi="Arial"/>
          <w:sz w:val="14"/>
          <w:szCs w:val="14"/>
          <w:color w:val="4D4D4F"/>
        </w:rPr>
        <w:t>The amount shown consists of consulting fees paid pursuant to an Advisory Board Agreement entered into with Dr. Hu in May 2016. Under the Advisory Board Agreement, Dr. Hu agreed to serve as a member of our advisory board and to use commercially reasonable efforts to provide us with various advisory services for a term extending until May 2021.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4003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25"/>
          <w:szCs w:val="25"/>
          <w:b w:val="1"/>
          <w:bCs w:val="1"/>
          <w:color w:val="003E64"/>
        </w:rPr>
        <w:t xml:space="preserve"> — Election of Directors</w:t>
      </w:r>
    </w:p>
    <w:p>
      <w:pPr>
        <w:spacing w:after="0" w:line="2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595959"/>
        </w:rPr>
        <w:t>At the Annual Meeting, stockholders will elect the entire board of directors to serve for the ensuing year and until their successors are elected and qualified. The board has designated as nominees for election the six persons named below, each of whom currently serves as a director.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holders.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Qualifications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The board of directors has determined that, as a whole, it must have the right mix of characteristics, skills and diversity to provide effective oversight of our Company. T</w:t>
      </w:r>
      <w:r>
        <w:rPr>
          <w:rFonts w:ascii="Arial" w:cs="Arial" w:eastAsia="Arial" w:hAnsi="Arial"/>
          <w:sz w:val="18"/>
          <w:szCs w:val="18"/>
          <w:color w:val="4D4D4F"/>
        </w:rPr>
        <w:t>he nominating and governance committee has adopted Qualifications for Nomination to the board, a copy of</w:t>
      </w:r>
      <w:r>
        <w:rPr>
          <w:rFonts w:ascii="Arial" w:cs="Arial" w:eastAsia="Arial" w:hAnsi="Arial"/>
          <w:sz w:val="18"/>
          <w:szCs w:val="18"/>
          <w:color w:val="595959"/>
        </w:rPr>
        <w:t xml:space="preserve"> </w:t>
      </w:r>
      <w:r>
        <w:rPr>
          <w:rFonts w:ascii="Arial" w:cs="Arial" w:eastAsia="Arial" w:hAnsi="Arial"/>
          <w:sz w:val="18"/>
          <w:szCs w:val="18"/>
          <w:color w:val="4D4D4F"/>
        </w:rPr>
        <w:t xml:space="preserve">which is posted on our website at </w:t>
      </w:r>
      <w:r>
        <w:rPr>
          <w:rFonts w:ascii="Arial" w:cs="Arial" w:eastAsia="Arial" w:hAnsi="Arial"/>
          <w:sz w:val="18"/>
          <w:szCs w:val="18"/>
          <w:i w:val="1"/>
          <w:iCs w:val="1"/>
          <w:color w:val="4D4D4F"/>
        </w:rPr>
        <w:t>http://ir.acmrcsh.com/static-files/004a4a5a-21c9-4a24-9dc0-d3d55006cde6.</w:t>
      </w:r>
      <w:r>
        <w:rPr>
          <w:rFonts w:ascii="Arial" w:cs="Arial" w:eastAsia="Arial" w:hAnsi="Arial"/>
          <w:sz w:val="18"/>
          <w:szCs w:val="18"/>
          <w:color w:val="4D4D4F"/>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be of the highest ethical character and share the values of ACM as reflected in its Code of Conduct;</w:t>
      </w:r>
    </w:p>
    <w:p>
      <w:pPr>
        <w:spacing w:after="0" w:line="69" w:lineRule="exact"/>
        <w:rPr>
          <w:rFonts w:ascii="Arial" w:cs="Arial" w:eastAsia="Arial" w:hAnsi="Arial"/>
          <w:sz w:val="18"/>
          <w:szCs w:val="18"/>
          <w:color w:val="4D4D4F"/>
        </w:rPr>
      </w:pPr>
    </w:p>
    <w:p>
      <w:pPr>
        <w:ind w:left="340" w:hanging="332"/>
        <w:spacing w:after="0"/>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be highly accomplished in his or her field, with superior credentials and recognition;</w:t>
      </w:r>
    </w:p>
    <w:p>
      <w:pPr>
        <w:spacing w:after="0" w:line="49" w:lineRule="exact"/>
        <w:rPr>
          <w:rFonts w:ascii="Arial" w:cs="Arial" w:eastAsia="Arial" w:hAnsi="Arial"/>
          <w:sz w:val="18"/>
          <w:szCs w:val="18"/>
          <w:color w:val="4D4D4F"/>
        </w:rPr>
      </w:pPr>
    </w:p>
    <w:p>
      <w:pPr>
        <w:ind w:left="340" w:right="20" w:hanging="332"/>
        <w:spacing w:after="0" w:line="266" w:lineRule="auto"/>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have sound business judgment, be able to work eﬀectively with others, have suﬃcient time to devote to our aﬀairs, and be free from conflicts of interest; and</w:t>
      </w:r>
    </w:p>
    <w:p>
      <w:pPr>
        <w:ind w:left="340" w:hanging="332"/>
        <w:spacing w:after="0"/>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be independent of any particular constituency and able to represent all of our stockholders.</w:t>
      </w:r>
    </w:p>
    <w:p>
      <w:pPr>
        <w:spacing w:after="0" w:line="3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Identifying and Evaluating Nominees for Directors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595959"/>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Information Concerning Nominees for Election as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information appearing in the following table sets forth, for each nominee for election as a director, as of April 8, 2020:</w:t>
      </w:r>
    </w:p>
    <w:p>
      <w:pPr>
        <w:spacing w:after="0" w:line="1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the nominee’s professional experience for at least the past five years;</w:t>
      </w:r>
    </w:p>
    <w:p>
      <w:pPr>
        <w:spacing w:after="0" w:line="69"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the year in which the nominee first became one of our directors;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each committee of the board of directors on which the nominee currently serves;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the nominee’s age as of the record date for the Annual Meeting;</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the relevant skills the nominee possesses that qualify him or her for nomination to the board; and</w:t>
      </w:r>
    </w:p>
    <w:p>
      <w:pPr>
        <w:spacing w:after="0" w:line="49" w:lineRule="exact"/>
        <w:rPr>
          <w:rFonts w:ascii="Arial" w:cs="Arial" w:eastAsia="Arial" w:hAnsi="Arial"/>
          <w:sz w:val="18"/>
          <w:szCs w:val="18"/>
          <w:color w:val="4D4D4F"/>
        </w:rPr>
      </w:pPr>
    </w:p>
    <w:p>
      <w:pPr>
        <w:ind w:left="340" w:hanging="332"/>
        <w:spacing w:after="0" w:line="292" w:lineRule="auto"/>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directorships held by each nominee presently and at any time during the past five years at any public company or registered investment company.</w:t>
      </w:r>
    </w:p>
    <w:p>
      <w:pPr>
        <w:spacing w:after="0" w:line="2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595959"/>
        </w:rPr>
        <w:t>Zhengfan Yang and Yinan Xiang have been nominated in accordance with voting agreements with two of our stockholders. See “Corporate Governance—Director Nomination Rights.”</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595959"/>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25830" cy="1225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5830" cy="1225550"/>
                    </a:xfrm>
                    <a:prstGeom prst="rect">
                      <a:avLst/>
                    </a:prstGeom>
                    <a:noFill/>
                  </pic:spPr>
                </pic:pic>
              </a:graphicData>
            </a:graphic>
          </wp:anchor>
        </w:drawing>
      </w:r>
    </w:p>
    <w:p>
      <w:pPr>
        <w:spacing w:after="0" w:line="92"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Age: 58</w:t>
      </w:r>
    </w:p>
    <w:p>
      <w:pPr>
        <w:spacing w:after="0" w:line="77"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ACM Board Service</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 Tenure: 22 years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line="289" w:lineRule="auto"/>
        <w:tabs>
          <w:tab w:leader="none" w:pos="340" w:val="left"/>
        </w:tabs>
        <w:numPr>
          <w:ilvl w:val="0"/>
          <w:numId w:val="52"/>
        </w:numPr>
        <w:rPr>
          <w:rFonts w:ascii="Arial" w:cs="Arial" w:eastAsia="Arial" w:hAnsi="Arial"/>
          <w:sz w:val="18"/>
          <w:szCs w:val="18"/>
          <w:color w:val="595959"/>
        </w:rPr>
      </w:pPr>
      <w:r>
        <w:rPr>
          <w:rFonts w:ascii="Arial" w:cs="Arial" w:eastAsia="Arial" w:hAnsi="Arial"/>
          <w:sz w:val="18"/>
          <w:szCs w:val="18"/>
          <w:color w:val="595959"/>
        </w:rPr>
        <w:t>Founder, Chief Executive Oﬃcer, President and one of our directors since 1998.</w:t>
      </w:r>
    </w:p>
    <w:p>
      <w:pPr>
        <w:spacing w:after="0" w:line="1" w:lineRule="exact"/>
        <w:rPr>
          <w:rFonts w:ascii="Arial" w:cs="Arial" w:eastAsia="Arial" w:hAnsi="Arial"/>
          <w:sz w:val="18"/>
          <w:szCs w:val="18"/>
          <w:color w:val="595959"/>
        </w:rPr>
      </w:pPr>
    </w:p>
    <w:p>
      <w:pPr>
        <w:ind w:left="340" w:hanging="332"/>
        <w:spacing w:after="0"/>
        <w:tabs>
          <w:tab w:leader="none" w:pos="340" w:val="left"/>
        </w:tabs>
        <w:numPr>
          <w:ilvl w:val="0"/>
          <w:numId w:val="52"/>
        </w:numPr>
        <w:rPr>
          <w:rFonts w:ascii="Arial" w:cs="Arial" w:eastAsia="Arial" w:hAnsi="Arial"/>
          <w:sz w:val="18"/>
          <w:szCs w:val="18"/>
          <w:color w:val="595959"/>
        </w:rPr>
      </w:pPr>
      <w:r>
        <w:rPr>
          <w:rFonts w:ascii="Arial" w:cs="Arial" w:eastAsia="Arial" w:hAnsi="Arial"/>
          <w:sz w:val="18"/>
          <w:szCs w:val="18"/>
          <w:color w:val="595959"/>
        </w:rPr>
        <w:t>Inventor of stress-free Cu polishing technology.</w:t>
      </w:r>
    </w:p>
    <w:p>
      <w:pPr>
        <w:spacing w:after="0" w:line="136" w:lineRule="exact"/>
        <w:rPr>
          <w:rFonts w:ascii="Arial" w:cs="Arial" w:eastAsia="Arial" w:hAnsi="Arial"/>
          <w:sz w:val="18"/>
          <w:szCs w:val="18"/>
          <w:color w:val="595959"/>
        </w:rPr>
      </w:pPr>
    </w:p>
    <w:p>
      <w:pPr>
        <w:ind w:left="340" w:hanging="332"/>
        <w:spacing w:after="0" w:line="246" w:lineRule="auto"/>
        <w:tabs>
          <w:tab w:leader="none" w:pos="340" w:val="left"/>
        </w:tabs>
        <w:numPr>
          <w:ilvl w:val="0"/>
          <w:numId w:val="52"/>
        </w:numPr>
        <w:rPr>
          <w:rFonts w:ascii="Arial" w:cs="Arial" w:eastAsia="Arial" w:hAnsi="Arial"/>
          <w:sz w:val="18"/>
          <w:szCs w:val="18"/>
          <w:color w:val="595959"/>
        </w:rPr>
      </w:pPr>
      <w:r>
        <w:rPr>
          <w:rFonts w:ascii="Arial" w:cs="Arial" w:eastAsia="Arial" w:hAnsi="Arial"/>
          <w:sz w:val="18"/>
          <w:szCs w:val="18"/>
          <w:color w:val="595959"/>
        </w:rPr>
        <w:t>Holds more than 100 patents in semiconductor equipment and process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hanging="332"/>
        <w:spacing w:after="0"/>
        <w:tabs>
          <w:tab w:leader="none" w:pos="340" w:val="left"/>
        </w:tabs>
        <w:numPr>
          <w:ilvl w:val="0"/>
          <w:numId w:val="53"/>
        </w:numPr>
        <w:rPr>
          <w:rFonts w:ascii="Arial" w:cs="Arial" w:eastAsia="Arial" w:hAnsi="Arial"/>
          <w:sz w:val="18"/>
          <w:szCs w:val="18"/>
          <w:color w:val="4D4D4F"/>
        </w:rPr>
      </w:pPr>
      <w:r>
        <w:rPr>
          <w:rFonts w:ascii="Arial" w:cs="Arial" w:eastAsia="Arial" w:hAnsi="Arial"/>
          <w:sz w:val="18"/>
          <w:szCs w:val="18"/>
          <w:color w:val="595959"/>
        </w:rPr>
        <w:t>Received a Ph.D. and Master of Engineering in Precision Engineering from Osaka University and a Bachelor of Science in Precision Instruments from Tsinghua University.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2"/>
        <w:spacing w:after="0"/>
        <w:tabs>
          <w:tab w:leader="none" w:pos="340" w:val="left"/>
        </w:tabs>
        <w:numPr>
          <w:ilvl w:val="0"/>
          <w:numId w:val="54"/>
        </w:numPr>
        <w:rPr>
          <w:rFonts w:ascii="Arial" w:cs="Arial" w:eastAsia="Arial" w:hAnsi="Arial"/>
          <w:sz w:val="18"/>
          <w:szCs w:val="18"/>
          <w:color w:val="595959"/>
        </w:rPr>
      </w:pPr>
      <w:r>
        <w:rPr>
          <w:rFonts w:ascii="Arial" w:cs="Arial" w:eastAsia="Arial" w:hAnsi="Arial"/>
          <w:sz w:val="18"/>
          <w:szCs w:val="18"/>
          <w:color w:val="595959"/>
        </w:rPr>
        <w:t>Innovation</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54"/>
        </w:numPr>
        <w:rPr>
          <w:rFonts w:ascii="Arial" w:cs="Arial" w:eastAsia="Arial" w:hAnsi="Arial"/>
          <w:sz w:val="18"/>
          <w:szCs w:val="18"/>
          <w:color w:val="4D4D4F"/>
        </w:rPr>
      </w:pPr>
      <w:r>
        <w:rPr>
          <w:rFonts w:ascii="Arial" w:cs="Arial" w:eastAsia="Arial" w:hAnsi="Arial"/>
          <w:sz w:val="18"/>
          <w:szCs w:val="18"/>
          <w:color w:val="595959"/>
        </w:rPr>
        <w:t>Leadership</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595959"/>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08685" cy="1225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685" cy="1225550"/>
                    </a:xfrm>
                    <a:prstGeom prst="rect">
                      <a:avLst/>
                    </a:prstGeom>
                    <a:noFill/>
                  </pic:spPr>
                </pic:pic>
              </a:graphicData>
            </a:graphic>
          </wp:anchor>
        </w:drawing>
      </w:r>
    </w:p>
    <w:p>
      <w:pPr>
        <w:spacing w:after="0" w:line="52"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Age: 70</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ACM Board Service</w:t>
      </w:r>
    </w:p>
    <w:p>
      <w:pPr>
        <w:spacing w:after="0" w:line="31" w:lineRule="exact"/>
        <w:rPr>
          <w:sz w:val="20"/>
          <w:szCs w:val="20"/>
          <w:color w:val="auto"/>
        </w:rPr>
      </w:pPr>
    </w:p>
    <w:p>
      <w:pPr>
        <w:ind w:left="2020" w:hanging="175"/>
        <w:spacing w:after="0"/>
        <w:tabs>
          <w:tab w:leader="none" w:pos="2020" w:val="left"/>
        </w:tabs>
        <w:numPr>
          <w:ilvl w:val="0"/>
          <w:numId w:val="55"/>
        </w:numPr>
        <w:rPr>
          <w:rFonts w:ascii="Arial" w:cs="Arial" w:eastAsia="Arial" w:hAnsi="Arial"/>
          <w:sz w:val="18"/>
          <w:szCs w:val="18"/>
          <w:color w:val="595959"/>
        </w:rPr>
      </w:pPr>
      <w:r>
        <w:rPr>
          <w:rFonts w:ascii="Arial" w:cs="Arial" w:eastAsia="Arial" w:hAnsi="Arial"/>
          <w:sz w:val="18"/>
          <w:szCs w:val="18"/>
          <w:color w:val="595959"/>
        </w:rPr>
        <w:t>Tenure: 17 years (2003)</w:t>
      </w:r>
    </w:p>
    <w:p>
      <w:pPr>
        <w:ind w:left="2020" w:hanging="175"/>
        <w:spacing w:after="0" w:line="234" w:lineRule="auto"/>
        <w:tabs>
          <w:tab w:leader="none" w:pos="2020" w:val="left"/>
        </w:tabs>
        <w:numPr>
          <w:ilvl w:val="0"/>
          <w:numId w:val="55"/>
        </w:numPr>
        <w:rPr>
          <w:rFonts w:ascii="Arial" w:cs="Arial" w:eastAsia="Arial" w:hAnsi="Arial"/>
          <w:sz w:val="18"/>
          <w:szCs w:val="18"/>
          <w:color w:val="595959"/>
        </w:rPr>
      </w:pPr>
      <w:r>
        <w:rPr>
          <w:rFonts w:ascii="Arial" w:cs="Arial" w:eastAsia="Arial" w:hAnsi="Arial"/>
          <w:sz w:val="18"/>
          <w:szCs w:val="18"/>
          <w:color w:val="595959"/>
        </w:rPr>
        <w:t>Committees:</w:t>
      </w:r>
    </w:p>
    <w:p>
      <w:pPr>
        <w:ind w:left="2380" w:hanging="211"/>
        <w:spacing w:after="0" w:line="234" w:lineRule="auto"/>
        <w:tabs>
          <w:tab w:leader="none" w:pos="2380" w:val="left"/>
        </w:tabs>
        <w:numPr>
          <w:ilvl w:val="1"/>
          <w:numId w:val="55"/>
        </w:numPr>
        <w:rPr>
          <w:rFonts w:ascii="Arial" w:cs="Arial" w:eastAsia="Arial" w:hAnsi="Arial"/>
          <w:sz w:val="14"/>
          <w:szCs w:val="14"/>
          <w:color w:val="595959"/>
        </w:rPr>
      </w:pPr>
      <w:r>
        <w:rPr>
          <w:rFonts w:ascii="Arial" w:cs="Arial" w:eastAsia="Arial" w:hAnsi="Arial"/>
          <w:sz w:val="18"/>
          <w:szCs w:val="18"/>
          <w:color w:val="595959"/>
        </w:rPr>
        <w:t>Audit</w:t>
      </w:r>
    </w:p>
    <w:p>
      <w:pPr>
        <w:ind w:left="2380" w:hanging="211"/>
        <w:spacing w:after="0"/>
        <w:tabs>
          <w:tab w:leader="none" w:pos="2380" w:val="left"/>
        </w:tabs>
        <w:numPr>
          <w:ilvl w:val="1"/>
          <w:numId w:val="55"/>
        </w:numPr>
        <w:rPr>
          <w:rFonts w:ascii="Arial" w:cs="Arial" w:eastAsia="Arial" w:hAnsi="Arial"/>
          <w:sz w:val="14"/>
          <w:szCs w:val="14"/>
          <w:color w:val="595959"/>
        </w:rPr>
      </w:pPr>
      <w:r>
        <w:rPr>
          <w:rFonts w:ascii="Arial" w:cs="Arial" w:eastAsia="Arial" w:hAnsi="Arial"/>
          <w:sz w:val="18"/>
          <w:szCs w:val="18"/>
          <w:color w:val="595959"/>
        </w:rPr>
        <w:t>Compensation (Chair)</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70C0"/>
        </w:rPr>
        <w:t>INDEPENDENT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Professional Experience</w:t>
      </w:r>
    </w:p>
    <w:p>
      <w:pPr>
        <w:spacing w:after="0" w:line="79" w:lineRule="exact"/>
        <w:rPr>
          <w:sz w:val="20"/>
          <w:szCs w:val="20"/>
          <w:color w:val="auto"/>
        </w:rPr>
      </w:pPr>
    </w:p>
    <w:p>
      <w:pPr>
        <w:ind w:left="300" w:hanging="291"/>
        <w:spacing w:after="0"/>
        <w:tabs>
          <w:tab w:leader="none" w:pos="300" w:val="left"/>
        </w:tabs>
        <w:numPr>
          <w:ilvl w:val="0"/>
          <w:numId w:val="56"/>
        </w:numPr>
        <w:rPr>
          <w:rFonts w:ascii="Arial" w:cs="Arial" w:eastAsia="Arial" w:hAnsi="Arial"/>
          <w:sz w:val="18"/>
          <w:szCs w:val="18"/>
          <w:color w:val="595959"/>
        </w:rPr>
      </w:pPr>
      <w:r>
        <w:rPr>
          <w:rFonts w:ascii="Arial" w:cs="Arial" w:eastAsia="Arial" w:hAnsi="Arial"/>
          <w:sz w:val="18"/>
          <w:szCs w:val="18"/>
          <w:color w:val="595959"/>
        </w:rPr>
        <w:t>Served as one of our directors since 2003.</w:t>
      </w:r>
    </w:p>
    <w:p>
      <w:pPr>
        <w:spacing w:after="0" w:line="90" w:lineRule="exact"/>
        <w:rPr>
          <w:rFonts w:ascii="Arial" w:cs="Arial" w:eastAsia="Arial" w:hAnsi="Arial"/>
          <w:sz w:val="18"/>
          <w:szCs w:val="18"/>
          <w:color w:val="595959"/>
        </w:rPr>
      </w:pPr>
    </w:p>
    <w:p>
      <w:pPr>
        <w:ind w:left="300" w:hanging="291"/>
        <w:spacing w:after="0" w:line="316" w:lineRule="auto"/>
        <w:tabs>
          <w:tab w:leader="none" w:pos="300" w:val="left"/>
        </w:tabs>
        <w:numPr>
          <w:ilvl w:val="0"/>
          <w:numId w:val="56"/>
        </w:numPr>
        <w:rPr>
          <w:rFonts w:ascii="Arial" w:cs="Arial" w:eastAsia="Arial" w:hAnsi="Arial"/>
          <w:sz w:val="18"/>
          <w:szCs w:val="18"/>
          <w:color w:val="595959"/>
        </w:rPr>
      </w:pPr>
      <w:r>
        <w:rPr>
          <w:rFonts w:ascii="Arial" w:cs="Arial" w:eastAsia="Arial" w:hAnsi="Arial"/>
          <w:sz w:val="18"/>
          <w:szCs w:val="18"/>
          <w:color w:val="595959"/>
        </w:rPr>
        <w:t>Former President of Champion Microelectronic Corp., a public company in Taiwan, from 2008 through 2018.</w:t>
      </w:r>
    </w:p>
    <w:p>
      <w:pPr>
        <w:ind w:left="300" w:right="20" w:hanging="291"/>
        <w:spacing w:after="0" w:line="246" w:lineRule="auto"/>
        <w:tabs>
          <w:tab w:leader="none" w:pos="300" w:val="left"/>
        </w:tabs>
        <w:numPr>
          <w:ilvl w:val="0"/>
          <w:numId w:val="56"/>
        </w:numPr>
        <w:rPr>
          <w:rFonts w:ascii="Arial" w:cs="Arial" w:eastAsia="Arial" w:hAnsi="Arial"/>
          <w:sz w:val="18"/>
          <w:szCs w:val="18"/>
          <w:color w:val="595959"/>
        </w:rPr>
      </w:pPr>
      <w:r>
        <w:rPr>
          <w:rFonts w:ascii="Arial" w:cs="Arial" w:eastAsia="Arial" w:hAnsi="Arial"/>
          <w:sz w:val="18"/>
          <w:szCs w:val="18"/>
          <w:color w:val="595959"/>
        </w:rPr>
        <w:t>Former Senior Director of Intel Corporation, a company where he was employed from 1983 to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right="20" w:hanging="331"/>
        <w:spacing w:after="0" w:line="238" w:lineRule="auto"/>
        <w:tabs>
          <w:tab w:leader="none" w:pos="340" w:val="left"/>
        </w:tabs>
        <w:numPr>
          <w:ilvl w:val="0"/>
          <w:numId w:val="57"/>
        </w:numPr>
        <w:rPr>
          <w:rFonts w:ascii="Arial" w:cs="Arial" w:eastAsia="Arial" w:hAnsi="Arial"/>
          <w:sz w:val="18"/>
          <w:szCs w:val="18"/>
          <w:color w:val="595959"/>
        </w:rPr>
      </w:pPr>
      <w:r>
        <w:rPr>
          <w:rFonts w:ascii="Arial" w:cs="Arial" w:eastAsia="Arial" w:hAnsi="Arial"/>
          <w:sz w:val="18"/>
          <w:szCs w:val="18"/>
          <w:color w:val="595959"/>
        </w:rPr>
        <w:t>Received a Ph.D. in material science and engineering from Stanford University, a Master of Science in physics from the University of Washington and a Bachelor of Science in physics from National Taiwan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1"/>
        <w:spacing w:after="0"/>
        <w:tabs>
          <w:tab w:leader="none" w:pos="340" w:val="left"/>
        </w:tabs>
        <w:numPr>
          <w:ilvl w:val="0"/>
          <w:numId w:val="58"/>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1"/>
        <w:spacing w:after="0"/>
        <w:tabs>
          <w:tab w:leader="none" w:pos="340" w:val="left"/>
        </w:tabs>
        <w:numPr>
          <w:ilvl w:val="0"/>
          <w:numId w:val="58"/>
        </w:numPr>
        <w:rPr>
          <w:rFonts w:ascii="Arial" w:cs="Arial" w:eastAsia="Arial" w:hAnsi="Arial"/>
          <w:sz w:val="18"/>
          <w:szCs w:val="18"/>
          <w:color w:val="595959"/>
        </w:rPr>
      </w:pPr>
      <w:r>
        <w:rPr>
          <w:rFonts w:ascii="Arial" w:cs="Arial" w:eastAsia="Arial" w:hAnsi="Arial"/>
          <w:sz w:val="18"/>
          <w:szCs w:val="18"/>
          <w:color w:val="595959"/>
        </w:rPr>
        <w:t>Global</w:t>
      </w:r>
    </w:p>
    <w:p>
      <w:pPr>
        <w:spacing w:after="0" w:line="136" w:lineRule="exact"/>
        <w:rPr>
          <w:rFonts w:ascii="Arial" w:cs="Arial" w:eastAsia="Arial" w:hAnsi="Arial"/>
          <w:sz w:val="18"/>
          <w:szCs w:val="18"/>
          <w:color w:val="595959"/>
        </w:rPr>
      </w:pPr>
    </w:p>
    <w:p>
      <w:pPr>
        <w:ind w:left="340" w:hanging="331"/>
        <w:spacing w:after="0"/>
        <w:tabs>
          <w:tab w:leader="none" w:pos="340" w:val="left"/>
        </w:tabs>
        <w:numPr>
          <w:ilvl w:val="0"/>
          <w:numId w:val="58"/>
        </w:numPr>
        <w:rPr>
          <w:rFonts w:ascii="Arial" w:cs="Arial" w:eastAsia="Arial" w:hAnsi="Arial"/>
          <w:sz w:val="18"/>
          <w:szCs w:val="18"/>
          <w:color w:val="595959"/>
        </w:rPr>
      </w:pPr>
      <w:r>
        <w:rPr>
          <w:rFonts w:ascii="Arial" w:cs="Arial" w:eastAsia="Arial" w:hAnsi="Arial"/>
          <w:sz w:val="18"/>
          <w:szCs w:val="18"/>
          <w:color w:val="595959"/>
        </w:rPr>
        <w:t>Leadership</w:t>
      </w:r>
    </w:p>
    <w:p>
      <w:pPr>
        <w:spacing w:after="0" w:line="388" w:lineRule="exact"/>
        <w:rPr>
          <w:sz w:val="20"/>
          <w:szCs w:val="20"/>
          <w:color w:val="auto"/>
        </w:rPr>
      </w:pPr>
    </w:p>
    <w:p>
      <w:pPr>
        <w:sectPr>
          <w:pgSz w:w="11900" w:h="16838" w:orient="portrait"/>
          <w:cols w:equalWidth="0" w:num="2">
            <w:col w:w="5380" w:space="460"/>
            <w:col w:w="5400"/>
          </w:cols>
          <w:pgMar w:left="320" w:top="121" w:right="339" w:bottom="1440" w:gutter="0" w:footer="0" w:header="0"/>
          <w:type w:val="continuous"/>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595959"/>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99795" cy="1208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9795" cy="1208405"/>
                    </a:xfrm>
                    <a:prstGeom prst="rect">
                      <a:avLst/>
                    </a:prstGeom>
                    <a:noFill/>
                  </pic:spPr>
                </pic:pic>
              </a:graphicData>
            </a:graphic>
          </wp:anchor>
        </w:drawing>
      </w:r>
    </w:p>
    <w:p>
      <w:pPr>
        <w:spacing w:after="0" w:line="52"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Age: 72</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ACM Board Service</w:t>
      </w:r>
    </w:p>
    <w:p>
      <w:pPr>
        <w:spacing w:after="0" w:line="31" w:lineRule="exact"/>
        <w:rPr>
          <w:sz w:val="20"/>
          <w:szCs w:val="20"/>
          <w:color w:val="auto"/>
        </w:rPr>
      </w:pPr>
    </w:p>
    <w:p>
      <w:pPr>
        <w:ind w:left="2020" w:hanging="176"/>
        <w:spacing w:after="0"/>
        <w:tabs>
          <w:tab w:leader="none" w:pos="2020" w:val="left"/>
        </w:tabs>
        <w:numPr>
          <w:ilvl w:val="0"/>
          <w:numId w:val="59"/>
        </w:numPr>
        <w:rPr>
          <w:rFonts w:ascii="Arial" w:cs="Arial" w:eastAsia="Arial" w:hAnsi="Arial"/>
          <w:sz w:val="18"/>
          <w:szCs w:val="18"/>
          <w:color w:val="595959"/>
        </w:rPr>
      </w:pPr>
      <w:r>
        <w:rPr>
          <w:rFonts w:ascii="Arial" w:cs="Arial" w:eastAsia="Arial" w:hAnsi="Arial"/>
          <w:sz w:val="18"/>
          <w:szCs w:val="18"/>
          <w:color w:val="595959"/>
        </w:rPr>
        <w:t>Tenure: 3 years (2017)</w:t>
      </w:r>
    </w:p>
    <w:p>
      <w:pPr>
        <w:ind w:left="2160" w:right="160" w:hanging="316"/>
        <w:spacing w:after="0" w:line="246" w:lineRule="auto"/>
        <w:tabs>
          <w:tab w:leader="none" w:pos="2019" w:val="left"/>
        </w:tabs>
        <w:numPr>
          <w:ilvl w:val="0"/>
          <w:numId w:val="59"/>
        </w:numPr>
        <w:rPr>
          <w:rFonts w:ascii="Arial" w:cs="Arial" w:eastAsia="Arial" w:hAnsi="Arial"/>
          <w:sz w:val="18"/>
          <w:szCs w:val="18"/>
          <w:color w:val="595959"/>
        </w:rPr>
      </w:pPr>
      <w:r>
        <w:rPr>
          <w:rFonts w:ascii="Arial" w:cs="Arial" w:eastAsia="Arial" w:hAnsi="Arial"/>
          <w:sz w:val="18"/>
          <w:szCs w:val="18"/>
          <w:color w:val="595959"/>
        </w:rPr>
        <w:t>Nominating and Governance Committee (Chair)</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70C0"/>
        </w:rPr>
        <w:t>INDEPENDENT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2017.</w:t>
      </w:r>
    </w:p>
    <w:p>
      <w:pPr>
        <w:spacing w:after="0" w:line="90" w:lineRule="exact"/>
        <w:rPr>
          <w:rFonts w:ascii="Arial" w:cs="Arial" w:eastAsia="Arial" w:hAnsi="Arial"/>
          <w:sz w:val="18"/>
          <w:szCs w:val="18"/>
          <w:color w:val="595959"/>
        </w:rPr>
      </w:pPr>
    </w:p>
    <w:p>
      <w:pPr>
        <w:ind w:left="340" w:hanging="332"/>
        <w:spacing w:after="0" w:line="281"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Served as a member of our board of advisors since May 2016.</w:t>
      </w:r>
    </w:p>
    <w:p>
      <w:pPr>
        <w:spacing w:after="0" w:line="257" w:lineRule="exact"/>
        <w:rPr>
          <w:rFonts w:ascii="Arial" w:cs="Arial" w:eastAsia="Arial" w:hAnsi="Arial"/>
          <w:sz w:val="18"/>
          <w:szCs w:val="18"/>
          <w:color w:val="595959"/>
        </w:rPr>
      </w:pPr>
    </w:p>
    <w:p>
      <w:pPr>
        <w:jc w:val="both"/>
        <w:ind w:left="340" w:right="20" w:hanging="332"/>
        <w:spacing w:after="0" w:line="291"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Professor in electrical engineering and computer sciences at the University of California, Berkeley since 1976.</w:t>
      </w:r>
    </w:p>
    <w:p>
      <w:pPr>
        <w:spacing w:after="0" w:line="200" w:lineRule="exact"/>
        <w:rPr>
          <w:rFonts w:ascii="Arial" w:cs="Arial" w:eastAsia="Arial" w:hAnsi="Arial"/>
          <w:sz w:val="18"/>
          <w:szCs w:val="18"/>
          <w:color w:val="595959"/>
        </w:rPr>
      </w:pPr>
    </w:p>
    <w:p>
      <w:pPr>
        <w:jc w:val="both"/>
        <w:ind w:left="340" w:hanging="332"/>
        <w:spacing w:after="0" w:line="267"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Taiwan Semiconductor Manufacturing Company Distinguished Chair Professor Emeritus and Professor of the Graduate School at the University of California, Berkeley since 2010.</w:t>
      </w:r>
    </w:p>
    <w:p>
      <w:pPr>
        <w:spacing w:after="0" w:line="213" w:lineRule="exact"/>
        <w:rPr>
          <w:rFonts w:ascii="Arial" w:cs="Arial" w:eastAsia="Arial" w:hAnsi="Arial"/>
          <w:sz w:val="18"/>
          <w:szCs w:val="18"/>
          <w:color w:val="595959"/>
        </w:rPr>
      </w:pPr>
    </w:p>
    <w:p>
      <w:pPr>
        <w:ind w:left="340" w:hanging="332"/>
        <w:spacing w:after="0"/>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Developed FinFet in 1999.</w:t>
      </w:r>
    </w:p>
    <w:p>
      <w:pPr>
        <w:spacing w:after="0" w:line="90" w:lineRule="exact"/>
        <w:rPr>
          <w:rFonts w:ascii="Arial" w:cs="Arial" w:eastAsia="Arial" w:hAnsi="Arial"/>
          <w:sz w:val="18"/>
          <w:szCs w:val="18"/>
          <w:color w:val="595959"/>
        </w:rPr>
      </w:pPr>
    </w:p>
    <w:p>
      <w:pPr>
        <w:jc w:val="both"/>
        <w:ind w:left="340" w:hanging="332"/>
        <w:spacing w:after="0" w:line="271"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Served as the Chief Technology Oﬃcer of Taiwan Semiconductor Manufacturing Company Ltd. from 2001 to 2007.</w:t>
      </w:r>
    </w:p>
    <w:p>
      <w:pPr>
        <w:jc w:val="both"/>
        <w:ind w:left="340" w:right="20" w:hanging="332"/>
        <w:spacing w:after="0" w:line="278"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Member of the U.S. National Academy of Engineering and the Chinese Academy of Sciences, and Taiwan’s Academia Sinica.</w:t>
      </w:r>
    </w:p>
    <w:p>
      <w:pPr>
        <w:spacing w:after="0" w:line="28" w:lineRule="exact"/>
        <w:rPr>
          <w:rFonts w:ascii="Arial" w:cs="Arial" w:eastAsia="Arial" w:hAnsi="Arial"/>
          <w:sz w:val="18"/>
          <w:szCs w:val="18"/>
          <w:color w:val="595959"/>
        </w:rPr>
      </w:pPr>
    </w:p>
    <w:p>
      <w:pPr>
        <w:jc w:val="both"/>
        <w:ind w:left="340" w:hanging="332"/>
        <w:spacing w:after="0" w:line="238" w:lineRule="auto"/>
        <w:tabs>
          <w:tab w:leader="none" w:pos="340" w:val="left"/>
        </w:tabs>
        <w:numPr>
          <w:ilvl w:val="0"/>
          <w:numId w:val="60"/>
        </w:numPr>
        <w:rPr>
          <w:rFonts w:ascii="Arial" w:cs="Arial" w:eastAsia="Arial" w:hAnsi="Arial"/>
          <w:sz w:val="18"/>
          <w:szCs w:val="18"/>
          <w:color w:val="595959"/>
        </w:rPr>
      </w:pPr>
      <w:r>
        <w:rPr>
          <w:rFonts w:ascii="Arial" w:cs="Arial" w:eastAsia="Arial" w:hAnsi="Arial"/>
          <w:sz w:val="18"/>
          <w:szCs w:val="18"/>
          <w:color w:val="595959"/>
        </w:rPr>
        <w:t>Received a Master of Science degree and Ph.D. from the University of California, Berkeley and a Bachelor of Science degree from National Taiwan University, all in electrical engineering.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595959"/>
        </w:rPr>
      </w:pPr>
      <w:r>
        <w:rPr>
          <w:rFonts w:ascii="Arial" w:cs="Arial" w:eastAsia="Arial" w:hAnsi="Arial"/>
          <w:sz w:val="18"/>
          <w:szCs w:val="18"/>
          <w:color w:val="595959"/>
        </w:rPr>
        <w:t>Innovation</w:t>
      </w:r>
    </w:p>
    <w:p>
      <w:pPr>
        <w:spacing w:after="0" w:line="90" w:lineRule="exact"/>
        <w:rPr>
          <w:rFonts w:ascii="Arial" w:cs="Arial" w:eastAsia="Arial" w:hAnsi="Arial"/>
          <w:sz w:val="18"/>
          <w:szCs w:val="18"/>
          <w:color w:val="595959"/>
        </w:rPr>
      </w:pPr>
    </w:p>
    <w:p>
      <w:pPr>
        <w:ind w:left="340" w:hanging="332"/>
        <w:spacing w:after="0"/>
        <w:tabs>
          <w:tab w:leader="none" w:pos="340" w:val="left"/>
        </w:tabs>
        <w:numPr>
          <w:ilvl w:val="0"/>
          <w:numId w:val="61"/>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61"/>
        </w:numPr>
        <w:rPr>
          <w:rFonts w:ascii="Arial" w:cs="Arial" w:eastAsia="Arial" w:hAnsi="Arial"/>
          <w:sz w:val="18"/>
          <w:szCs w:val="18"/>
          <w:color w:val="595959"/>
        </w:rPr>
      </w:pPr>
      <w:r>
        <w:rPr>
          <w:rFonts w:ascii="Arial" w:cs="Arial" w:eastAsia="Arial" w:hAnsi="Arial"/>
          <w:sz w:val="18"/>
          <w:szCs w:val="18"/>
          <w:color w:val="595959"/>
        </w:rPr>
        <w:t>Education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Other Public Board Service</w:t>
      </w:r>
    </w:p>
    <w:p>
      <w:pPr>
        <w:spacing w:after="0" w:line="79" w:lineRule="exact"/>
        <w:rPr>
          <w:sz w:val="20"/>
          <w:szCs w:val="20"/>
          <w:color w:val="auto"/>
        </w:rPr>
      </w:pPr>
    </w:p>
    <w:p>
      <w:pPr>
        <w:spacing w:after="0"/>
        <w:tabs>
          <w:tab w:leader="none" w:pos="260" w:val="left"/>
          <w:tab w:leader="none" w:pos="2140" w:val="left"/>
        </w:tabs>
        <w:rPr>
          <w:sz w:val="20"/>
          <w:szCs w:val="20"/>
          <w:color w:val="auto"/>
        </w:rPr>
      </w:pPr>
      <w:r>
        <w:rPr>
          <w:rFonts w:ascii="Arial" w:cs="Arial" w:eastAsia="Arial" w:hAnsi="Arial"/>
          <w:sz w:val="18"/>
          <w:szCs w:val="18"/>
          <w:color w:val="595959"/>
        </w:rPr>
        <w:t>•</w:t>
      </w:r>
      <w:r>
        <w:rPr>
          <w:sz w:val="20"/>
          <w:szCs w:val="20"/>
          <w:color w:val="auto"/>
        </w:rPr>
        <w:tab/>
      </w:r>
      <w:r>
        <w:rPr>
          <w:rFonts w:ascii="Arial" w:cs="Arial" w:eastAsia="Arial" w:hAnsi="Arial"/>
          <w:sz w:val="18"/>
          <w:szCs w:val="18"/>
          <w:color w:val="595959"/>
        </w:rPr>
        <w:t>Ambarella, Inc.</w:t>
      </w:r>
      <w:r>
        <w:rPr>
          <w:sz w:val="20"/>
          <w:szCs w:val="20"/>
          <w:color w:val="auto"/>
        </w:rPr>
        <w:tab/>
      </w:r>
      <w:r>
        <w:rPr>
          <w:rFonts w:ascii="Arial" w:cs="Arial" w:eastAsia="Arial" w:hAnsi="Arial"/>
          <w:sz w:val="17"/>
          <w:szCs w:val="17"/>
          <w:color w:val="595959"/>
        </w:rPr>
        <w:t>2010-present</w:t>
      </w:r>
    </w:p>
    <w:p>
      <w:pPr>
        <w:spacing w:after="0" w:line="136" w:lineRule="exact"/>
        <w:rPr>
          <w:sz w:val="20"/>
          <w:szCs w:val="20"/>
          <w:color w:val="auto"/>
        </w:rPr>
      </w:pPr>
    </w:p>
    <w:p>
      <w:pPr>
        <w:spacing w:after="0"/>
        <w:tabs>
          <w:tab w:leader="none" w:pos="260" w:val="left"/>
          <w:tab w:leader="none" w:pos="2140" w:val="left"/>
        </w:tabs>
        <w:rPr>
          <w:sz w:val="20"/>
          <w:szCs w:val="20"/>
          <w:color w:val="auto"/>
        </w:rPr>
      </w:pPr>
      <w:r>
        <w:rPr>
          <w:rFonts w:ascii="Arial" w:cs="Arial" w:eastAsia="Arial" w:hAnsi="Arial"/>
          <w:sz w:val="18"/>
          <w:szCs w:val="18"/>
          <w:color w:val="595959"/>
        </w:rPr>
        <w:t>•</w:t>
        <w:tab/>
        <w:t>Inphi Corporation</w:t>
      </w:r>
      <w:r>
        <w:rPr>
          <w:sz w:val="20"/>
          <w:szCs w:val="20"/>
          <w:color w:val="auto"/>
        </w:rPr>
        <w:tab/>
      </w:r>
      <w:r>
        <w:rPr>
          <w:rFonts w:ascii="Arial" w:cs="Arial" w:eastAsia="Arial" w:hAnsi="Arial"/>
          <w:sz w:val="17"/>
          <w:szCs w:val="17"/>
          <w:color w:val="595959"/>
        </w:rPr>
        <w:t>2011-present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595959"/>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-99695</wp:posOffset>
            </wp:positionV>
            <wp:extent cx="925830" cy="1234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5830" cy="1234440"/>
                    </a:xfrm>
                    <a:prstGeom prst="rect">
                      <a:avLst/>
                    </a:prstGeom>
                    <a:noFill/>
                  </pic:spPr>
                </pic:pic>
              </a:graphicData>
            </a:graphic>
          </wp:anchor>
        </w:drawing>
      </w:r>
    </w:p>
    <w:p>
      <w:pPr>
        <w:spacing w:after="0" w:line="20" w:lineRule="exact"/>
        <w:rPr>
          <w:sz w:val="20"/>
          <w:szCs w:val="20"/>
          <w:color w:val="auto"/>
        </w:rPr>
      </w:pPr>
    </w:p>
    <w:p>
      <w:pPr>
        <w:ind w:left="2120"/>
        <w:spacing w:after="0"/>
        <w:rPr>
          <w:sz w:val="20"/>
          <w:szCs w:val="20"/>
          <w:color w:val="auto"/>
        </w:rPr>
      </w:pPr>
      <w:r>
        <w:rPr>
          <w:rFonts w:ascii="Arial" w:cs="Arial" w:eastAsia="Arial" w:hAnsi="Arial"/>
          <w:sz w:val="18"/>
          <w:szCs w:val="18"/>
          <w:color w:val="595959"/>
        </w:rPr>
        <w:t>Age: 55</w:t>
      </w:r>
    </w:p>
    <w:p>
      <w:pPr>
        <w:spacing w:after="0" w:line="34" w:lineRule="exact"/>
        <w:rPr>
          <w:sz w:val="20"/>
          <w:szCs w:val="20"/>
          <w:color w:val="auto"/>
        </w:rPr>
      </w:pPr>
    </w:p>
    <w:p>
      <w:pPr>
        <w:ind w:left="2120"/>
        <w:spacing w:after="0"/>
        <w:rPr>
          <w:sz w:val="20"/>
          <w:szCs w:val="20"/>
          <w:color w:val="auto"/>
        </w:rPr>
      </w:pPr>
      <w:r>
        <w:rPr>
          <w:rFonts w:ascii="Arial" w:cs="Arial" w:eastAsia="Arial" w:hAnsi="Arial"/>
          <w:sz w:val="18"/>
          <w:szCs w:val="18"/>
          <w:color w:val="595959"/>
        </w:rPr>
        <w:t>ACM Board Service</w:t>
      </w:r>
    </w:p>
    <w:p>
      <w:pPr>
        <w:ind w:left="2260" w:hanging="135"/>
        <w:spacing w:after="0" w:line="236" w:lineRule="auto"/>
        <w:tabs>
          <w:tab w:leader="none" w:pos="2260" w:val="left"/>
        </w:tabs>
        <w:numPr>
          <w:ilvl w:val="0"/>
          <w:numId w:val="62"/>
        </w:numPr>
        <w:rPr>
          <w:rFonts w:ascii="Arial" w:cs="Arial" w:eastAsia="Arial" w:hAnsi="Arial"/>
          <w:sz w:val="18"/>
          <w:szCs w:val="18"/>
          <w:color w:val="595959"/>
        </w:rPr>
      </w:pPr>
      <w:r>
        <w:rPr>
          <w:rFonts w:ascii="Arial" w:cs="Arial" w:eastAsia="Arial" w:hAnsi="Arial"/>
          <w:sz w:val="18"/>
          <w:szCs w:val="18"/>
          <w:color w:val="595959"/>
        </w:rPr>
        <w:t>Tenure: 4 years (2016)</w:t>
      </w:r>
    </w:p>
    <w:p>
      <w:pPr>
        <w:ind w:left="2260" w:hanging="135"/>
        <w:spacing w:after="0" w:line="234" w:lineRule="auto"/>
        <w:tabs>
          <w:tab w:leader="none" w:pos="2260" w:val="left"/>
        </w:tabs>
        <w:numPr>
          <w:ilvl w:val="0"/>
          <w:numId w:val="62"/>
        </w:numPr>
        <w:rPr>
          <w:rFonts w:ascii="Arial" w:cs="Arial" w:eastAsia="Arial" w:hAnsi="Arial"/>
          <w:sz w:val="18"/>
          <w:szCs w:val="18"/>
          <w:color w:val="595959"/>
        </w:rPr>
      </w:pPr>
      <w:r>
        <w:rPr>
          <w:rFonts w:ascii="Arial" w:cs="Arial" w:eastAsia="Arial" w:hAnsi="Arial"/>
          <w:sz w:val="18"/>
          <w:szCs w:val="18"/>
          <w:color w:val="595959"/>
        </w:rPr>
        <w:t>Committees:</w:t>
      </w:r>
    </w:p>
    <w:p>
      <w:pPr>
        <w:ind w:left="2540" w:hanging="156"/>
        <w:spacing w:after="0" w:line="234" w:lineRule="auto"/>
        <w:tabs>
          <w:tab w:leader="none" w:pos="2540" w:val="left"/>
        </w:tabs>
        <w:numPr>
          <w:ilvl w:val="1"/>
          <w:numId w:val="62"/>
        </w:numPr>
        <w:rPr>
          <w:rFonts w:ascii="Arial" w:cs="Arial" w:eastAsia="Arial" w:hAnsi="Arial"/>
          <w:sz w:val="14"/>
          <w:szCs w:val="14"/>
          <w:color w:val="595959"/>
        </w:rPr>
      </w:pPr>
      <w:r>
        <w:rPr>
          <w:rFonts w:ascii="Arial" w:cs="Arial" w:eastAsia="Arial" w:hAnsi="Arial"/>
          <w:sz w:val="18"/>
          <w:szCs w:val="18"/>
          <w:color w:val="595959"/>
        </w:rPr>
        <w:t>Audit (Chair)</w:t>
      </w:r>
    </w:p>
    <w:p>
      <w:pPr>
        <w:ind w:left="2540" w:hanging="156"/>
        <w:spacing w:after="0" w:line="234" w:lineRule="auto"/>
        <w:tabs>
          <w:tab w:leader="none" w:pos="2540" w:val="left"/>
        </w:tabs>
        <w:numPr>
          <w:ilvl w:val="1"/>
          <w:numId w:val="62"/>
        </w:numPr>
        <w:rPr>
          <w:rFonts w:ascii="Arial" w:cs="Arial" w:eastAsia="Arial" w:hAnsi="Arial"/>
          <w:sz w:val="14"/>
          <w:szCs w:val="14"/>
          <w:color w:val="595959"/>
        </w:rPr>
      </w:pPr>
      <w:r>
        <w:rPr>
          <w:rFonts w:ascii="Arial" w:cs="Arial" w:eastAsia="Arial" w:hAnsi="Arial"/>
          <w:sz w:val="18"/>
          <w:szCs w:val="18"/>
          <w:color w:val="595959"/>
        </w:rPr>
        <w:t>Compensation</w:t>
      </w:r>
    </w:p>
    <w:p>
      <w:pPr>
        <w:ind w:left="2540" w:hanging="156"/>
        <w:spacing w:after="0"/>
        <w:tabs>
          <w:tab w:leader="none" w:pos="2540" w:val="left"/>
        </w:tabs>
        <w:numPr>
          <w:ilvl w:val="1"/>
          <w:numId w:val="62"/>
        </w:numPr>
        <w:rPr>
          <w:rFonts w:ascii="Arial" w:cs="Arial" w:eastAsia="Arial" w:hAnsi="Arial"/>
          <w:sz w:val="14"/>
          <w:szCs w:val="14"/>
          <w:color w:val="595959"/>
        </w:rPr>
      </w:pPr>
      <w:r>
        <w:rPr>
          <w:rFonts w:ascii="Arial" w:cs="Arial" w:eastAsia="Arial" w:hAnsi="Arial"/>
          <w:sz w:val="18"/>
          <w:szCs w:val="18"/>
          <w:color w:val="595959"/>
        </w:rPr>
        <w:t>Nominating and Governance</w:t>
      </w:r>
    </w:p>
    <w:p>
      <w:pPr>
        <w:spacing w:after="0" w:line="2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0070C0"/>
        </w:rPr>
        <w:t>INDEPENDENT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620" w:hanging="331"/>
        <w:spacing w:after="0"/>
        <w:tabs>
          <w:tab w:leader="none" w:pos="62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Served as one of our directors since September 2016.</w:t>
      </w:r>
    </w:p>
    <w:p>
      <w:pPr>
        <w:spacing w:after="0" w:line="90" w:lineRule="exact"/>
        <w:rPr>
          <w:rFonts w:ascii="Arial" w:cs="Arial" w:eastAsia="Arial" w:hAnsi="Arial"/>
          <w:sz w:val="18"/>
          <w:szCs w:val="18"/>
          <w:color w:val="4D4D4F"/>
        </w:rPr>
      </w:pPr>
    </w:p>
    <w:p>
      <w:pPr>
        <w:ind w:left="620" w:right="20" w:hanging="331"/>
        <w:spacing w:after="0" w:line="281" w:lineRule="auto"/>
        <w:tabs>
          <w:tab w:leader="none" w:pos="620" w:val="left"/>
        </w:tabs>
        <w:numPr>
          <w:ilvl w:val="0"/>
          <w:numId w:val="63"/>
        </w:numPr>
        <w:rPr>
          <w:rFonts w:ascii="Arial" w:cs="Arial" w:eastAsia="Arial" w:hAnsi="Arial"/>
          <w:sz w:val="18"/>
          <w:szCs w:val="18"/>
          <w:color w:val="595959"/>
        </w:rPr>
      </w:pPr>
      <w:r>
        <w:rPr>
          <w:rFonts w:ascii="Arial" w:cs="Arial" w:eastAsia="Arial" w:hAnsi="Arial"/>
          <w:sz w:val="18"/>
          <w:szCs w:val="18"/>
          <w:color w:val="4D4D4F"/>
        </w:rPr>
        <w:t>Managing Partner of H&amp;M CPAs, LLP since January 2017.</w:t>
      </w:r>
    </w:p>
    <w:p>
      <w:pPr>
        <w:spacing w:after="0" w:line="257" w:lineRule="exact"/>
        <w:rPr>
          <w:rFonts w:ascii="Arial" w:cs="Arial" w:eastAsia="Arial" w:hAnsi="Arial"/>
          <w:sz w:val="18"/>
          <w:szCs w:val="18"/>
          <w:color w:val="595959"/>
        </w:rPr>
      </w:pPr>
    </w:p>
    <w:p>
      <w:pPr>
        <w:jc w:val="both"/>
        <w:ind w:left="620" w:hanging="331"/>
        <w:spacing w:after="0" w:line="267" w:lineRule="auto"/>
        <w:tabs>
          <w:tab w:leader="none" w:pos="620" w:val="left"/>
        </w:tabs>
        <w:numPr>
          <w:ilvl w:val="0"/>
          <w:numId w:val="63"/>
        </w:numPr>
        <w:rPr>
          <w:rFonts w:ascii="Arial" w:cs="Arial" w:eastAsia="Arial" w:hAnsi="Arial"/>
          <w:sz w:val="18"/>
          <w:szCs w:val="18"/>
          <w:color w:val="595959"/>
        </w:rPr>
      </w:pPr>
      <w:r>
        <w:rPr>
          <w:rFonts w:ascii="Arial" w:cs="Arial" w:eastAsia="Arial" w:hAnsi="Arial"/>
          <w:sz w:val="18"/>
          <w:szCs w:val="18"/>
          <w:color w:val="595959"/>
        </w:rPr>
        <w:t>Founder and owner of H&amp;M Financial Consulting from 2006 to 2016, where she provided international accounting and tax solutions to high-technology companies.</w:t>
      </w:r>
    </w:p>
    <w:p>
      <w:pPr>
        <w:spacing w:after="0" w:line="213" w:lineRule="exact"/>
        <w:rPr>
          <w:rFonts w:ascii="Arial" w:cs="Arial" w:eastAsia="Arial" w:hAnsi="Arial"/>
          <w:sz w:val="18"/>
          <w:szCs w:val="18"/>
          <w:color w:val="595959"/>
        </w:rPr>
      </w:pPr>
    </w:p>
    <w:p>
      <w:pPr>
        <w:jc w:val="both"/>
        <w:ind w:left="620" w:hanging="331"/>
        <w:spacing w:after="0" w:line="291" w:lineRule="auto"/>
        <w:tabs>
          <w:tab w:leader="none" w:pos="620" w:val="left"/>
        </w:tabs>
        <w:numPr>
          <w:ilvl w:val="0"/>
          <w:numId w:val="63"/>
        </w:numPr>
        <w:rPr>
          <w:rFonts w:ascii="Arial" w:cs="Arial" w:eastAsia="Arial" w:hAnsi="Arial"/>
          <w:sz w:val="18"/>
          <w:szCs w:val="18"/>
          <w:color w:val="595959"/>
        </w:rPr>
      </w:pPr>
      <w:r>
        <w:rPr>
          <w:rFonts w:ascii="Arial" w:cs="Arial" w:eastAsia="Arial" w:hAnsi="Arial"/>
          <w:sz w:val="18"/>
          <w:szCs w:val="18"/>
          <w:color w:val="595959"/>
        </w:rPr>
        <w:t>Received a Bachelor of Science from Nankai University and a Master of Accounting and Tax from Golden Gate University.</w:t>
      </w:r>
    </w:p>
    <w:p>
      <w:pPr>
        <w:spacing w:after="0" w:line="246" w:lineRule="exact"/>
        <w:rPr>
          <w:rFonts w:ascii="Arial" w:cs="Arial" w:eastAsia="Arial" w:hAnsi="Arial"/>
          <w:sz w:val="18"/>
          <w:szCs w:val="18"/>
          <w:color w:val="595959"/>
        </w:rPr>
      </w:pPr>
    </w:p>
    <w:p>
      <w:pPr>
        <w:ind w:left="620" w:hanging="331"/>
        <w:spacing w:after="0" w:line="246" w:lineRule="auto"/>
        <w:tabs>
          <w:tab w:leader="none" w:pos="620" w:val="left"/>
        </w:tabs>
        <w:numPr>
          <w:ilvl w:val="0"/>
          <w:numId w:val="63"/>
        </w:numPr>
        <w:rPr>
          <w:rFonts w:ascii="Arial" w:cs="Arial" w:eastAsia="Arial" w:hAnsi="Arial"/>
          <w:sz w:val="18"/>
          <w:szCs w:val="18"/>
          <w:color w:val="595959"/>
        </w:rPr>
      </w:pPr>
      <w:r>
        <w:rPr>
          <w:rFonts w:ascii="Arial" w:cs="Arial" w:eastAsia="Arial" w:hAnsi="Arial"/>
          <w:sz w:val="18"/>
          <w:szCs w:val="18"/>
          <w:color w:val="595959"/>
        </w:rPr>
        <w:t>Certified Public Accountant and a member of the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620" w:hanging="331"/>
        <w:spacing w:after="0"/>
        <w:tabs>
          <w:tab w:leader="none" w:pos="620" w:val="left"/>
        </w:tabs>
        <w:numPr>
          <w:ilvl w:val="0"/>
          <w:numId w:val="64"/>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90" w:lineRule="exact"/>
        <w:rPr>
          <w:rFonts w:ascii="Arial" w:cs="Arial" w:eastAsia="Arial" w:hAnsi="Arial"/>
          <w:sz w:val="18"/>
          <w:szCs w:val="18"/>
          <w:color w:val="595959"/>
        </w:rPr>
      </w:pPr>
    </w:p>
    <w:p>
      <w:pPr>
        <w:ind w:left="620" w:hanging="331"/>
        <w:spacing w:after="0"/>
        <w:tabs>
          <w:tab w:leader="none" w:pos="620" w:val="left"/>
        </w:tabs>
        <w:numPr>
          <w:ilvl w:val="0"/>
          <w:numId w:val="64"/>
        </w:numPr>
        <w:rPr>
          <w:rFonts w:ascii="Arial" w:cs="Arial" w:eastAsia="Arial" w:hAnsi="Arial"/>
          <w:sz w:val="18"/>
          <w:szCs w:val="18"/>
          <w:color w:val="595959"/>
        </w:rPr>
      </w:pPr>
      <w:r>
        <w:rPr>
          <w:rFonts w:ascii="Arial" w:cs="Arial" w:eastAsia="Arial" w:hAnsi="Arial"/>
          <w:sz w:val="18"/>
          <w:szCs w:val="18"/>
          <w:color w:val="595959"/>
        </w:rPr>
        <w:t>Leadership</w:t>
      </w:r>
    </w:p>
    <w:p>
      <w:pPr>
        <w:spacing w:after="0" w:line="136" w:lineRule="exact"/>
        <w:rPr>
          <w:rFonts w:ascii="Arial" w:cs="Arial" w:eastAsia="Arial" w:hAnsi="Arial"/>
          <w:sz w:val="18"/>
          <w:szCs w:val="18"/>
          <w:color w:val="595959"/>
        </w:rPr>
      </w:pPr>
    </w:p>
    <w:p>
      <w:pPr>
        <w:ind w:left="620" w:hanging="331"/>
        <w:spacing w:after="0"/>
        <w:tabs>
          <w:tab w:leader="none" w:pos="620" w:val="left"/>
        </w:tabs>
        <w:numPr>
          <w:ilvl w:val="0"/>
          <w:numId w:val="64"/>
        </w:numPr>
        <w:rPr>
          <w:rFonts w:ascii="Arial" w:cs="Arial" w:eastAsia="Arial" w:hAnsi="Arial"/>
          <w:sz w:val="18"/>
          <w:szCs w:val="18"/>
          <w:color w:val="595959"/>
        </w:rPr>
      </w:pPr>
      <w:r>
        <w:rPr>
          <w:rFonts w:ascii="Arial" w:cs="Arial" w:eastAsia="Arial" w:hAnsi="Arial"/>
          <w:sz w:val="18"/>
          <w:szCs w:val="18"/>
          <w:color w:val="595959"/>
        </w:rPr>
        <w:t>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0" w:space="160"/>
            <w:col w:w="568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595959"/>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16940" cy="1234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6940" cy="1234440"/>
                    </a:xfrm>
                    <a:prstGeom prst="rect">
                      <a:avLst/>
                    </a:prstGeom>
                    <a:noFill/>
                  </pic:spPr>
                </pic:pic>
              </a:graphicData>
            </a:graphic>
          </wp:anchor>
        </w:drawing>
      </w:r>
    </w:p>
    <w:p>
      <w:pPr>
        <w:spacing w:after="0" w:line="106"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Age: 45</w:t>
      </w:r>
    </w:p>
    <w:p>
      <w:pPr>
        <w:spacing w:after="0" w:line="57"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ACM Board Service</w:t>
      </w:r>
    </w:p>
    <w:p>
      <w:pPr>
        <w:spacing w:after="0" w:line="37" w:lineRule="exact"/>
        <w:rPr>
          <w:sz w:val="20"/>
          <w:szCs w:val="20"/>
          <w:color w:val="auto"/>
        </w:rPr>
      </w:pPr>
    </w:p>
    <w:p>
      <w:pPr>
        <w:ind w:left="2020" w:hanging="176"/>
        <w:spacing w:after="0"/>
        <w:tabs>
          <w:tab w:leader="none" w:pos="2020" w:val="left"/>
        </w:tabs>
        <w:numPr>
          <w:ilvl w:val="0"/>
          <w:numId w:val="65"/>
        </w:numPr>
        <w:rPr>
          <w:rFonts w:ascii="Arial" w:cs="Arial" w:eastAsia="Arial" w:hAnsi="Arial"/>
          <w:sz w:val="18"/>
          <w:szCs w:val="18"/>
          <w:color w:val="595959"/>
        </w:rPr>
      </w:pPr>
      <w:r>
        <w:rPr>
          <w:rFonts w:ascii="Arial" w:cs="Arial" w:eastAsia="Arial" w:hAnsi="Arial"/>
          <w:sz w:val="18"/>
          <w:szCs w:val="18"/>
          <w:color w:val="595959"/>
        </w:rPr>
        <w:t>Tenure: 31 months (2017)</w:t>
      </w:r>
    </w:p>
    <w:p>
      <w:pPr>
        <w:ind w:left="2020" w:hanging="176"/>
        <w:spacing w:after="0"/>
        <w:tabs>
          <w:tab w:leader="none" w:pos="2020" w:val="left"/>
        </w:tabs>
        <w:numPr>
          <w:ilvl w:val="0"/>
          <w:numId w:val="65"/>
        </w:numPr>
        <w:rPr>
          <w:rFonts w:ascii="Arial" w:cs="Arial" w:eastAsia="Arial" w:hAnsi="Arial"/>
          <w:sz w:val="18"/>
          <w:szCs w:val="18"/>
          <w:color w:val="595959"/>
        </w:rPr>
      </w:pPr>
      <w:r>
        <w:rPr>
          <w:rFonts w:ascii="Arial" w:cs="Arial" w:eastAsia="Arial" w:hAnsi="Arial"/>
          <w:sz w:val="18"/>
          <w:szCs w:val="18"/>
          <w:color w:val="595959"/>
        </w:rPr>
        <w:t>Audit Committee</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70C0"/>
        </w:rPr>
        <w:t>INDEPENDENT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Served as one of our directors since November 2017.</w:t>
      </w:r>
    </w:p>
    <w:p>
      <w:pPr>
        <w:spacing w:after="0" w:line="90" w:lineRule="exact"/>
        <w:rPr>
          <w:rFonts w:ascii="Arial" w:cs="Arial" w:eastAsia="Arial" w:hAnsi="Arial"/>
          <w:sz w:val="18"/>
          <w:szCs w:val="18"/>
          <w:color w:val="595959"/>
        </w:rPr>
      </w:pPr>
    </w:p>
    <w:p>
      <w:pPr>
        <w:jc w:val="both"/>
        <w:ind w:left="340" w:hanging="332"/>
        <w:spacing w:after="0" w:line="289" w:lineRule="auto"/>
        <w:tabs>
          <w:tab w:leader="none" w:pos="340"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Deputy General Manager of Shanghai S&amp;T Venture Capital (Group) Co. Ltd., or SSTVC, since October 2016.</w:t>
      </w:r>
    </w:p>
    <w:p>
      <w:pPr>
        <w:spacing w:after="0" w:line="1" w:lineRule="exact"/>
        <w:rPr>
          <w:rFonts w:ascii="Arial" w:cs="Arial" w:eastAsia="Arial" w:hAnsi="Arial"/>
          <w:sz w:val="18"/>
          <w:szCs w:val="18"/>
          <w:color w:val="595959"/>
        </w:rPr>
      </w:pPr>
    </w:p>
    <w:p>
      <w:pPr>
        <w:ind w:left="340" w:right="20" w:hanging="332"/>
        <w:spacing w:after="0" w:line="289" w:lineRule="auto"/>
        <w:tabs>
          <w:tab w:leader="none" w:pos="340"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Manager of the Project Investment Department of SSTVC from September 2014 to September 2016.</w:t>
      </w:r>
    </w:p>
    <w:p>
      <w:pPr>
        <w:spacing w:after="0" w:line="1" w:lineRule="exact"/>
        <w:rPr>
          <w:rFonts w:ascii="Arial" w:cs="Arial" w:eastAsia="Arial" w:hAnsi="Arial"/>
          <w:sz w:val="18"/>
          <w:szCs w:val="18"/>
          <w:color w:val="595959"/>
        </w:rPr>
      </w:pPr>
    </w:p>
    <w:p>
      <w:pPr>
        <w:jc w:val="both"/>
        <w:ind w:left="340" w:hanging="332"/>
        <w:spacing w:after="0" w:line="278" w:lineRule="auto"/>
        <w:tabs>
          <w:tab w:leader="none" w:pos="340"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Manager of Invest Department II of Shanghai Science and Technology Venture Capital Co., Ltd. from 2012 to August 2014.</w:t>
      </w:r>
    </w:p>
    <w:p>
      <w:pPr>
        <w:spacing w:after="0" w:line="28" w:lineRule="exact"/>
        <w:rPr>
          <w:rFonts w:ascii="Arial" w:cs="Arial" w:eastAsia="Arial" w:hAnsi="Arial"/>
          <w:sz w:val="18"/>
          <w:szCs w:val="18"/>
          <w:color w:val="595959"/>
        </w:rPr>
      </w:pPr>
    </w:p>
    <w:p>
      <w:pPr>
        <w:ind w:left="340" w:right="20" w:hanging="332"/>
        <w:spacing w:after="0" w:line="246" w:lineRule="auto"/>
        <w:tabs>
          <w:tab w:leader="none" w:pos="340"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Received a Bachelor of Science degree from Shanghai University of Finance and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67"/>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595959"/>
        </w:rPr>
        <w:t>ZHENGFAN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17575" cy="1234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7575" cy="1234440"/>
                    </a:xfrm>
                    <a:prstGeom prst="rect">
                      <a:avLst/>
                    </a:prstGeom>
                    <a:noFill/>
                  </pic:spPr>
                </pic:pic>
              </a:graphicData>
            </a:graphic>
          </wp:anchor>
        </w:drawing>
      </w:r>
    </w:p>
    <w:p>
      <w:pPr>
        <w:spacing w:after="0" w:line="106"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Age: 39</w:t>
      </w:r>
    </w:p>
    <w:p>
      <w:pPr>
        <w:spacing w:after="0" w:line="57" w:lineRule="exact"/>
        <w:rPr>
          <w:sz w:val="20"/>
          <w:szCs w:val="20"/>
          <w:color w:val="auto"/>
        </w:rPr>
      </w:pPr>
    </w:p>
    <w:p>
      <w:pPr>
        <w:ind w:left="1840"/>
        <w:spacing w:after="0"/>
        <w:rPr>
          <w:sz w:val="20"/>
          <w:szCs w:val="20"/>
          <w:color w:val="auto"/>
        </w:rPr>
      </w:pPr>
      <w:r>
        <w:rPr>
          <w:rFonts w:ascii="Arial" w:cs="Arial" w:eastAsia="Arial" w:hAnsi="Arial"/>
          <w:sz w:val="18"/>
          <w:szCs w:val="18"/>
          <w:color w:val="595959"/>
        </w:rPr>
        <w:t>ACM Board Service</w:t>
      </w:r>
    </w:p>
    <w:p>
      <w:pPr>
        <w:spacing w:after="0" w:line="37" w:lineRule="exact"/>
        <w:rPr>
          <w:sz w:val="20"/>
          <w:szCs w:val="20"/>
          <w:color w:val="auto"/>
        </w:rPr>
      </w:pPr>
    </w:p>
    <w:p>
      <w:pPr>
        <w:ind w:left="2020" w:hanging="175"/>
        <w:spacing w:after="0"/>
        <w:tabs>
          <w:tab w:leader="none" w:pos="2020" w:val="left"/>
        </w:tabs>
        <w:numPr>
          <w:ilvl w:val="0"/>
          <w:numId w:val="68"/>
        </w:numPr>
        <w:rPr>
          <w:rFonts w:ascii="Arial" w:cs="Arial" w:eastAsia="Arial" w:hAnsi="Arial"/>
          <w:sz w:val="18"/>
          <w:szCs w:val="18"/>
          <w:color w:val="595959"/>
        </w:rPr>
      </w:pPr>
      <w:r>
        <w:rPr>
          <w:rFonts w:ascii="Arial" w:cs="Arial" w:eastAsia="Arial" w:hAnsi="Arial"/>
          <w:sz w:val="18"/>
          <w:szCs w:val="18"/>
          <w:color w:val="595959"/>
        </w:rPr>
        <w:t>Tenure: 29 months (2018)</w:t>
      </w:r>
    </w:p>
    <w:p>
      <w:pPr>
        <w:ind w:left="2020" w:hanging="175"/>
        <w:spacing w:after="0"/>
        <w:tabs>
          <w:tab w:leader="none" w:pos="2020" w:val="left"/>
        </w:tabs>
        <w:numPr>
          <w:ilvl w:val="0"/>
          <w:numId w:val="68"/>
        </w:numPr>
        <w:rPr>
          <w:rFonts w:ascii="Arial" w:cs="Arial" w:eastAsia="Arial" w:hAnsi="Arial"/>
          <w:sz w:val="18"/>
          <w:szCs w:val="18"/>
          <w:color w:val="595959"/>
        </w:rPr>
      </w:pPr>
      <w:r>
        <w:rPr>
          <w:rFonts w:ascii="Arial" w:cs="Arial" w:eastAsia="Arial" w:hAnsi="Arial"/>
          <w:sz w:val="18"/>
          <w:szCs w:val="18"/>
          <w:color w:val="595959"/>
        </w:rPr>
        <w:t>Nominating and Governance Committee</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0070C0"/>
        </w:rPr>
        <w:t>INDEPENDENT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1"/>
        <w:spacing w:after="0"/>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2018.</w:t>
      </w:r>
    </w:p>
    <w:p>
      <w:pPr>
        <w:spacing w:after="0" w:line="90" w:lineRule="exact"/>
        <w:rPr>
          <w:rFonts w:ascii="Arial" w:cs="Arial" w:eastAsia="Arial" w:hAnsi="Arial"/>
          <w:sz w:val="18"/>
          <w:szCs w:val="18"/>
          <w:color w:val="595959"/>
        </w:rPr>
      </w:pPr>
    </w:p>
    <w:p>
      <w:pPr>
        <w:ind w:left="340" w:right="20" w:hanging="331"/>
        <w:spacing w:after="0" w:line="289" w:lineRule="auto"/>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Director of Direct Investment Division III of Sino IC Capital Co., Ltd. since February 2017.</w:t>
      </w:r>
    </w:p>
    <w:p>
      <w:pPr>
        <w:spacing w:after="0" w:line="1" w:lineRule="exact"/>
        <w:rPr>
          <w:rFonts w:ascii="Arial" w:cs="Arial" w:eastAsia="Arial" w:hAnsi="Arial"/>
          <w:sz w:val="18"/>
          <w:szCs w:val="18"/>
          <w:color w:val="595959"/>
        </w:rPr>
      </w:pPr>
    </w:p>
    <w:p>
      <w:pPr>
        <w:ind w:left="340" w:right="20" w:hanging="331"/>
        <w:spacing w:after="0" w:line="289" w:lineRule="auto"/>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Associate Director of Direct Investment Division I at Sino IC Capital Co. Ltd from 2014 to 2017.</w:t>
      </w:r>
    </w:p>
    <w:p>
      <w:pPr>
        <w:spacing w:after="0" w:line="1" w:lineRule="exact"/>
        <w:rPr>
          <w:rFonts w:ascii="Arial" w:cs="Arial" w:eastAsia="Arial" w:hAnsi="Arial"/>
          <w:sz w:val="18"/>
          <w:szCs w:val="18"/>
          <w:color w:val="595959"/>
        </w:rPr>
      </w:pPr>
    </w:p>
    <w:p>
      <w:pPr>
        <w:ind w:left="340" w:hanging="331"/>
        <w:spacing w:after="0" w:line="289" w:lineRule="auto"/>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Vice President of CDB Urban Development Fund from November 2011 to December 2014.</w:t>
      </w:r>
    </w:p>
    <w:p>
      <w:pPr>
        <w:spacing w:after="0" w:line="1" w:lineRule="exact"/>
        <w:rPr>
          <w:rFonts w:ascii="Arial" w:cs="Arial" w:eastAsia="Arial" w:hAnsi="Arial"/>
          <w:sz w:val="18"/>
          <w:szCs w:val="18"/>
          <w:color w:val="595959"/>
        </w:rPr>
      </w:pPr>
    </w:p>
    <w:p>
      <w:pPr>
        <w:ind w:left="340" w:hanging="331"/>
        <w:spacing w:after="0" w:line="289" w:lineRule="auto"/>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Principal Staﬀ Member at People’s Bank of China from 2007 to 2011.</w:t>
      </w:r>
    </w:p>
    <w:p>
      <w:pPr>
        <w:spacing w:after="0" w:line="1" w:lineRule="exact"/>
        <w:rPr>
          <w:rFonts w:ascii="Arial" w:cs="Arial" w:eastAsia="Arial" w:hAnsi="Arial"/>
          <w:sz w:val="18"/>
          <w:szCs w:val="18"/>
          <w:color w:val="595959"/>
        </w:rPr>
      </w:pPr>
    </w:p>
    <w:p>
      <w:pPr>
        <w:ind w:left="340" w:right="20" w:hanging="331"/>
        <w:spacing w:after="0" w:line="316" w:lineRule="auto"/>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Engineer from December 2004 to July 2007 at Nutech Company, Ltd.</w:t>
      </w:r>
    </w:p>
    <w:p>
      <w:pPr>
        <w:jc w:val="both"/>
        <w:ind w:left="340" w:hanging="331"/>
        <w:spacing w:after="0"/>
        <w:tabs>
          <w:tab w:leader="none" w:pos="3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Received a Master of Science degree from the University of Bristol and a Bachelor of Science degree from Zhejiang University.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1"/>
        <w:spacing w:after="0"/>
        <w:tabs>
          <w:tab w:leader="none" w:pos="340" w:val="left"/>
        </w:tabs>
        <w:numPr>
          <w:ilvl w:val="0"/>
          <w:numId w:val="70"/>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136" w:lineRule="exact"/>
        <w:rPr>
          <w:rFonts w:ascii="Arial" w:cs="Arial" w:eastAsia="Arial" w:hAnsi="Arial"/>
          <w:sz w:val="18"/>
          <w:szCs w:val="18"/>
          <w:color w:val="595959"/>
        </w:rPr>
      </w:pPr>
    </w:p>
    <w:p>
      <w:pPr>
        <w:ind w:left="340" w:hanging="331"/>
        <w:spacing w:after="0"/>
        <w:tabs>
          <w:tab w:leader="none" w:pos="340" w:val="left"/>
        </w:tabs>
        <w:numPr>
          <w:ilvl w:val="0"/>
          <w:numId w:val="70"/>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200" w:lineRule="exact"/>
        <w:rPr>
          <w:sz w:val="20"/>
          <w:szCs w:val="20"/>
          <w:color w:val="auto"/>
        </w:rPr>
      </w:pPr>
    </w:p>
    <w:p>
      <w:pPr>
        <w:sectPr>
          <w:pgSz w:w="11900" w:h="16838" w:orient="portrait"/>
          <w:cols w:equalWidth="0" w:num="2">
            <w:col w:w="5400" w:space="440"/>
            <w:col w:w="54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9C0"/>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each of the six nominees for election as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Beneficial Ownership of Common Stock</w:t>
      </w:r>
    </w:p>
    <w:p>
      <w:pPr>
        <w:spacing w:after="0" w:line="309" w:lineRule="exact"/>
        <w:rPr>
          <w:sz w:val="20"/>
          <w:szCs w:val="20"/>
          <w:color w:val="auto"/>
        </w:rPr>
      </w:pPr>
    </w:p>
    <w:p>
      <w:pPr>
        <w:spacing w:after="0" w:line="243" w:lineRule="auto"/>
        <w:rPr>
          <w:sz w:val="20"/>
          <w:szCs w:val="20"/>
          <w:color w:val="auto"/>
        </w:rPr>
      </w:pPr>
      <w:r>
        <w:rPr>
          <w:rFonts w:ascii="Arial" w:cs="Arial" w:eastAsia="Arial" w:hAnsi="Arial"/>
          <w:sz w:val="18"/>
          <w:szCs w:val="18"/>
          <w:color w:val="4D4D4F"/>
        </w:rPr>
        <w:t>The following table sets forth the number of outstanding shares of Class A and Class B common stock beneficially owned and the percentage of each class beneficially owned, as of the record date of April 8, 2020, by:</w:t>
      </w:r>
    </w:p>
    <w:p>
      <w:pPr>
        <w:ind w:left="340" w:hanging="332"/>
        <w:spacing w:after="0" w:line="277" w:lineRule="auto"/>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each person known to us to be the beneficial owner of more than five percent of the then-outstanding Class A common stock (on an as-converted basis) or the then-outstanding Class B common stock;</w:t>
      </w:r>
    </w:p>
    <w:p>
      <w:pPr>
        <w:spacing w:after="0" w:line="1"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each director and named executive oﬃcer;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all of our directors and executive oﬃcers as a group.</w:t>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7, 2020 </w:t>
      </w:r>
      <w:r>
        <w:rPr>
          <w:rFonts w:ascii="Arial" w:cs="Arial" w:eastAsia="Arial" w:hAnsi="Arial"/>
          <w:sz w:val="18"/>
          <w:szCs w:val="18"/>
          <w:color w:val="404040"/>
        </w:rPr>
        <w:t>(sixty days after April 8, 2020</w:t>
      </w:r>
      <w:r>
        <w:rPr>
          <w:rFonts w:ascii="Arial" w:cs="Arial" w:eastAsia="Arial" w:hAnsi="Arial"/>
          <w:sz w:val="18"/>
          <w:szCs w:val="18"/>
          <w:color w:val="4D4D4F"/>
        </w:rPr>
        <w:t>)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003E64"/>
          </w:tcPr>
          <w:p>
            <w:pPr>
              <w:spacing w:after="0"/>
              <w:rPr>
                <w:sz w:val="18"/>
                <w:szCs w:val="18"/>
                <w:color w:val="auto"/>
              </w:rPr>
            </w:pPr>
          </w:p>
        </w:tc>
        <w:tc>
          <w:tcPr>
            <w:tcW w:w="1580" w:type="dxa"/>
            <w:vAlign w:val="bottom"/>
            <w:shd w:val="clear" w:color="auto" w:fill="003E64"/>
          </w:tcPr>
          <w:p>
            <w:pPr>
              <w:spacing w:after="0"/>
              <w:rPr>
                <w:sz w:val="18"/>
                <w:szCs w:val="18"/>
                <w:color w:val="auto"/>
              </w:rPr>
            </w:pPr>
          </w:p>
        </w:tc>
        <w:tc>
          <w:tcPr>
            <w:tcW w:w="2460" w:type="dxa"/>
            <w:vAlign w:val="bottom"/>
            <w:shd w:val="clear" w:color="auto" w:fill="003E64"/>
          </w:tcPr>
          <w:p>
            <w:pPr>
              <w:spacing w:after="0"/>
              <w:rPr>
                <w:sz w:val="18"/>
                <w:szCs w:val="18"/>
                <w:color w:val="auto"/>
              </w:rPr>
            </w:pPr>
          </w:p>
        </w:tc>
        <w:tc>
          <w:tcPr>
            <w:tcW w:w="1400" w:type="dxa"/>
            <w:vAlign w:val="bottom"/>
            <w:shd w:val="clear" w:color="auto" w:fill="003E64"/>
          </w:tcPr>
          <w:p>
            <w:pPr>
              <w:ind w:left="700"/>
              <w:spacing w:after="0"/>
              <w:rPr>
                <w:sz w:val="20"/>
                <w:szCs w:val="20"/>
                <w:color w:val="auto"/>
              </w:rPr>
            </w:pPr>
            <w:r>
              <w:rPr>
                <w:rFonts w:ascii="Arial" w:cs="Arial" w:eastAsia="Arial" w:hAnsi="Arial"/>
                <w:sz w:val="14"/>
                <w:szCs w:val="14"/>
                <w:b w:val="1"/>
                <w:bCs w:val="1"/>
                <w:color w:val="FFFFFF"/>
                <w:w w:val="99"/>
              </w:rPr>
              <w:t>Class A(1)</w:t>
            </w:r>
          </w:p>
        </w:tc>
        <w:tc>
          <w:tcPr>
            <w:tcW w:w="720" w:type="dxa"/>
            <w:vAlign w:val="bottom"/>
            <w:shd w:val="clear" w:color="auto" w:fill="003E64"/>
          </w:tcPr>
          <w:p>
            <w:pPr>
              <w:spacing w:after="0"/>
              <w:rPr>
                <w:sz w:val="18"/>
                <w:szCs w:val="18"/>
                <w:color w:val="auto"/>
              </w:rPr>
            </w:pPr>
          </w:p>
        </w:tc>
        <w:tc>
          <w:tcPr>
            <w:tcW w:w="1460" w:type="dxa"/>
            <w:vAlign w:val="bottom"/>
            <w:shd w:val="clear" w:color="auto" w:fill="003E64"/>
          </w:tcPr>
          <w:p>
            <w:pPr>
              <w:ind w:left="880"/>
              <w:spacing w:after="0"/>
              <w:rPr>
                <w:sz w:val="20"/>
                <w:szCs w:val="20"/>
                <w:color w:val="auto"/>
              </w:rPr>
            </w:pPr>
            <w:r>
              <w:rPr>
                <w:rFonts w:ascii="Arial" w:cs="Arial" w:eastAsia="Arial" w:hAnsi="Arial"/>
                <w:sz w:val="14"/>
                <w:szCs w:val="14"/>
                <w:b w:val="1"/>
                <w:bCs w:val="1"/>
                <w:color w:val="FFFFFF"/>
              </w:rPr>
              <w:t>Class B</w:t>
            </w:r>
          </w:p>
        </w:tc>
        <w:tc>
          <w:tcPr>
            <w:tcW w:w="740" w:type="dxa"/>
            <w:vAlign w:val="bottom"/>
            <w:shd w:val="clear" w:color="auto" w:fill="003E64"/>
          </w:tcPr>
          <w:p>
            <w:pPr>
              <w:spacing w:after="0"/>
              <w:rPr>
                <w:sz w:val="18"/>
                <w:szCs w:val="18"/>
                <w:color w:val="auto"/>
              </w:rPr>
            </w:pPr>
          </w:p>
        </w:tc>
        <w:tc>
          <w:tcPr>
            <w:tcW w:w="1720" w:type="dxa"/>
            <w:vAlign w:val="bottom"/>
            <w:shd w:val="clear" w:color="auto" w:fill="003E64"/>
          </w:tcPr>
          <w:p>
            <w:pPr>
              <w:ind w:left="280"/>
              <w:spacing w:after="0"/>
              <w:rPr>
                <w:sz w:val="20"/>
                <w:szCs w:val="20"/>
                <w:color w:val="auto"/>
              </w:rPr>
            </w:pPr>
            <w:r>
              <w:rPr>
                <w:rFonts w:ascii="Arial" w:cs="Arial" w:eastAsia="Arial" w:hAnsi="Arial"/>
                <w:sz w:val="14"/>
                <w:szCs w:val="14"/>
                <w:b w:val="1"/>
                <w:bCs w:val="1"/>
                <w:color w:val="FFFFFF"/>
              </w:rPr>
              <w:t>% of Total Voting</w:t>
            </w:r>
          </w:p>
        </w:tc>
        <w:tc>
          <w:tcPr>
            <w:tcW w:w="0" w:type="dxa"/>
            <w:vAlign w:val="bottom"/>
          </w:tcPr>
          <w:p>
            <w:pPr>
              <w:spacing w:after="0"/>
              <w:rPr>
                <w:sz w:val="1"/>
                <w:szCs w:val="1"/>
                <w:color w:val="auto"/>
              </w:rPr>
            </w:pPr>
          </w:p>
        </w:tc>
      </w:tr>
      <w:tr>
        <w:trPr>
          <w:trHeight w:val="175"/>
        </w:trPr>
        <w:tc>
          <w:tcPr>
            <w:tcW w:w="5200" w:type="dxa"/>
            <w:vAlign w:val="bottom"/>
            <w:gridSpan w:val="3"/>
            <w:shd w:val="clear" w:color="auto" w:fill="003E64"/>
          </w:tcPr>
          <w:p>
            <w:pPr>
              <w:spacing w:after="0"/>
              <w:rPr>
                <w:sz w:val="20"/>
                <w:szCs w:val="20"/>
                <w:color w:val="auto"/>
              </w:rPr>
            </w:pPr>
            <w:r>
              <w:rPr>
                <w:rFonts w:ascii="Arial" w:cs="Arial" w:eastAsia="Arial" w:hAnsi="Arial"/>
                <w:sz w:val="14"/>
                <w:szCs w:val="14"/>
                <w:b w:val="1"/>
                <w:bCs w:val="1"/>
                <w:color w:val="FFFFFF"/>
              </w:rPr>
              <w:t>Beneficial Owner</w:t>
            </w:r>
          </w:p>
        </w:tc>
        <w:tc>
          <w:tcPr>
            <w:tcW w:w="140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Shares</w:t>
            </w:r>
          </w:p>
        </w:tc>
        <w:tc>
          <w:tcPr>
            <w:tcW w:w="720" w:type="dxa"/>
            <w:vAlign w:val="bottom"/>
            <w:shd w:val="clear" w:color="auto" w:fill="003E64"/>
          </w:tcPr>
          <w:p>
            <w:pPr>
              <w:jc w:val="center"/>
              <w:ind w:right="248"/>
              <w:spacing w:after="0"/>
              <w:rPr>
                <w:sz w:val="20"/>
                <w:szCs w:val="20"/>
                <w:color w:val="auto"/>
              </w:rPr>
            </w:pPr>
            <w:r>
              <w:rPr>
                <w:rFonts w:ascii="Arial" w:cs="Arial" w:eastAsia="Arial" w:hAnsi="Arial"/>
                <w:sz w:val="14"/>
                <w:szCs w:val="14"/>
                <w:b w:val="1"/>
                <w:bCs w:val="1"/>
                <w:color w:val="FFFFFF"/>
                <w:w w:val="96"/>
              </w:rPr>
              <w:t>%</w:t>
            </w:r>
          </w:p>
        </w:tc>
        <w:tc>
          <w:tcPr>
            <w:tcW w:w="1460" w:type="dxa"/>
            <w:vAlign w:val="bottom"/>
            <w:shd w:val="clear" w:color="auto" w:fill="003E64"/>
          </w:tcPr>
          <w:p>
            <w:pPr>
              <w:ind w:left="400"/>
              <w:spacing w:after="0"/>
              <w:rPr>
                <w:sz w:val="20"/>
                <w:szCs w:val="20"/>
                <w:color w:val="auto"/>
              </w:rPr>
            </w:pPr>
            <w:r>
              <w:rPr>
                <w:rFonts w:ascii="Arial" w:cs="Arial" w:eastAsia="Arial" w:hAnsi="Arial"/>
                <w:sz w:val="14"/>
                <w:szCs w:val="14"/>
                <w:b w:val="1"/>
                <w:bCs w:val="1"/>
                <w:color w:val="FFFFFF"/>
              </w:rPr>
              <w:t>Shares</w:t>
            </w:r>
          </w:p>
        </w:tc>
        <w:tc>
          <w:tcPr>
            <w:tcW w:w="740" w:type="dxa"/>
            <w:vAlign w:val="bottom"/>
            <w:shd w:val="clear" w:color="auto" w:fill="003E64"/>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Power(2)</w:t>
            </w:r>
          </w:p>
        </w:tc>
        <w:tc>
          <w:tcPr>
            <w:tcW w:w="0" w:type="dxa"/>
            <w:vAlign w:val="bottom"/>
          </w:tcPr>
          <w:p>
            <w:pPr>
              <w:spacing w:after="0"/>
              <w:rPr>
                <w:sz w:val="1"/>
                <w:szCs w:val="1"/>
                <w:color w:val="auto"/>
              </w:rPr>
            </w:pPr>
          </w:p>
        </w:tc>
      </w:tr>
      <w:tr>
        <w:trPr>
          <w:trHeight w:val="257"/>
        </w:trPr>
        <w:tc>
          <w:tcPr>
            <w:tcW w:w="52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5% Stockholders</w:t>
            </w:r>
          </w:p>
        </w:tc>
        <w:tc>
          <w:tcPr>
            <w:tcW w:w="1400" w:type="dxa"/>
            <w:vAlign w:val="bottom"/>
            <w:vMerge w:val="restart"/>
          </w:tcPr>
          <w:p>
            <w:pPr>
              <w:jc w:val="center"/>
              <w:ind w:right="208"/>
              <w:spacing w:after="0"/>
              <w:rPr>
                <w:sz w:val="20"/>
                <w:szCs w:val="20"/>
                <w:color w:val="auto"/>
              </w:rPr>
            </w:pPr>
            <w:r>
              <w:rPr>
                <w:rFonts w:ascii="Arial" w:cs="Arial" w:eastAsia="Arial" w:hAnsi="Arial"/>
                <w:sz w:val="14"/>
                <w:szCs w:val="14"/>
                <w:color w:val="4D4D4F"/>
              </w:rPr>
              <w:t>1,666,170</w:t>
            </w:r>
          </w:p>
        </w:tc>
        <w:tc>
          <w:tcPr>
            <w:tcW w:w="720" w:type="dxa"/>
            <w:vAlign w:val="bottom"/>
            <w:vMerge w:val="restart"/>
          </w:tcPr>
          <w:p>
            <w:pPr>
              <w:jc w:val="center"/>
              <w:ind w:right="248"/>
              <w:spacing w:after="0"/>
              <w:rPr>
                <w:sz w:val="20"/>
                <w:szCs w:val="20"/>
                <w:color w:val="auto"/>
              </w:rPr>
            </w:pPr>
            <w:r>
              <w:rPr>
                <w:rFonts w:ascii="Arial" w:cs="Arial" w:eastAsia="Arial" w:hAnsi="Arial"/>
                <w:sz w:val="14"/>
                <w:szCs w:val="14"/>
                <w:color w:val="4D4D4F"/>
              </w:rPr>
              <w:t>10.2%</w:t>
            </w:r>
          </w:p>
        </w:tc>
        <w:tc>
          <w:tcPr>
            <w:tcW w:w="1460" w:type="dxa"/>
            <w:vAlign w:val="bottom"/>
            <w:vMerge w:val="restart"/>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vMerge w:val="restart"/>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4D4D4F"/>
              </w:rPr>
              <w:t>3.1%</w:t>
            </w:r>
          </w:p>
        </w:tc>
        <w:tc>
          <w:tcPr>
            <w:tcW w:w="0" w:type="dxa"/>
            <w:vAlign w:val="bottom"/>
          </w:tcPr>
          <w:p>
            <w:pPr>
              <w:spacing w:after="0"/>
              <w:rPr>
                <w:sz w:val="1"/>
                <w:szCs w:val="1"/>
                <w:color w:val="auto"/>
              </w:rPr>
            </w:pPr>
          </w:p>
        </w:tc>
      </w:tr>
      <w:tr>
        <w:trPr>
          <w:trHeight w:val="20"/>
        </w:trPr>
        <w:tc>
          <w:tcPr>
            <w:tcW w:w="1160" w:type="dxa"/>
            <w:vAlign w:val="bottom"/>
            <w:shd w:val="clear" w:color="auto" w:fill="4D4D4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gridSpan w:val="3"/>
          </w:tcPr>
          <w:p>
            <w:pPr>
              <w:spacing w:after="0"/>
              <w:rPr>
                <w:sz w:val="20"/>
                <w:szCs w:val="20"/>
                <w:color w:val="auto"/>
              </w:rPr>
            </w:pPr>
            <w:r>
              <w:rPr>
                <w:rFonts w:ascii="Arial" w:cs="Arial" w:eastAsia="Arial" w:hAnsi="Arial"/>
                <w:sz w:val="14"/>
                <w:szCs w:val="14"/>
                <w:color w:val="4D4D4F"/>
              </w:rPr>
              <w:t>Shanghai Science and Technology Venture Capital Co., Ltd.(3)</w:t>
            </w:r>
          </w:p>
        </w:tc>
        <w:tc>
          <w:tcPr>
            <w:tcW w:w="14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gridSpan w:val="3"/>
            <w:shd w:val="clear" w:color="auto" w:fill="B7E4FF"/>
          </w:tcPr>
          <w:p>
            <w:pPr>
              <w:spacing w:after="0"/>
              <w:rPr>
                <w:sz w:val="20"/>
                <w:szCs w:val="20"/>
                <w:color w:val="auto"/>
              </w:rPr>
            </w:pPr>
            <w:r>
              <w:rPr>
                <w:rFonts w:ascii="Arial" w:cs="Arial" w:eastAsia="Arial" w:hAnsi="Arial"/>
                <w:sz w:val="14"/>
                <w:szCs w:val="14"/>
                <w:color w:val="4D4D4F"/>
              </w:rPr>
              <w:t>Pudong Science and Technology (Cayman) Co., Ltd.(4)</w:t>
            </w: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1,119,576</w:t>
            </w:r>
          </w:p>
        </w:tc>
        <w:tc>
          <w:tcPr>
            <w:tcW w:w="720" w:type="dxa"/>
            <w:vAlign w:val="bottom"/>
            <w:shd w:val="clear" w:color="auto" w:fill="B7E4FF"/>
          </w:tcPr>
          <w:p>
            <w:pPr>
              <w:jc w:val="center"/>
              <w:ind w:right="248"/>
              <w:spacing w:after="0"/>
              <w:rPr>
                <w:sz w:val="20"/>
                <w:szCs w:val="20"/>
                <w:color w:val="auto"/>
              </w:rPr>
            </w:pPr>
            <w:r>
              <w:rPr>
                <w:rFonts w:ascii="Arial" w:cs="Arial" w:eastAsia="Arial" w:hAnsi="Arial"/>
                <w:sz w:val="14"/>
                <w:szCs w:val="14"/>
                <w:color w:val="4D4D4F"/>
              </w:rPr>
              <w:t>6.9</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shd w:val="clear" w:color="auto" w:fill="B7E4FF"/>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2.1</w:t>
            </w:r>
          </w:p>
        </w:tc>
        <w:tc>
          <w:tcPr>
            <w:tcW w:w="0" w:type="dxa"/>
            <w:vAlign w:val="bottom"/>
          </w:tcPr>
          <w:p>
            <w:pPr>
              <w:spacing w:after="0"/>
              <w:rPr>
                <w:sz w:val="1"/>
                <w:szCs w:val="1"/>
                <w:color w:val="auto"/>
              </w:rPr>
            </w:pPr>
          </w:p>
        </w:tc>
      </w:tr>
      <w:tr>
        <w:trPr>
          <w:trHeight w:val="177"/>
        </w:trPr>
        <w:tc>
          <w:tcPr>
            <w:tcW w:w="5200" w:type="dxa"/>
            <w:vAlign w:val="bottom"/>
            <w:gridSpan w:val="3"/>
          </w:tcPr>
          <w:p>
            <w:pPr>
              <w:spacing w:after="0"/>
              <w:rPr>
                <w:sz w:val="20"/>
                <w:szCs w:val="20"/>
                <w:color w:val="auto"/>
              </w:rPr>
            </w:pPr>
            <w:r>
              <w:rPr>
                <w:rFonts w:ascii="Arial" w:cs="Arial" w:eastAsia="Arial" w:hAnsi="Arial"/>
                <w:sz w:val="14"/>
                <w:szCs w:val="14"/>
                <w:color w:val="4D4D4F"/>
              </w:rPr>
              <w:t>Xinxin (Hongkong) Capital Co., Limited(5)</w:t>
            </w:r>
          </w:p>
        </w:tc>
        <w:tc>
          <w:tcPr>
            <w:tcW w:w="1400" w:type="dxa"/>
            <w:vAlign w:val="bottom"/>
          </w:tcPr>
          <w:p>
            <w:pPr>
              <w:jc w:val="center"/>
              <w:ind w:right="208"/>
              <w:spacing w:after="0"/>
              <w:rPr>
                <w:sz w:val="20"/>
                <w:szCs w:val="20"/>
                <w:color w:val="auto"/>
              </w:rPr>
            </w:pPr>
            <w:r>
              <w:rPr>
                <w:rFonts w:ascii="Arial" w:cs="Arial" w:eastAsia="Arial" w:hAnsi="Arial"/>
                <w:sz w:val="14"/>
                <w:szCs w:val="14"/>
                <w:color w:val="4D4D4F"/>
              </w:rPr>
              <w:t>833,334</w:t>
            </w:r>
          </w:p>
        </w:tc>
        <w:tc>
          <w:tcPr>
            <w:tcW w:w="720" w:type="dxa"/>
            <w:vAlign w:val="bottom"/>
          </w:tcPr>
          <w:p>
            <w:pPr>
              <w:jc w:val="center"/>
              <w:ind w:right="248"/>
              <w:spacing w:after="0"/>
              <w:rPr>
                <w:sz w:val="20"/>
                <w:szCs w:val="20"/>
                <w:color w:val="auto"/>
              </w:rPr>
            </w:pPr>
            <w:r>
              <w:rPr>
                <w:rFonts w:ascii="Arial" w:cs="Arial" w:eastAsia="Arial" w:hAnsi="Arial"/>
                <w:sz w:val="14"/>
                <w:szCs w:val="14"/>
                <w:color w:val="4D4D4F"/>
              </w:rPr>
              <w:t>5.1</w:t>
            </w:r>
          </w:p>
        </w:tc>
        <w:tc>
          <w:tcPr>
            <w:tcW w:w="1460" w:type="dxa"/>
            <w:vAlign w:val="bottom"/>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4D4D4F"/>
              </w:rPr>
              <w:t>1.6</w:t>
            </w:r>
          </w:p>
        </w:tc>
        <w:tc>
          <w:tcPr>
            <w:tcW w:w="0" w:type="dxa"/>
            <w:vAlign w:val="bottom"/>
          </w:tcPr>
          <w:p>
            <w:pPr>
              <w:spacing w:after="0"/>
              <w:rPr>
                <w:sz w:val="1"/>
                <w:szCs w:val="1"/>
                <w:color w:val="auto"/>
              </w:rPr>
            </w:pPr>
          </w:p>
        </w:tc>
      </w:tr>
      <w:tr>
        <w:trPr>
          <w:trHeight w:val="268"/>
        </w:trPr>
        <w:tc>
          <w:tcPr>
            <w:tcW w:w="52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Named Executive Officers and Directors</w:t>
            </w:r>
          </w:p>
        </w:tc>
        <w:tc>
          <w:tcPr>
            <w:tcW w:w="1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40" w:type="dxa"/>
            <w:vAlign w:val="bottom"/>
            <w:tcBorders>
              <w:top w:val="single" w:sz="8" w:color="4D4D4F"/>
            </w:tcBorders>
            <w:gridSpan w:val="2"/>
            <w:shd w:val="clear" w:color="auto" w:fill="B7E4FF"/>
          </w:tcPr>
          <w:p>
            <w:pPr>
              <w:spacing w:after="0"/>
              <w:rPr>
                <w:sz w:val="20"/>
                <w:szCs w:val="20"/>
                <w:color w:val="auto"/>
              </w:rPr>
            </w:pPr>
            <w:r>
              <w:rPr>
                <w:rFonts w:ascii="Arial" w:cs="Arial" w:eastAsia="Arial" w:hAnsi="Arial"/>
                <w:sz w:val="14"/>
                <w:szCs w:val="14"/>
                <w:color w:val="4D4D4F"/>
              </w:rPr>
              <w:t>David H. Wang(6)</w:t>
            </w:r>
          </w:p>
        </w:tc>
        <w:tc>
          <w:tcPr>
            <w:tcW w:w="2460" w:type="dxa"/>
            <w:vAlign w:val="bottom"/>
            <w:shd w:val="clear" w:color="auto" w:fill="B7E4FF"/>
          </w:tcPr>
          <w:p>
            <w:pPr>
              <w:spacing w:after="0"/>
              <w:rPr>
                <w:sz w:val="15"/>
                <w:szCs w:val="15"/>
                <w:color w:val="auto"/>
              </w:rPr>
            </w:pP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2,840,493</w:t>
            </w:r>
          </w:p>
        </w:tc>
        <w:tc>
          <w:tcPr>
            <w:tcW w:w="720" w:type="dxa"/>
            <w:vAlign w:val="bottom"/>
            <w:shd w:val="clear" w:color="auto" w:fill="B7E4FF"/>
          </w:tcPr>
          <w:p>
            <w:pPr>
              <w:jc w:val="center"/>
              <w:ind w:right="248"/>
              <w:spacing w:after="0"/>
              <w:rPr>
                <w:sz w:val="20"/>
                <w:szCs w:val="20"/>
                <w:color w:val="auto"/>
              </w:rPr>
            </w:pPr>
            <w:r>
              <w:rPr>
                <w:rFonts w:ascii="Arial" w:cs="Arial" w:eastAsia="Arial" w:hAnsi="Arial"/>
                <w:sz w:val="14"/>
                <w:szCs w:val="14"/>
                <w:color w:val="4D4D4F"/>
              </w:rPr>
              <w:t>15.2</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1,422,270</w:t>
            </w:r>
          </w:p>
        </w:tc>
        <w:tc>
          <w:tcPr>
            <w:tcW w:w="740" w:type="dxa"/>
            <w:vAlign w:val="bottom"/>
            <w:shd w:val="clear" w:color="auto" w:fill="B7E4FF"/>
          </w:tcPr>
          <w:p>
            <w:pPr>
              <w:jc w:val="center"/>
              <w:ind w:right="168"/>
              <w:spacing w:after="0"/>
              <w:rPr>
                <w:sz w:val="20"/>
                <w:szCs w:val="20"/>
                <w:color w:val="auto"/>
              </w:rPr>
            </w:pPr>
            <w:r>
              <w:rPr>
                <w:rFonts w:ascii="Arial" w:cs="Arial" w:eastAsia="Arial" w:hAnsi="Arial"/>
                <w:sz w:val="14"/>
                <w:szCs w:val="14"/>
                <w:color w:val="4D4D4F"/>
              </w:rPr>
              <w:t>76.4%</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54.8</w:t>
            </w:r>
          </w:p>
        </w:tc>
        <w:tc>
          <w:tcPr>
            <w:tcW w:w="0" w:type="dxa"/>
            <w:vAlign w:val="bottom"/>
          </w:tcPr>
          <w:p>
            <w:pPr>
              <w:spacing w:after="0"/>
              <w:rPr>
                <w:sz w:val="1"/>
                <w:szCs w:val="1"/>
                <w:color w:val="auto"/>
              </w:rPr>
            </w:pPr>
          </w:p>
        </w:tc>
      </w:tr>
      <w:tr>
        <w:trPr>
          <w:trHeight w:val="183"/>
        </w:trPr>
        <w:tc>
          <w:tcPr>
            <w:tcW w:w="5200" w:type="dxa"/>
            <w:vAlign w:val="bottom"/>
            <w:gridSpan w:val="3"/>
          </w:tcPr>
          <w:p>
            <w:pPr>
              <w:spacing w:after="0"/>
              <w:rPr>
                <w:sz w:val="20"/>
                <w:szCs w:val="20"/>
                <w:color w:val="auto"/>
              </w:rPr>
            </w:pPr>
            <w:r>
              <w:rPr>
                <w:rFonts w:ascii="Arial" w:cs="Arial" w:eastAsia="Arial" w:hAnsi="Arial"/>
                <w:sz w:val="14"/>
                <w:szCs w:val="14"/>
                <w:color w:val="4D4D4F"/>
              </w:rPr>
              <w:t>Yinan Xiang(7)</w:t>
            </w:r>
          </w:p>
        </w:tc>
        <w:tc>
          <w:tcPr>
            <w:tcW w:w="1400" w:type="dxa"/>
            <w:vAlign w:val="bottom"/>
          </w:tcPr>
          <w:p>
            <w:pPr>
              <w:jc w:val="center"/>
              <w:ind w:right="208"/>
              <w:spacing w:after="0"/>
              <w:rPr>
                <w:sz w:val="20"/>
                <w:szCs w:val="20"/>
                <w:color w:val="auto"/>
              </w:rPr>
            </w:pPr>
            <w:r>
              <w:rPr>
                <w:rFonts w:ascii="Arial" w:cs="Arial" w:eastAsia="Arial" w:hAnsi="Arial"/>
                <w:sz w:val="14"/>
                <w:szCs w:val="14"/>
                <w:color w:val="4D4D4F"/>
              </w:rPr>
              <w:t>1,666,170</w:t>
            </w:r>
          </w:p>
        </w:tc>
        <w:tc>
          <w:tcPr>
            <w:tcW w:w="720" w:type="dxa"/>
            <w:vAlign w:val="bottom"/>
          </w:tcPr>
          <w:p>
            <w:pPr>
              <w:jc w:val="center"/>
              <w:ind w:right="248"/>
              <w:spacing w:after="0"/>
              <w:rPr>
                <w:sz w:val="20"/>
                <w:szCs w:val="20"/>
                <w:color w:val="auto"/>
              </w:rPr>
            </w:pPr>
            <w:r>
              <w:rPr>
                <w:rFonts w:ascii="Arial" w:cs="Arial" w:eastAsia="Arial" w:hAnsi="Arial"/>
                <w:sz w:val="14"/>
                <w:szCs w:val="14"/>
                <w:color w:val="4D4D4F"/>
              </w:rPr>
              <w:t>10.2</w:t>
            </w:r>
          </w:p>
        </w:tc>
        <w:tc>
          <w:tcPr>
            <w:tcW w:w="1460" w:type="dxa"/>
            <w:vAlign w:val="bottom"/>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4D4D4F"/>
              </w:rPr>
              <w:t>3.1</w:t>
            </w:r>
          </w:p>
        </w:tc>
        <w:tc>
          <w:tcPr>
            <w:tcW w:w="0" w:type="dxa"/>
            <w:vAlign w:val="bottom"/>
          </w:tcPr>
          <w:p>
            <w:pPr>
              <w:spacing w:after="0"/>
              <w:rPr>
                <w:sz w:val="1"/>
                <w:szCs w:val="1"/>
                <w:color w:val="auto"/>
              </w:rPr>
            </w:pPr>
          </w:p>
        </w:tc>
      </w:tr>
      <w:tr>
        <w:trPr>
          <w:trHeight w:val="195"/>
        </w:trPr>
        <w:tc>
          <w:tcPr>
            <w:tcW w:w="5200" w:type="dxa"/>
            <w:vAlign w:val="bottom"/>
            <w:gridSpan w:val="3"/>
            <w:shd w:val="clear" w:color="auto" w:fill="B7E4FF"/>
          </w:tcPr>
          <w:p>
            <w:pPr>
              <w:spacing w:after="0"/>
              <w:rPr>
                <w:sz w:val="20"/>
                <w:szCs w:val="20"/>
                <w:color w:val="auto"/>
              </w:rPr>
            </w:pPr>
            <w:r>
              <w:rPr>
                <w:rFonts w:ascii="Arial" w:cs="Arial" w:eastAsia="Arial" w:hAnsi="Arial"/>
                <w:sz w:val="14"/>
                <w:szCs w:val="14"/>
                <w:color w:val="4D4D4F"/>
              </w:rPr>
              <w:t>Zhengfan Yang(8)</w:t>
            </w: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833,334</w:t>
            </w:r>
          </w:p>
        </w:tc>
        <w:tc>
          <w:tcPr>
            <w:tcW w:w="720" w:type="dxa"/>
            <w:vAlign w:val="bottom"/>
            <w:shd w:val="clear" w:color="auto" w:fill="B7E4FF"/>
          </w:tcPr>
          <w:p>
            <w:pPr>
              <w:jc w:val="center"/>
              <w:ind w:right="248"/>
              <w:spacing w:after="0"/>
              <w:rPr>
                <w:sz w:val="20"/>
                <w:szCs w:val="20"/>
                <w:color w:val="auto"/>
              </w:rPr>
            </w:pPr>
            <w:r>
              <w:rPr>
                <w:rFonts w:ascii="Arial" w:cs="Arial" w:eastAsia="Arial" w:hAnsi="Arial"/>
                <w:sz w:val="14"/>
                <w:szCs w:val="14"/>
                <w:color w:val="4D4D4F"/>
              </w:rPr>
              <w:t>5.1</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shd w:val="clear" w:color="auto" w:fill="B7E4FF"/>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1.6</w:t>
            </w:r>
          </w:p>
        </w:tc>
        <w:tc>
          <w:tcPr>
            <w:tcW w:w="0" w:type="dxa"/>
            <w:vAlign w:val="bottom"/>
          </w:tcPr>
          <w:p>
            <w:pPr>
              <w:spacing w:after="0"/>
              <w:rPr>
                <w:sz w:val="1"/>
                <w:szCs w:val="1"/>
                <w:color w:val="auto"/>
              </w:rPr>
            </w:pPr>
          </w:p>
        </w:tc>
      </w:tr>
      <w:tr>
        <w:trPr>
          <w:trHeight w:val="183"/>
        </w:trPr>
        <w:tc>
          <w:tcPr>
            <w:tcW w:w="5200" w:type="dxa"/>
            <w:vAlign w:val="bottom"/>
            <w:gridSpan w:val="3"/>
          </w:tcPr>
          <w:p>
            <w:pPr>
              <w:spacing w:after="0"/>
              <w:rPr>
                <w:sz w:val="20"/>
                <w:szCs w:val="20"/>
                <w:color w:val="auto"/>
              </w:rPr>
            </w:pPr>
            <w:r>
              <w:rPr>
                <w:rFonts w:ascii="Arial" w:cs="Arial" w:eastAsia="Arial" w:hAnsi="Arial"/>
                <w:sz w:val="14"/>
                <w:szCs w:val="14"/>
                <w:color w:val="4D4D4F"/>
              </w:rPr>
              <w:t>Haiping Dun(9)</w:t>
            </w:r>
          </w:p>
        </w:tc>
        <w:tc>
          <w:tcPr>
            <w:tcW w:w="1400" w:type="dxa"/>
            <w:vAlign w:val="bottom"/>
          </w:tcPr>
          <w:p>
            <w:pPr>
              <w:jc w:val="center"/>
              <w:ind w:right="208"/>
              <w:spacing w:after="0"/>
              <w:rPr>
                <w:sz w:val="20"/>
                <w:szCs w:val="20"/>
                <w:color w:val="auto"/>
              </w:rPr>
            </w:pPr>
            <w:r>
              <w:rPr>
                <w:rFonts w:ascii="Arial" w:cs="Arial" w:eastAsia="Arial" w:hAnsi="Arial"/>
                <w:sz w:val="14"/>
                <w:szCs w:val="14"/>
                <w:color w:val="4D4D4F"/>
              </w:rPr>
              <w:t>562,113</w:t>
            </w:r>
          </w:p>
        </w:tc>
        <w:tc>
          <w:tcPr>
            <w:tcW w:w="720" w:type="dxa"/>
            <w:vAlign w:val="bottom"/>
          </w:tcPr>
          <w:p>
            <w:pPr>
              <w:jc w:val="center"/>
              <w:ind w:right="248"/>
              <w:spacing w:after="0"/>
              <w:rPr>
                <w:sz w:val="20"/>
                <w:szCs w:val="20"/>
                <w:color w:val="auto"/>
              </w:rPr>
            </w:pPr>
            <w:r>
              <w:rPr>
                <w:rFonts w:ascii="Arial" w:cs="Arial" w:eastAsia="Arial" w:hAnsi="Arial"/>
                <w:sz w:val="14"/>
                <w:szCs w:val="14"/>
                <w:color w:val="4D4D4F"/>
              </w:rPr>
              <w:t>3.4</w:t>
            </w:r>
          </w:p>
        </w:tc>
        <w:tc>
          <w:tcPr>
            <w:tcW w:w="1460" w:type="dxa"/>
            <w:vAlign w:val="bottom"/>
          </w:tcPr>
          <w:p>
            <w:pPr>
              <w:jc w:val="center"/>
              <w:ind w:right="108"/>
              <w:spacing w:after="0"/>
              <w:rPr>
                <w:sz w:val="20"/>
                <w:szCs w:val="20"/>
                <w:color w:val="auto"/>
              </w:rPr>
            </w:pPr>
            <w:r>
              <w:rPr>
                <w:rFonts w:ascii="Arial" w:cs="Arial" w:eastAsia="Arial" w:hAnsi="Arial"/>
                <w:sz w:val="14"/>
                <w:szCs w:val="14"/>
                <w:color w:val="4D4D4F"/>
              </w:rPr>
              <w:t>100,000</w:t>
            </w:r>
          </w:p>
        </w:tc>
        <w:tc>
          <w:tcPr>
            <w:tcW w:w="740" w:type="dxa"/>
            <w:vAlign w:val="bottom"/>
          </w:tcPr>
          <w:p>
            <w:pPr>
              <w:jc w:val="center"/>
              <w:ind w:right="188"/>
              <w:spacing w:after="0"/>
              <w:rPr>
                <w:sz w:val="20"/>
                <w:szCs w:val="20"/>
                <w:color w:val="auto"/>
              </w:rPr>
            </w:pPr>
            <w:r>
              <w:rPr>
                <w:rFonts w:ascii="Arial" w:cs="Arial" w:eastAsia="Arial" w:hAnsi="Arial"/>
                <w:sz w:val="14"/>
                <w:szCs w:val="14"/>
                <w:color w:val="4D4D4F"/>
              </w:rPr>
              <w:t>5.4</w:t>
            </w:r>
          </w:p>
        </w:tc>
        <w:tc>
          <w:tcPr>
            <w:tcW w:w="1720" w:type="dxa"/>
            <w:vAlign w:val="bottom"/>
          </w:tcPr>
          <w:p>
            <w:pPr>
              <w:jc w:val="center"/>
              <w:spacing w:after="0"/>
              <w:rPr>
                <w:sz w:val="20"/>
                <w:szCs w:val="20"/>
                <w:color w:val="auto"/>
              </w:rPr>
            </w:pPr>
            <w:r>
              <w:rPr>
                <w:rFonts w:ascii="Arial" w:cs="Arial" w:eastAsia="Arial" w:hAnsi="Arial"/>
                <w:sz w:val="14"/>
                <w:szCs w:val="14"/>
                <w:color w:val="4D4D4F"/>
              </w:rPr>
              <w:t>4.6</w:t>
            </w:r>
          </w:p>
        </w:tc>
        <w:tc>
          <w:tcPr>
            <w:tcW w:w="0" w:type="dxa"/>
            <w:vAlign w:val="bottom"/>
          </w:tcPr>
          <w:p>
            <w:pPr>
              <w:spacing w:after="0"/>
              <w:rPr>
                <w:sz w:val="1"/>
                <w:szCs w:val="1"/>
                <w:color w:val="auto"/>
              </w:rPr>
            </w:pPr>
          </w:p>
        </w:tc>
      </w:tr>
      <w:tr>
        <w:trPr>
          <w:trHeight w:val="195"/>
        </w:trPr>
        <w:tc>
          <w:tcPr>
            <w:tcW w:w="5200" w:type="dxa"/>
            <w:vAlign w:val="bottom"/>
            <w:gridSpan w:val="3"/>
            <w:shd w:val="clear" w:color="auto" w:fill="B7E4FF"/>
          </w:tcPr>
          <w:p>
            <w:pPr>
              <w:spacing w:after="0"/>
              <w:rPr>
                <w:sz w:val="20"/>
                <w:szCs w:val="20"/>
                <w:color w:val="auto"/>
              </w:rPr>
            </w:pPr>
            <w:r>
              <w:rPr>
                <w:rFonts w:ascii="Arial" w:cs="Arial" w:eastAsia="Arial" w:hAnsi="Arial"/>
                <w:sz w:val="14"/>
                <w:szCs w:val="14"/>
                <w:color w:val="4D4D4F"/>
              </w:rPr>
              <w:t>Chenming Hu(10)</w:t>
            </w: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122,915</w:t>
            </w:r>
          </w:p>
        </w:tc>
        <w:tc>
          <w:tcPr>
            <w:tcW w:w="720" w:type="dxa"/>
            <w:vAlign w:val="bottom"/>
            <w:shd w:val="clear" w:color="auto" w:fill="B7E4FF"/>
          </w:tcPr>
          <w:p>
            <w:pPr>
              <w:jc w:val="center"/>
              <w:ind w:right="228"/>
              <w:spacing w:after="0"/>
              <w:rPr>
                <w:sz w:val="20"/>
                <w:szCs w:val="20"/>
                <w:color w:val="auto"/>
              </w:rPr>
            </w:pPr>
            <w:r>
              <w:rPr>
                <w:rFonts w:ascii="Arial" w:cs="Arial" w:eastAsia="Arial" w:hAnsi="Arial"/>
                <w:sz w:val="14"/>
                <w:szCs w:val="14"/>
                <w:color w:val="4D4D4F"/>
              </w:rPr>
              <w:t>*</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shd w:val="clear" w:color="auto" w:fill="B7E4FF"/>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183"/>
        </w:trPr>
        <w:tc>
          <w:tcPr>
            <w:tcW w:w="5200" w:type="dxa"/>
            <w:vAlign w:val="bottom"/>
            <w:gridSpan w:val="3"/>
          </w:tcPr>
          <w:p>
            <w:pPr>
              <w:spacing w:after="0"/>
              <w:rPr>
                <w:sz w:val="20"/>
                <w:szCs w:val="20"/>
                <w:color w:val="auto"/>
              </w:rPr>
            </w:pPr>
            <w:r>
              <w:rPr>
                <w:rFonts w:ascii="Arial" w:cs="Arial" w:eastAsia="Arial" w:hAnsi="Arial"/>
                <w:sz w:val="14"/>
                <w:szCs w:val="14"/>
                <w:color w:val="4D4D4F"/>
              </w:rPr>
              <w:t>Tracy Liu(11)</w:t>
            </w:r>
          </w:p>
        </w:tc>
        <w:tc>
          <w:tcPr>
            <w:tcW w:w="1400" w:type="dxa"/>
            <w:vAlign w:val="bottom"/>
          </w:tcPr>
          <w:p>
            <w:pPr>
              <w:jc w:val="center"/>
              <w:ind w:right="208"/>
              <w:spacing w:after="0"/>
              <w:rPr>
                <w:sz w:val="20"/>
                <w:szCs w:val="20"/>
                <w:color w:val="auto"/>
              </w:rPr>
            </w:pPr>
            <w:r>
              <w:rPr>
                <w:rFonts w:ascii="Arial" w:cs="Arial" w:eastAsia="Arial" w:hAnsi="Arial"/>
                <w:sz w:val="14"/>
                <w:szCs w:val="14"/>
                <w:color w:val="4D4D4F"/>
              </w:rPr>
              <w:t>73,174</w:t>
            </w:r>
          </w:p>
        </w:tc>
        <w:tc>
          <w:tcPr>
            <w:tcW w:w="720" w:type="dxa"/>
            <w:vAlign w:val="bottom"/>
          </w:tcPr>
          <w:p>
            <w:pPr>
              <w:jc w:val="center"/>
              <w:ind w:right="228"/>
              <w:spacing w:after="0"/>
              <w:rPr>
                <w:sz w:val="20"/>
                <w:szCs w:val="20"/>
                <w:color w:val="auto"/>
              </w:rPr>
            </w:pPr>
            <w:r>
              <w:rPr>
                <w:rFonts w:ascii="Arial" w:cs="Arial" w:eastAsia="Arial" w:hAnsi="Arial"/>
                <w:sz w:val="14"/>
                <w:szCs w:val="14"/>
                <w:color w:val="4D4D4F"/>
              </w:rPr>
              <w:t>*</w:t>
            </w:r>
          </w:p>
        </w:tc>
        <w:tc>
          <w:tcPr>
            <w:tcW w:w="1460" w:type="dxa"/>
            <w:vAlign w:val="bottom"/>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195"/>
        </w:trPr>
        <w:tc>
          <w:tcPr>
            <w:tcW w:w="5200" w:type="dxa"/>
            <w:vAlign w:val="bottom"/>
            <w:gridSpan w:val="3"/>
            <w:shd w:val="clear" w:color="auto" w:fill="B7E4FF"/>
          </w:tcPr>
          <w:p>
            <w:pPr>
              <w:spacing w:after="0"/>
              <w:rPr>
                <w:sz w:val="20"/>
                <w:szCs w:val="20"/>
                <w:color w:val="auto"/>
              </w:rPr>
            </w:pPr>
            <w:r>
              <w:rPr>
                <w:rFonts w:ascii="Arial" w:cs="Arial" w:eastAsia="Arial" w:hAnsi="Arial"/>
                <w:sz w:val="14"/>
                <w:szCs w:val="14"/>
                <w:color w:val="4D4D4F"/>
              </w:rPr>
              <w:t>Lisa Feng(12)</w:t>
            </w: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36,349</w:t>
            </w:r>
          </w:p>
        </w:tc>
        <w:tc>
          <w:tcPr>
            <w:tcW w:w="720" w:type="dxa"/>
            <w:vAlign w:val="bottom"/>
            <w:shd w:val="clear" w:color="auto" w:fill="B7E4FF"/>
          </w:tcPr>
          <w:p>
            <w:pPr>
              <w:jc w:val="center"/>
              <w:ind w:right="228"/>
              <w:spacing w:after="0"/>
              <w:rPr>
                <w:sz w:val="20"/>
                <w:szCs w:val="20"/>
                <w:color w:val="auto"/>
              </w:rPr>
            </w:pPr>
            <w:r>
              <w:rPr>
                <w:rFonts w:ascii="Arial" w:cs="Arial" w:eastAsia="Arial" w:hAnsi="Arial"/>
                <w:sz w:val="14"/>
                <w:szCs w:val="14"/>
                <w:color w:val="4D4D4F"/>
              </w:rPr>
              <w:t>*</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shd w:val="clear" w:color="auto" w:fill="B7E4FF"/>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183"/>
        </w:trPr>
        <w:tc>
          <w:tcPr>
            <w:tcW w:w="5200" w:type="dxa"/>
            <w:vAlign w:val="bottom"/>
            <w:gridSpan w:val="3"/>
          </w:tcPr>
          <w:p>
            <w:pPr>
              <w:spacing w:after="0"/>
              <w:rPr>
                <w:sz w:val="20"/>
                <w:szCs w:val="20"/>
                <w:color w:val="auto"/>
              </w:rPr>
            </w:pPr>
            <w:r>
              <w:rPr>
                <w:rFonts w:ascii="Arial" w:cs="Arial" w:eastAsia="Arial" w:hAnsi="Arial"/>
                <w:sz w:val="14"/>
                <w:szCs w:val="14"/>
                <w:color w:val="4D4D4F"/>
              </w:rPr>
              <w:t>Mark McKechnie(13)</w:t>
            </w:r>
          </w:p>
        </w:tc>
        <w:tc>
          <w:tcPr>
            <w:tcW w:w="1400" w:type="dxa"/>
            <w:vAlign w:val="bottom"/>
          </w:tcPr>
          <w:p>
            <w:pPr>
              <w:jc w:val="center"/>
              <w:ind w:right="208"/>
              <w:spacing w:after="0"/>
              <w:rPr>
                <w:sz w:val="20"/>
                <w:szCs w:val="20"/>
                <w:color w:val="auto"/>
              </w:rPr>
            </w:pPr>
            <w:r>
              <w:rPr>
                <w:rFonts w:ascii="Arial" w:cs="Arial" w:eastAsia="Arial" w:hAnsi="Arial"/>
                <w:sz w:val="14"/>
                <w:szCs w:val="14"/>
                <w:color w:val="4D4D4F"/>
              </w:rPr>
              <w:t>26,458</w:t>
            </w:r>
          </w:p>
        </w:tc>
        <w:tc>
          <w:tcPr>
            <w:tcW w:w="720" w:type="dxa"/>
            <w:vAlign w:val="bottom"/>
          </w:tcPr>
          <w:p>
            <w:pPr>
              <w:jc w:val="center"/>
              <w:ind w:right="228"/>
              <w:spacing w:after="0"/>
              <w:rPr>
                <w:sz w:val="20"/>
                <w:szCs w:val="20"/>
                <w:color w:val="auto"/>
              </w:rPr>
            </w:pPr>
            <w:r>
              <w:rPr>
                <w:rFonts w:ascii="Arial" w:cs="Arial" w:eastAsia="Arial" w:hAnsi="Arial"/>
                <w:sz w:val="14"/>
                <w:szCs w:val="14"/>
                <w:color w:val="4D4D4F"/>
              </w:rPr>
              <w:t>*</w:t>
            </w:r>
          </w:p>
        </w:tc>
        <w:tc>
          <w:tcPr>
            <w:tcW w:w="1460" w:type="dxa"/>
            <w:vAlign w:val="bottom"/>
          </w:tcPr>
          <w:p>
            <w:pPr>
              <w:jc w:val="center"/>
              <w:ind w:right="108"/>
              <w:spacing w:after="0"/>
              <w:rPr>
                <w:sz w:val="20"/>
                <w:szCs w:val="20"/>
                <w:color w:val="auto"/>
              </w:rPr>
            </w:pPr>
            <w:r>
              <w:rPr>
                <w:rFonts w:ascii="Arial" w:cs="Arial" w:eastAsia="Arial" w:hAnsi="Arial"/>
                <w:sz w:val="14"/>
                <w:szCs w:val="14"/>
                <w:color w:val="4D4D4F"/>
              </w:rPr>
              <w:t>—</w:t>
            </w:r>
          </w:p>
        </w:tc>
        <w:tc>
          <w:tcPr>
            <w:tcW w:w="740" w:type="dxa"/>
            <w:vAlign w:val="bottom"/>
          </w:tcPr>
          <w:p>
            <w:pPr>
              <w:jc w:val="center"/>
              <w:ind w:right="168"/>
              <w:spacing w:after="0"/>
              <w:rPr>
                <w:sz w:val="20"/>
                <w:szCs w:val="20"/>
                <w:color w:val="auto"/>
              </w:rPr>
            </w:pPr>
            <w:r>
              <w:rPr>
                <w:rFonts w:ascii="Arial" w:cs="Arial" w:eastAsia="Arial" w:hAnsi="Arial"/>
                <w:sz w:val="14"/>
                <w:szCs w:val="14"/>
                <w:color w:val="4D4D4F"/>
                <w:w w:val="99"/>
              </w:rPr>
              <w:t>—</w:t>
            </w:r>
          </w:p>
        </w:tc>
        <w:tc>
          <w:tcPr>
            <w:tcW w:w="1720" w:type="dxa"/>
            <w:vAlign w:val="bottom"/>
          </w:tcPr>
          <w:p>
            <w:pPr>
              <w:jc w:val="center"/>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195"/>
        </w:trPr>
        <w:tc>
          <w:tcPr>
            <w:tcW w:w="5200" w:type="dxa"/>
            <w:vAlign w:val="bottom"/>
            <w:gridSpan w:val="3"/>
            <w:shd w:val="clear" w:color="auto" w:fill="B7E4FF"/>
          </w:tcPr>
          <w:p>
            <w:pPr>
              <w:spacing w:after="0"/>
              <w:rPr>
                <w:sz w:val="20"/>
                <w:szCs w:val="20"/>
                <w:color w:val="auto"/>
              </w:rPr>
            </w:pPr>
            <w:r>
              <w:rPr>
                <w:rFonts w:ascii="Arial" w:cs="Arial" w:eastAsia="Arial" w:hAnsi="Arial"/>
                <w:sz w:val="14"/>
                <w:szCs w:val="14"/>
                <w:color w:val="4D4D4F"/>
              </w:rPr>
              <w:t>All executive officers and directors as a group (9 persons)(14)</w:t>
            </w:r>
          </w:p>
        </w:tc>
        <w:tc>
          <w:tcPr>
            <w:tcW w:w="1400" w:type="dxa"/>
            <w:vAlign w:val="bottom"/>
            <w:shd w:val="clear" w:color="auto" w:fill="B7E4FF"/>
          </w:tcPr>
          <w:p>
            <w:pPr>
              <w:jc w:val="center"/>
              <w:ind w:right="208"/>
              <w:spacing w:after="0"/>
              <w:rPr>
                <w:sz w:val="20"/>
                <w:szCs w:val="20"/>
                <w:color w:val="auto"/>
              </w:rPr>
            </w:pPr>
            <w:r>
              <w:rPr>
                <w:rFonts w:ascii="Arial" w:cs="Arial" w:eastAsia="Arial" w:hAnsi="Arial"/>
                <w:sz w:val="14"/>
                <w:szCs w:val="14"/>
                <w:color w:val="4D4D4F"/>
              </w:rPr>
              <w:t>6,795,071</w:t>
            </w:r>
          </w:p>
        </w:tc>
        <w:tc>
          <w:tcPr>
            <w:tcW w:w="720" w:type="dxa"/>
            <w:vAlign w:val="bottom"/>
            <w:shd w:val="clear" w:color="auto" w:fill="B7E4FF"/>
          </w:tcPr>
          <w:p>
            <w:pPr>
              <w:jc w:val="center"/>
              <w:ind w:right="248"/>
              <w:spacing w:after="0"/>
              <w:rPr>
                <w:sz w:val="20"/>
                <w:szCs w:val="20"/>
                <w:color w:val="auto"/>
              </w:rPr>
            </w:pPr>
            <w:r>
              <w:rPr>
                <w:rFonts w:ascii="Arial" w:cs="Arial" w:eastAsia="Arial" w:hAnsi="Arial"/>
                <w:sz w:val="14"/>
                <w:szCs w:val="14"/>
                <w:color w:val="4D4D4F"/>
              </w:rPr>
              <w:t>35.0</w:t>
            </w:r>
          </w:p>
        </w:tc>
        <w:tc>
          <w:tcPr>
            <w:tcW w:w="1460" w:type="dxa"/>
            <w:vAlign w:val="bottom"/>
            <w:shd w:val="clear" w:color="auto" w:fill="B7E4FF"/>
          </w:tcPr>
          <w:p>
            <w:pPr>
              <w:jc w:val="center"/>
              <w:ind w:right="108"/>
              <w:spacing w:after="0"/>
              <w:rPr>
                <w:sz w:val="20"/>
                <w:szCs w:val="20"/>
                <w:color w:val="auto"/>
              </w:rPr>
            </w:pPr>
            <w:r>
              <w:rPr>
                <w:rFonts w:ascii="Arial" w:cs="Arial" w:eastAsia="Arial" w:hAnsi="Arial"/>
                <w:sz w:val="14"/>
                <w:szCs w:val="14"/>
                <w:color w:val="4D4D4F"/>
              </w:rPr>
              <w:t>1,572,271</w:t>
            </w:r>
          </w:p>
        </w:tc>
        <w:tc>
          <w:tcPr>
            <w:tcW w:w="740" w:type="dxa"/>
            <w:vAlign w:val="bottom"/>
            <w:shd w:val="clear" w:color="auto" w:fill="B7E4FF"/>
          </w:tcPr>
          <w:p>
            <w:pPr>
              <w:jc w:val="center"/>
              <w:ind w:right="188"/>
              <w:spacing w:after="0"/>
              <w:rPr>
                <w:sz w:val="20"/>
                <w:szCs w:val="20"/>
                <w:color w:val="auto"/>
              </w:rPr>
            </w:pPr>
            <w:r>
              <w:rPr>
                <w:rFonts w:ascii="Arial" w:cs="Arial" w:eastAsia="Arial" w:hAnsi="Arial"/>
                <w:sz w:val="14"/>
                <w:szCs w:val="14"/>
                <w:color w:val="4D4D4F"/>
              </w:rPr>
              <w:t>84.4</w:t>
            </w:r>
          </w:p>
        </w:tc>
        <w:tc>
          <w:tcPr>
            <w:tcW w:w="17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-1902460</wp:posOffset>
            </wp:positionV>
            <wp:extent cx="2743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90"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4D4D4F"/>
        </w:rPr>
      </w:pPr>
      <w:r>
        <w:rPr>
          <w:rFonts w:ascii="Arial" w:cs="Arial" w:eastAsia="Arial" w:hAnsi="Arial"/>
          <w:sz w:val="14"/>
          <w:szCs w:val="14"/>
          <w:color w:val="4D4D4F"/>
        </w:rPr>
        <w:t>Less than 1%.</w:t>
      </w:r>
    </w:p>
    <w:p>
      <w:pPr>
        <w:spacing w:after="0" w:line="69" w:lineRule="exact"/>
        <w:rPr>
          <w:sz w:val="20"/>
          <w:szCs w:val="20"/>
          <w:color w:val="auto"/>
        </w:rPr>
      </w:pPr>
    </w:p>
    <w:p>
      <w:pPr>
        <w:ind w:left="340" w:hanging="332"/>
        <w:spacing w:after="0" w:line="301"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Includes the number of shares of Class A common stock issuable upon conversion of shares of Class B common stock, which are convertible at any time into shares of Class A common stock.</w:t>
      </w:r>
    </w:p>
    <w:p>
      <w:pPr>
        <w:spacing w:after="0" w:line="1" w:lineRule="exact"/>
        <w:rPr>
          <w:rFonts w:ascii="Arial" w:cs="Arial" w:eastAsia="Arial" w:hAnsi="Arial"/>
          <w:sz w:val="14"/>
          <w:szCs w:val="14"/>
          <w:color w:val="4D4D4F"/>
        </w:rPr>
      </w:pPr>
    </w:p>
    <w:p>
      <w:pPr>
        <w:ind w:left="340" w:hanging="332"/>
        <w:spacing w:after="0" w:line="301"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1" w:lineRule="exact"/>
        <w:rPr>
          <w:rFonts w:ascii="Arial" w:cs="Arial" w:eastAsia="Arial" w:hAnsi="Arial"/>
          <w:sz w:val="14"/>
          <w:szCs w:val="14"/>
          <w:color w:val="4D4D4F"/>
        </w:rPr>
      </w:pPr>
    </w:p>
    <w:p>
      <w:pPr>
        <w:ind w:left="340" w:hanging="332"/>
        <w:spacing w:after="0" w:line="301"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spacing w:after="0" w:line="1" w:lineRule="exact"/>
        <w:rPr>
          <w:rFonts w:ascii="Arial" w:cs="Arial" w:eastAsia="Arial" w:hAnsi="Arial"/>
          <w:sz w:val="14"/>
          <w:szCs w:val="14"/>
          <w:color w:val="4D4D4F"/>
        </w:rPr>
      </w:pPr>
    </w:p>
    <w:p>
      <w:pPr>
        <w:jc w:val="both"/>
        <w:ind w:left="340" w:right="20" w:hanging="332"/>
        <w:spacing w:after="0" w:line="288"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jc w:val="both"/>
        <w:ind w:left="340" w:hanging="332"/>
        <w:spacing w:after="0" w:line="288"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w:t>
      </w:r>
    </w:p>
    <w:p>
      <w:pPr>
        <w:spacing w:after="0" w:line="158" w:lineRule="exact"/>
        <w:rPr>
          <w:rFonts w:ascii="Arial" w:cs="Arial" w:eastAsia="Arial" w:hAnsi="Arial"/>
          <w:sz w:val="14"/>
          <w:szCs w:val="14"/>
          <w:color w:val="4D4D4F"/>
        </w:rPr>
      </w:pPr>
    </w:p>
    <w:p>
      <w:pPr>
        <w:jc w:val="both"/>
        <w:ind w:left="340" w:hanging="332"/>
        <w:spacing w:after="0" w:line="275"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Wang’s daughter, Sophia Wang, 33,334 are held by Dr. Wang’s spouse, Jing Chen, and 7,334 are held by Dr. Wang and Jing Chen, as Trustees for The David Hui Wang and Jing Chen Family Irrevocable Trust for Wang Children; and (d) 968,271 shares of Class A common stock issuable upon the exercise of options exercisable by June 7, 2020.</w:t>
      </w:r>
    </w:p>
    <w:p>
      <w:pPr>
        <w:jc w:val="both"/>
        <w:ind w:left="340" w:hanging="332"/>
        <w:spacing w:after="0" w:line="300" w:lineRule="auto"/>
        <w:tabs>
          <w:tab w:leader="none" w:pos="340" w:val="left"/>
        </w:tabs>
        <w:numPr>
          <w:ilvl w:val="0"/>
          <w:numId w:val="73"/>
        </w:numPr>
        <w:rPr>
          <w:rFonts w:ascii="Arial" w:cs="Arial" w:eastAsia="Arial" w:hAnsi="Arial"/>
          <w:sz w:val="14"/>
          <w:szCs w:val="14"/>
          <w:color w:val="4D4D4F"/>
        </w:rPr>
      </w:pPr>
      <w:r>
        <w:rPr>
          <w:rFonts w:ascii="Arial" w:cs="Arial" w:eastAsia="Arial" w:hAnsi="Arial"/>
          <w:sz w:val="14"/>
          <w:szCs w:val="14"/>
          <w:color w:val="4D4D4F"/>
        </w:rPr>
        <w:t>Consists of shares owned by Shanghai Science and Technology Venture Co., Ltd., or SSTVC (see note (2) above). As described under “Corporate Governance—Director Nomination Rights,” SSTVC has exercised a contractual right by designating Ms. Xiang for nomination to the board and the board has elected Ms. Xiang to the board. Ms. Xiang disclaims beneficial ownership of the shares owned by SSTVC except to the extent of her pecuniary interest therein.</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4D4D4F"/>
        </w:rPr>
        <w:t>[Footnotes continued on next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364" w:lineRule="exact"/>
        <w:rPr>
          <w:sz w:val="20"/>
          <w:szCs w:val="20"/>
          <w:color w:val="auto"/>
        </w:rPr>
      </w:pPr>
    </w:p>
    <w:p>
      <w:pPr>
        <w:jc w:val="both"/>
        <w:ind w:left="340" w:hanging="332"/>
        <w:spacing w:after="0" w:line="300" w:lineRule="auto"/>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Consists of shares owned by Xinxin (Hongkong) Capital Co., Limited (see note (4) above). As described under “Corporate Governance—Director Nomination Rights,” Xinxin (Hongkong) Capital Co., Limited has exercised a contractual right by designating Mr. Yang for nomination to the board and the board has elected Mr. Yang to the board. Mr. Yang disclaims beneficial ownership of the shares owned by Xinxin (Hongkong) Capital Co., Limited except to the extent of his pecuniary interest therein.</w:t>
      </w:r>
    </w:p>
    <w:p>
      <w:pPr>
        <w:spacing w:after="0" w:line="152" w:lineRule="exact"/>
        <w:rPr>
          <w:rFonts w:ascii="Arial" w:cs="Arial" w:eastAsia="Arial" w:hAnsi="Arial"/>
          <w:sz w:val="14"/>
          <w:szCs w:val="14"/>
          <w:color w:val="4D4D4F"/>
        </w:rPr>
      </w:pPr>
    </w:p>
    <w:p>
      <w:pPr>
        <w:ind w:left="340" w:hanging="332"/>
        <w:spacing w:after="0"/>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177,083 shares of Class A common stock issuable under options exercisable by June 7, 2020.</w:t>
      </w:r>
    </w:p>
    <w:p>
      <w:pPr>
        <w:spacing w:after="0" w:line="68" w:lineRule="exact"/>
        <w:rPr>
          <w:rFonts w:ascii="Arial" w:cs="Arial" w:eastAsia="Arial" w:hAnsi="Arial"/>
          <w:sz w:val="14"/>
          <w:szCs w:val="14"/>
          <w:color w:val="4D4D4F"/>
        </w:rPr>
      </w:pPr>
    </w:p>
    <w:p>
      <w:pPr>
        <w:ind w:left="340" w:hanging="332"/>
        <w:spacing w:after="0"/>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92,915 shares of Class A common stock issuable under options exercisable by June 7, 2020.</w:t>
      </w:r>
    </w:p>
    <w:p>
      <w:pPr>
        <w:spacing w:after="0" w:line="68" w:lineRule="exact"/>
        <w:rPr>
          <w:rFonts w:ascii="Arial" w:cs="Arial" w:eastAsia="Arial" w:hAnsi="Arial"/>
          <w:sz w:val="14"/>
          <w:szCs w:val="14"/>
          <w:color w:val="4D4D4F"/>
        </w:rPr>
      </w:pPr>
    </w:p>
    <w:p>
      <w:pPr>
        <w:ind w:left="340" w:hanging="332"/>
        <w:spacing w:after="0"/>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36,250 shares of Class A common stock issuable under options exercisable by June 7, 2020.</w:t>
      </w:r>
    </w:p>
    <w:p>
      <w:pPr>
        <w:spacing w:after="0" w:line="68" w:lineRule="exact"/>
        <w:rPr>
          <w:rFonts w:ascii="Arial" w:cs="Arial" w:eastAsia="Arial" w:hAnsi="Arial"/>
          <w:sz w:val="14"/>
          <w:szCs w:val="14"/>
          <w:color w:val="4D4D4F"/>
        </w:rPr>
      </w:pPr>
    </w:p>
    <w:p>
      <w:pPr>
        <w:ind w:left="340" w:hanging="332"/>
        <w:spacing w:after="0"/>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25,589 shares of Class A common stock issuable under options exercisable by June 7, 2020.</w:t>
      </w:r>
    </w:p>
    <w:p>
      <w:pPr>
        <w:spacing w:after="0" w:line="68" w:lineRule="exact"/>
        <w:rPr>
          <w:rFonts w:ascii="Arial" w:cs="Arial" w:eastAsia="Arial" w:hAnsi="Arial"/>
          <w:sz w:val="14"/>
          <w:szCs w:val="14"/>
          <w:color w:val="4D4D4F"/>
        </w:rPr>
      </w:pPr>
    </w:p>
    <w:p>
      <w:pPr>
        <w:ind w:left="340" w:hanging="332"/>
        <w:spacing w:after="0"/>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26,458 shares of Class A common stock issuable under options exercisable by June 7, 2020.</w:t>
      </w:r>
    </w:p>
    <w:p>
      <w:pPr>
        <w:spacing w:after="0" w:line="68" w:lineRule="exact"/>
        <w:rPr>
          <w:rFonts w:ascii="Arial" w:cs="Arial" w:eastAsia="Arial" w:hAnsi="Arial"/>
          <w:sz w:val="14"/>
          <w:szCs w:val="14"/>
          <w:color w:val="4D4D4F"/>
        </w:rPr>
      </w:pPr>
    </w:p>
    <w:p>
      <w:pPr>
        <w:jc w:val="both"/>
        <w:ind w:left="340" w:hanging="332"/>
        <w:spacing w:after="0" w:line="300" w:lineRule="auto"/>
        <w:tabs>
          <w:tab w:leader="none" w:pos="340" w:val="left"/>
        </w:tabs>
        <w:numPr>
          <w:ilvl w:val="0"/>
          <w:numId w:val="74"/>
        </w:numPr>
        <w:rPr>
          <w:rFonts w:ascii="Arial" w:cs="Arial" w:eastAsia="Arial" w:hAnsi="Arial"/>
          <w:sz w:val="14"/>
          <w:szCs w:val="14"/>
          <w:color w:val="4D4D4F"/>
        </w:rPr>
      </w:pPr>
      <w:r>
        <w:rPr>
          <w:rFonts w:ascii="Arial" w:cs="Arial" w:eastAsia="Arial" w:hAnsi="Arial"/>
          <w:sz w:val="14"/>
          <w:szCs w:val="14"/>
          <w:color w:val="4D4D4F"/>
        </w:rPr>
        <w:t>Includes shares held jointly, indirectly and/or in trust, including 1,540,220 shares of Class A common stock issuable under options exercisable by June 7, 2020. See notes (5) through (12). Jian Wang’s beneficial ownership includes 397,502 shares of Class A common stock held by SMC (see “Certain Relationships and Related-Person Transactions—Warrant Issuance and Exercise”), of which he disclaims beneficial ownership except to the extent of his pecuniary interest therein.</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Unless otherwise indicated, the address of all individuals listed above is c/o ACM Research, Inc., 42307 Osgood Road, Suite I, Fremont, California 94539.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4D4D4F"/>
        </w:rPr>
        <w:t>As of April 8, 2020, none of the directors or executive officers beneficially owned shares of ACM Shanghai.</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Section 16(a) Beneficial Ownership Reporting Compliance</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29"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4D4D4F"/>
        </w:rPr>
        <w:t>Based solely upon a review of the Section 16(a) reports furnished to us, along with written representations from our executive oﬃcers and directors, we believe that all required reports were timely filed during 2019.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3E64"/>
        </w:rPr>
        <w:t>Executive Officers</w:t>
      </w:r>
    </w:p>
    <w:p>
      <w:pPr>
        <w:spacing w:after="0" w:line="2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4D4D4F"/>
        </w:rPr>
        <w:t>The following table sets forth, as of April 8, 2020, the names of our executive oﬃcers, their ages, their positions and business experience, and the year of their first election as oﬃcers. Each executive oﬃcer serves at the discretion of the board of directors and holds oﬃce until his successor is duly elected and qualified or until his earlier resignation or removal.</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ind w:left="680"/>
              <w:spacing w:after="0"/>
              <w:rPr>
                <w:sz w:val="20"/>
                <w:szCs w:val="20"/>
                <w:color w:val="auto"/>
              </w:rPr>
            </w:pPr>
            <w:r>
              <w:rPr>
                <w:rFonts w:ascii="Arial" w:cs="Arial" w:eastAsia="Arial" w:hAnsi="Arial"/>
                <w:sz w:val="14"/>
                <w:szCs w:val="14"/>
                <w:b w:val="1"/>
                <w:bCs w:val="1"/>
                <w:color w:val="FFFFFF"/>
              </w:rPr>
              <w:t>Name</w:t>
            </w:r>
          </w:p>
        </w:tc>
        <w:tc>
          <w:tcPr>
            <w:tcW w:w="520" w:type="dxa"/>
            <w:vAlign w:val="bottom"/>
          </w:tcPr>
          <w:p>
            <w:pPr>
              <w:ind w:left="200"/>
              <w:spacing w:after="0"/>
              <w:rPr>
                <w:sz w:val="20"/>
                <w:szCs w:val="20"/>
                <w:color w:val="auto"/>
              </w:rPr>
            </w:pPr>
            <w:r>
              <w:rPr>
                <w:rFonts w:ascii="Arial" w:cs="Arial" w:eastAsia="Arial" w:hAnsi="Arial"/>
                <w:sz w:val="14"/>
                <w:szCs w:val="14"/>
                <w:b w:val="1"/>
                <w:bCs w:val="1"/>
                <w:color w:val="FFFFFF"/>
              </w:rPr>
              <w:t>Age</w:t>
            </w:r>
          </w:p>
        </w:tc>
        <w:tc>
          <w:tcPr>
            <w:tcW w:w="7920" w:type="dxa"/>
            <w:vAlign w:val="bottom"/>
          </w:tcPr>
          <w:p>
            <w:pPr>
              <w:ind w:left="2780"/>
              <w:spacing w:after="0"/>
              <w:rPr>
                <w:sz w:val="20"/>
                <w:szCs w:val="20"/>
                <w:color w:val="auto"/>
              </w:rPr>
            </w:pPr>
            <w:r>
              <w:rPr>
                <w:rFonts w:ascii="Arial" w:cs="Arial" w:eastAsia="Arial" w:hAnsi="Arial"/>
                <w:sz w:val="14"/>
                <w:szCs w:val="14"/>
                <w:b w:val="1"/>
                <w:bCs w:val="1"/>
                <w:color w:val="FFFFFF"/>
              </w:rPr>
              <w:t>Positions and Business Experience</w:t>
            </w:r>
          </w:p>
        </w:tc>
      </w:tr>
      <w:tr>
        <w:trPr>
          <w:trHeight w:val="241"/>
        </w:trPr>
        <w:tc>
          <w:tcPr>
            <w:tcW w:w="1680" w:type="dxa"/>
            <w:vAlign w:val="bottom"/>
          </w:tcPr>
          <w:p>
            <w:pPr>
              <w:spacing w:after="0"/>
              <w:rPr>
                <w:sz w:val="20"/>
                <w:szCs w:val="20"/>
                <w:color w:val="auto"/>
              </w:rPr>
            </w:pPr>
            <w:r>
              <w:rPr>
                <w:rFonts w:ascii="Arial" w:cs="Arial" w:eastAsia="Arial" w:hAnsi="Arial"/>
                <w:sz w:val="18"/>
                <w:szCs w:val="18"/>
                <w:color w:val="4D4D4F"/>
              </w:rPr>
              <w:t>David H. Wang</w:t>
            </w:r>
          </w:p>
        </w:tc>
        <w:tc>
          <w:tcPr>
            <w:tcW w:w="520" w:type="dxa"/>
            <w:vAlign w:val="bottom"/>
          </w:tcPr>
          <w:p>
            <w:pPr>
              <w:jc w:val="right"/>
              <w:ind w:right="16"/>
              <w:spacing w:after="0"/>
              <w:rPr>
                <w:sz w:val="20"/>
                <w:szCs w:val="20"/>
                <w:color w:val="auto"/>
              </w:rPr>
            </w:pPr>
            <w:r>
              <w:rPr>
                <w:rFonts w:ascii="Arial" w:cs="Arial" w:eastAsia="Arial" w:hAnsi="Arial"/>
                <w:sz w:val="18"/>
                <w:szCs w:val="18"/>
                <w:color w:val="4D4D4F"/>
              </w:rPr>
              <w:t>58</w:t>
            </w:r>
          </w:p>
        </w:tc>
        <w:tc>
          <w:tcPr>
            <w:tcW w:w="7920" w:type="dxa"/>
            <w:vAlign w:val="bottom"/>
          </w:tcPr>
          <w:p>
            <w:pPr>
              <w:ind w:left="80"/>
              <w:spacing w:after="0"/>
              <w:rPr>
                <w:sz w:val="20"/>
                <w:szCs w:val="20"/>
                <w:color w:val="auto"/>
              </w:rPr>
            </w:pPr>
            <w:r>
              <w:rPr>
                <w:rFonts w:ascii="Arial" w:cs="Arial" w:eastAsia="Arial" w:hAnsi="Arial"/>
                <w:sz w:val="18"/>
                <w:szCs w:val="18"/>
                <w:color w:val="4D4D4F"/>
              </w:rPr>
              <w:t>Please see “Proposal 1. Election of Directors—Information Concerning Nominees for Election as</w:t>
            </w:r>
          </w:p>
        </w:tc>
      </w:tr>
      <w:tr>
        <w:trPr>
          <w:trHeight w:val="210"/>
        </w:trPr>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20" w:type="dxa"/>
            <w:vAlign w:val="bottom"/>
          </w:tcPr>
          <w:p>
            <w:pPr>
              <w:ind w:left="80"/>
              <w:spacing w:after="0"/>
              <w:rPr>
                <w:sz w:val="20"/>
                <w:szCs w:val="20"/>
                <w:color w:val="auto"/>
              </w:rPr>
            </w:pPr>
            <w:r>
              <w:rPr>
                <w:rFonts w:ascii="Arial" w:cs="Arial" w:eastAsia="Arial" w:hAnsi="Arial"/>
                <w:sz w:val="18"/>
                <w:szCs w:val="18"/>
                <w:color w:val="4D4D4F"/>
              </w:rPr>
              <w:t>Directors.”</w:t>
            </w:r>
          </w:p>
        </w:tc>
      </w:tr>
      <w:tr>
        <w:trPr>
          <w:trHeight w:val="244"/>
        </w:trPr>
        <w:tc>
          <w:tcPr>
            <w:tcW w:w="1680" w:type="dxa"/>
            <w:vAlign w:val="bottom"/>
          </w:tcPr>
          <w:p>
            <w:pPr>
              <w:spacing w:after="0"/>
              <w:rPr>
                <w:sz w:val="20"/>
                <w:szCs w:val="20"/>
                <w:color w:val="auto"/>
              </w:rPr>
            </w:pPr>
            <w:r>
              <w:rPr>
                <w:rFonts w:ascii="Arial" w:cs="Arial" w:eastAsia="Arial" w:hAnsi="Arial"/>
                <w:sz w:val="18"/>
                <w:szCs w:val="18"/>
                <w:color w:val="4D4D4F"/>
              </w:rPr>
              <w:t>Mark McKechnie</w:t>
            </w:r>
          </w:p>
        </w:tc>
        <w:tc>
          <w:tcPr>
            <w:tcW w:w="520" w:type="dxa"/>
            <w:vAlign w:val="bottom"/>
          </w:tcPr>
          <w:p>
            <w:pPr>
              <w:jc w:val="right"/>
              <w:spacing w:after="0"/>
              <w:rPr>
                <w:sz w:val="20"/>
                <w:szCs w:val="20"/>
                <w:color w:val="auto"/>
              </w:rPr>
            </w:pPr>
            <w:r>
              <w:rPr>
                <w:rFonts w:ascii="Arial" w:cs="Arial" w:eastAsia="Arial" w:hAnsi="Arial"/>
                <w:sz w:val="18"/>
                <w:szCs w:val="18"/>
                <w:color w:val="4D4D4F"/>
              </w:rPr>
              <w:t>53</w:t>
            </w:r>
          </w:p>
        </w:tc>
        <w:tc>
          <w:tcPr>
            <w:tcW w:w="7920" w:type="dxa"/>
            <w:vAlign w:val="bottom"/>
          </w:tcPr>
          <w:p>
            <w:pPr>
              <w:ind w:left="80"/>
              <w:spacing w:after="0"/>
              <w:rPr>
                <w:sz w:val="20"/>
                <w:szCs w:val="20"/>
                <w:color w:val="auto"/>
              </w:rPr>
            </w:pPr>
            <w:r>
              <w:rPr>
                <w:rFonts w:ascii="Arial" w:cs="Arial" w:eastAsia="Arial" w:hAnsi="Arial"/>
                <w:sz w:val="18"/>
                <w:szCs w:val="18"/>
                <w:color w:val="4D4D4F"/>
              </w:rPr>
              <w:t>Chief Financial Oﬃcer, Treasurer and Secretary of ACM Research, Inc. (November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028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jc w:val="both"/>
        <w:ind w:left="2280"/>
        <w:spacing w:after="0" w:line="241" w:lineRule="auto"/>
        <w:rPr>
          <w:sz w:val="20"/>
          <w:szCs w:val="20"/>
          <w:color w:val="auto"/>
        </w:rPr>
      </w:pPr>
      <w:r>
        <w:rPr>
          <w:rFonts w:ascii="Arial" w:cs="Arial" w:eastAsia="Arial" w:hAnsi="Arial"/>
          <w:sz w:val="18"/>
          <w:szCs w:val="18"/>
          <w:color w:val="4D4D4F"/>
        </w:rPr>
        <w:t>2019-present); Vice President of Finance of ACM Research, Inc. (July 2018-November 2019); Vice President of Investor Relations and Strategic Initiatives of Silver Spring Networks (November 2014-January 2018); Managing Director of Technology Equity Research of Evercore Partners (2012-2014); received a Bachelor of Science in Electrical Engineering degree from Purdue University and a Master of Business Administration degree from The Kellogg School of Management at Northwestern University.</w:t>
      </w:r>
    </w:p>
    <w:p>
      <w:pPr>
        <w:spacing w:after="0" w:line="20" w:lineRule="exact"/>
        <w:rPr>
          <w:sz w:val="20"/>
          <w:szCs w:val="20"/>
          <w:color w:val="auto"/>
        </w:rPr>
      </w:pPr>
      <w:r>
        <w:rPr>
          <w:sz w:val="20"/>
          <w:szCs w:val="20"/>
          <w:color w:val="auto"/>
        </w:rPr>
        <w:br w:type="column"/>
      </w:r>
    </w:p>
    <w:p>
      <w:pPr>
        <w:jc w:val="center"/>
        <w:ind w:right="180"/>
        <w:spacing w:after="0" w:line="255" w:lineRule="auto"/>
        <w:rPr>
          <w:sz w:val="20"/>
          <w:szCs w:val="20"/>
          <w:color w:val="auto"/>
        </w:rPr>
      </w:pPr>
      <w:r>
        <w:rPr>
          <w:rFonts w:ascii="Arial" w:cs="Arial" w:eastAsia="Arial" w:hAnsi="Arial"/>
          <w:sz w:val="14"/>
          <w:szCs w:val="14"/>
          <w:b w:val="1"/>
          <w:bCs w:val="1"/>
          <w:color w:val="FFFFFF"/>
        </w:rPr>
        <w:t>Year First Elected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4D4D4F"/>
        </w:rPr>
        <w:t>1998</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8"/>
          <w:szCs w:val="18"/>
          <w:color w:val="4D4D4F"/>
        </w:rPr>
        <w:t>2019</w:t>
      </w:r>
    </w:p>
    <w:p>
      <w:pPr>
        <w:spacing w:after="0" w:line="1414" w:lineRule="exact"/>
        <w:rPr>
          <w:sz w:val="20"/>
          <w:szCs w:val="20"/>
          <w:color w:val="auto"/>
        </w:rPr>
      </w:pPr>
    </w:p>
    <w:p>
      <w:pPr>
        <w:sectPr>
          <w:pgSz w:w="11900" w:h="16838" w:orient="portrait"/>
          <w:cols w:equalWidth="0" w:num="2">
            <w:col w:w="10140" w:space="260"/>
            <w:col w:w="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4D4D4F"/>
              </w:rPr>
              <w:t>Jian Wang</w:t>
            </w:r>
          </w:p>
        </w:tc>
        <w:tc>
          <w:tcPr>
            <w:tcW w:w="540" w:type="dxa"/>
            <w:vAlign w:val="bottom"/>
          </w:tcPr>
          <w:p>
            <w:pPr>
              <w:ind w:left="240"/>
              <w:spacing w:after="0"/>
              <w:rPr>
                <w:sz w:val="20"/>
                <w:szCs w:val="20"/>
                <w:color w:val="auto"/>
              </w:rPr>
            </w:pPr>
            <w:r>
              <w:rPr>
                <w:rFonts w:ascii="Arial" w:cs="Arial" w:eastAsia="Arial" w:hAnsi="Arial"/>
                <w:sz w:val="18"/>
                <w:szCs w:val="18"/>
                <w:color w:val="4D4D4F"/>
              </w:rPr>
              <w:t>55</w:t>
            </w:r>
          </w:p>
        </w:tc>
        <w:tc>
          <w:tcPr>
            <w:tcW w:w="8120" w:type="dxa"/>
            <w:vAlign w:val="bottom"/>
          </w:tcPr>
          <w:p>
            <w:pPr>
              <w:ind w:left="80"/>
              <w:spacing w:after="0"/>
              <w:rPr>
                <w:sz w:val="20"/>
                <w:szCs w:val="20"/>
                <w:color w:val="auto"/>
              </w:rPr>
            </w:pPr>
            <w:r>
              <w:rPr>
                <w:rFonts w:ascii="Arial" w:cs="Arial" w:eastAsia="Arial" w:hAnsi="Arial"/>
                <w:sz w:val="18"/>
                <w:szCs w:val="18"/>
                <w:color w:val="4D4D4F"/>
              </w:rPr>
              <w:t>Chief Executive Oﬃcer and President of ACM Research (Shanghai), Inc. (November</w:t>
            </w:r>
          </w:p>
        </w:tc>
        <w:tc>
          <w:tcPr>
            <w:tcW w:w="920" w:type="dxa"/>
            <w:vAlign w:val="bottom"/>
          </w:tcPr>
          <w:p>
            <w:pPr>
              <w:jc w:val="right"/>
              <w:ind w:right="190"/>
              <w:spacing w:after="0"/>
              <w:rPr>
                <w:sz w:val="20"/>
                <w:szCs w:val="20"/>
                <w:color w:val="auto"/>
              </w:rPr>
            </w:pPr>
            <w:r>
              <w:rPr>
                <w:rFonts w:ascii="Arial" w:cs="Arial" w:eastAsia="Arial" w:hAnsi="Arial"/>
                <w:sz w:val="18"/>
                <w:szCs w:val="18"/>
                <w:color w:val="4D4D4F"/>
              </w:rPr>
              <w:t>2015</w:t>
            </w: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2019-present); Vice President, Research and Development (January 2015-November</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2019); Director of Research and Development of ACM Research (Shanghai), Inc. (2011-</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January 2015), focusing on the research and development of stress-free polishing and</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electro-chemical-copper-planarization  technologies;  received  a  Master  of  Science</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degree in computer science from Northwestern Polytechnic University, a Master of</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Science degree in marine engineering from Kobe University and a Bachelor of Science</w:t>
            </w:r>
          </w:p>
        </w:tc>
        <w:tc>
          <w:tcPr>
            <w:tcW w:w="920" w:type="dxa"/>
            <w:vAlign w:val="bottom"/>
          </w:tcPr>
          <w:p>
            <w:pPr>
              <w:spacing w:after="0"/>
              <w:rPr>
                <w:sz w:val="17"/>
                <w:szCs w:val="17"/>
                <w:color w:val="auto"/>
              </w:rPr>
            </w:pPr>
          </w:p>
        </w:tc>
      </w:tr>
      <w:tr>
        <w:trPr>
          <w:trHeight w:val="290"/>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4D4D4F"/>
              </w:rPr>
              <w:t>degree in mechanical engineering from Southeast University.</w:t>
            </w:r>
          </w:p>
        </w:tc>
        <w:tc>
          <w:tcPr>
            <w:tcW w:w="920" w:type="dxa"/>
            <w:vAlign w:val="bottom"/>
          </w:tcPr>
          <w:p>
            <w:pPr>
              <w:spacing w:after="0"/>
              <w:rPr>
                <w:sz w:val="24"/>
                <w:szCs w:val="24"/>
                <w:color w:val="auto"/>
              </w:rPr>
            </w:pPr>
          </w:p>
        </w:tc>
      </w:tr>
      <w:tr>
        <w:trPr>
          <w:trHeight w:val="223"/>
        </w:trPr>
        <w:tc>
          <w:tcPr>
            <w:tcW w:w="1660" w:type="dxa"/>
            <w:vAlign w:val="bottom"/>
            <w:shd w:val="clear" w:color="auto" w:fill="B7E4FF"/>
          </w:tcPr>
          <w:p>
            <w:pPr>
              <w:spacing w:after="0"/>
              <w:rPr>
                <w:sz w:val="20"/>
                <w:szCs w:val="20"/>
                <w:color w:val="auto"/>
              </w:rPr>
            </w:pPr>
            <w:r>
              <w:rPr>
                <w:rFonts w:ascii="Arial" w:cs="Arial" w:eastAsia="Arial" w:hAnsi="Arial"/>
                <w:sz w:val="18"/>
                <w:szCs w:val="18"/>
                <w:color w:val="4D4D4F"/>
              </w:rPr>
              <w:t>Lisa Feng</w:t>
            </w:r>
          </w:p>
        </w:tc>
        <w:tc>
          <w:tcPr>
            <w:tcW w:w="540" w:type="dxa"/>
            <w:vAlign w:val="bottom"/>
            <w:shd w:val="clear" w:color="auto" w:fill="B7E4FF"/>
          </w:tcPr>
          <w:p>
            <w:pPr>
              <w:ind w:left="240"/>
              <w:spacing w:after="0"/>
              <w:rPr>
                <w:sz w:val="20"/>
                <w:szCs w:val="20"/>
                <w:color w:val="auto"/>
              </w:rPr>
            </w:pPr>
            <w:r>
              <w:rPr>
                <w:rFonts w:ascii="Arial" w:cs="Arial" w:eastAsia="Arial" w:hAnsi="Arial"/>
                <w:sz w:val="18"/>
                <w:szCs w:val="18"/>
                <w:color w:val="4D4D4F"/>
              </w:rPr>
              <w:t>61</w:t>
            </w:r>
          </w:p>
        </w:tc>
        <w:tc>
          <w:tcPr>
            <w:tcW w:w="8120" w:type="dxa"/>
            <w:vAlign w:val="bottom"/>
            <w:shd w:val="clear" w:color="auto" w:fill="B7E4FF"/>
          </w:tcPr>
          <w:p>
            <w:pPr>
              <w:ind w:left="80"/>
              <w:spacing w:after="0"/>
              <w:rPr>
                <w:sz w:val="20"/>
                <w:szCs w:val="20"/>
                <w:color w:val="auto"/>
              </w:rPr>
            </w:pPr>
            <w:r>
              <w:rPr>
                <w:rFonts w:ascii="Arial" w:cs="Arial" w:eastAsia="Arial" w:hAnsi="Arial"/>
                <w:sz w:val="18"/>
                <w:szCs w:val="18"/>
                <w:color w:val="4D4D4F"/>
              </w:rPr>
              <w:t>Chief Financial Oﬃcer of ACM Research (Shanghai), Inc. (November 2019-present);</w:t>
            </w:r>
          </w:p>
        </w:tc>
        <w:tc>
          <w:tcPr>
            <w:tcW w:w="920" w:type="dxa"/>
            <w:vAlign w:val="bottom"/>
            <w:shd w:val="clear" w:color="auto" w:fill="B7E4FF"/>
          </w:tcPr>
          <w:p>
            <w:pPr>
              <w:jc w:val="right"/>
              <w:ind w:right="190"/>
              <w:spacing w:after="0"/>
              <w:rPr>
                <w:sz w:val="20"/>
                <w:szCs w:val="20"/>
                <w:color w:val="auto"/>
              </w:rPr>
            </w:pPr>
            <w:r>
              <w:rPr>
                <w:rFonts w:ascii="Arial" w:cs="Arial" w:eastAsia="Arial" w:hAnsi="Arial"/>
                <w:sz w:val="18"/>
                <w:szCs w:val="18"/>
                <w:color w:val="4D4D4F"/>
              </w:rPr>
              <w:t>2019</w:t>
            </w: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Chief  Accounting  Oﬃcer,  Interim  Chief  Financial  Oﬃcer  and  Treasurer  of  ACM</w:t>
            </w:r>
          </w:p>
        </w:tc>
        <w:tc>
          <w:tcPr>
            <w:tcW w:w="920" w:type="dxa"/>
            <w:vAlign w:val="bottom"/>
            <w:shd w:val="clear" w:color="auto" w:fill="B7E4FF"/>
          </w:tcPr>
          <w:p>
            <w:pPr>
              <w:spacing w:after="0"/>
              <w:rPr>
                <w:sz w:val="17"/>
                <w:szCs w:val="17"/>
                <w:color w:val="auto"/>
              </w:rPr>
            </w:pPr>
          </w:p>
        </w:tc>
      </w:tr>
      <w:tr>
        <w:trPr>
          <w:trHeight w:val="202"/>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Research, Inc. (January 2018- November 2019); Financial Controller (October 2017-</w:t>
            </w:r>
          </w:p>
        </w:tc>
        <w:tc>
          <w:tcPr>
            <w:tcW w:w="920" w:type="dxa"/>
            <w:vAlign w:val="bottom"/>
            <w:shd w:val="clear" w:color="auto" w:fill="B7E4FF"/>
          </w:tcPr>
          <w:p>
            <w:pPr>
              <w:spacing w:after="0"/>
              <w:rPr>
                <w:sz w:val="17"/>
                <w:szCs w:val="17"/>
                <w:color w:val="auto"/>
              </w:rPr>
            </w:pP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January 2018); Corporate Controller of Amlogic, Inc. (August 2008-September 2017);</w:t>
            </w:r>
          </w:p>
        </w:tc>
        <w:tc>
          <w:tcPr>
            <w:tcW w:w="920" w:type="dxa"/>
            <w:vAlign w:val="bottom"/>
            <w:shd w:val="clear" w:color="auto" w:fill="B7E4FF"/>
          </w:tcPr>
          <w:p>
            <w:pPr>
              <w:spacing w:after="0"/>
              <w:rPr>
                <w:sz w:val="17"/>
                <w:szCs w:val="17"/>
                <w:color w:val="auto"/>
              </w:rPr>
            </w:pP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received  a  Bachelor  of  Science  degree  in  Business/Economics  from  Southern</w:t>
            </w:r>
          </w:p>
        </w:tc>
        <w:tc>
          <w:tcPr>
            <w:tcW w:w="920" w:type="dxa"/>
            <w:vAlign w:val="bottom"/>
            <w:shd w:val="clear" w:color="auto" w:fill="B7E4FF"/>
          </w:tcPr>
          <w:p>
            <w:pPr>
              <w:spacing w:after="0"/>
              <w:rPr>
                <w:sz w:val="17"/>
                <w:szCs w:val="17"/>
                <w:color w:val="auto"/>
              </w:rPr>
            </w:pP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Connecticut State University and a Master of Science degree in Accounting from</w:t>
            </w:r>
          </w:p>
        </w:tc>
        <w:tc>
          <w:tcPr>
            <w:tcW w:w="920" w:type="dxa"/>
            <w:vAlign w:val="bottom"/>
            <w:shd w:val="clear" w:color="auto" w:fill="B7E4FF"/>
          </w:tcPr>
          <w:p>
            <w:pPr>
              <w:spacing w:after="0"/>
              <w:rPr>
                <w:sz w:val="17"/>
                <w:szCs w:val="17"/>
                <w:color w:val="auto"/>
              </w:rPr>
            </w:pPr>
          </w:p>
        </w:tc>
      </w:tr>
      <w:tr>
        <w:trPr>
          <w:trHeight w:val="297"/>
        </w:trPr>
        <w:tc>
          <w:tcPr>
            <w:tcW w:w="1660" w:type="dxa"/>
            <w:vAlign w:val="bottom"/>
            <w:shd w:val="clear" w:color="auto" w:fill="B7E4FF"/>
          </w:tcPr>
          <w:p>
            <w:pPr>
              <w:spacing w:after="0"/>
              <w:rPr>
                <w:sz w:val="24"/>
                <w:szCs w:val="24"/>
                <w:color w:val="auto"/>
              </w:rPr>
            </w:pPr>
          </w:p>
        </w:tc>
        <w:tc>
          <w:tcPr>
            <w:tcW w:w="540" w:type="dxa"/>
            <w:vAlign w:val="bottom"/>
            <w:shd w:val="clear" w:color="auto" w:fill="B7E4FF"/>
          </w:tcPr>
          <w:p>
            <w:pPr>
              <w:spacing w:after="0"/>
              <w:rPr>
                <w:sz w:val="24"/>
                <w:szCs w:val="24"/>
                <w:color w:val="auto"/>
              </w:rPr>
            </w:pPr>
          </w:p>
        </w:tc>
        <w:tc>
          <w:tcPr>
            <w:tcW w:w="8120" w:type="dxa"/>
            <w:vAlign w:val="bottom"/>
            <w:shd w:val="clear" w:color="auto" w:fill="B7E4FF"/>
          </w:tcPr>
          <w:p>
            <w:pPr>
              <w:ind w:left="80"/>
              <w:spacing w:after="0"/>
              <w:rPr>
                <w:sz w:val="20"/>
                <w:szCs w:val="20"/>
                <w:color w:val="auto"/>
              </w:rPr>
            </w:pPr>
            <w:r>
              <w:rPr>
                <w:rFonts w:ascii="Arial" w:cs="Arial" w:eastAsia="Arial" w:hAnsi="Arial"/>
                <w:sz w:val="18"/>
                <w:szCs w:val="18"/>
                <w:color w:val="4D4D4F"/>
              </w:rPr>
              <w:t>Golden Gate University.</w:t>
            </w:r>
          </w:p>
        </w:tc>
        <w:tc>
          <w:tcPr>
            <w:tcW w:w="920" w:type="dxa"/>
            <w:vAlign w:val="bottom"/>
            <w:shd w:val="clear" w:color="auto" w:fill="B7E4FF"/>
          </w:tcPr>
          <w:p>
            <w:pPr>
              <w:spacing w:after="0"/>
              <w:rPr>
                <w:sz w:val="24"/>
                <w:szCs w:val="24"/>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4D4D4F"/>
              </w:rPr>
              <w:t>Sotheara Cheav</w:t>
            </w:r>
          </w:p>
        </w:tc>
        <w:tc>
          <w:tcPr>
            <w:tcW w:w="540" w:type="dxa"/>
            <w:vAlign w:val="bottom"/>
          </w:tcPr>
          <w:p>
            <w:pPr>
              <w:ind w:left="240"/>
              <w:spacing w:after="0"/>
              <w:rPr>
                <w:sz w:val="20"/>
                <w:szCs w:val="20"/>
                <w:color w:val="auto"/>
              </w:rPr>
            </w:pPr>
            <w:r>
              <w:rPr>
                <w:rFonts w:ascii="Arial" w:cs="Arial" w:eastAsia="Arial" w:hAnsi="Arial"/>
                <w:sz w:val="18"/>
                <w:szCs w:val="18"/>
                <w:color w:val="4D4D4F"/>
              </w:rPr>
              <w:t>68</w:t>
            </w:r>
          </w:p>
        </w:tc>
        <w:tc>
          <w:tcPr>
            <w:tcW w:w="8120" w:type="dxa"/>
            <w:vAlign w:val="bottom"/>
          </w:tcPr>
          <w:p>
            <w:pPr>
              <w:ind w:left="80"/>
              <w:spacing w:after="0"/>
              <w:rPr>
                <w:sz w:val="20"/>
                <w:szCs w:val="20"/>
                <w:color w:val="auto"/>
              </w:rPr>
            </w:pPr>
            <w:r>
              <w:rPr>
                <w:rFonts w:ascii="Arial" w:cs="Arial" w:eastAsia="Arial" w:hAnsi="Arial"/>
                <w:sz w:val="18"/>
                <w:szCs w:val="18"/>
                <w:color w:val="4D4D4F"/>
              </w:rPr>
              <w:t>Senior Vice President, Manufacturing of ACM Research (Shanghai), Inc. (May 2019-</w:t>
            </w:r>
          </w:p>
        </w:tc>
        <w:tc>
          <w:tcPr>
            <w:tcW w:w="920" w:type="dxa"/>
            <w:vAlign w:val="bottom"/>
          </w:tcPr>
          <w:p>
            <w:pPr>
              <w:jc w:val="right"/>
              <w:ind w:right="190"/>
              <w:spacing w:after="0"/>
              <w:rPr>
                <w:sz w:val="20"/>
                <w:szCs w:val="20"/>
                <w:color w:val="auto"/>
              </w:rPr>
            </w:pPr>
            <w:r>
              <w:rPr>
                <w:rFonts w:ascii="Arial" w:cs="Arial" w:eastAsia="Arial" w:hAnsi="Arial"/>
                <w:sz w:val="18"/>
                <w:szCs w:val="18"/>
                <w:color w:val="4D4D4F"/>
              </w:rPr>
              <w:t>2015</w:t>
            </w: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present); Vice President, Manufacturing of ACM Research (Shanghai), Inc. (January</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2015-May 2019); Director of Manufacturing of ACM Research (Shanghai), Inc. (2011-</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December 2014); received a Bachelor of Science degree in Science and Technology</w:t>
            </w:r>
          </w:p>
        </w:tc>
        <w:tc>
          <w:tcPr>
            <w:tcW w:w="92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120" w:type="dxa"/>
            <w:vAlign w:val="bottom"/>
          </w:tcPr>
          <w:p>
            <w:pPr>
              <w:ind w:left="80"/>
              <w:spacing w:after="0" w:line="202" w:lineRule="exact"/>
              <w:rPr>
                <w:sz w:val="20"/>
                <w:szCs w:val="20"/>
                <w:color w:val="auto"/>
              </w:rPr>
            </w:pPr>
            <w:r>
              <w:rPr>
                <w:rFonts w:ascii="Arial" w:cs="Arial" w:eastAsia="Arial" w:hAnsi="Arial"/>
                <w:sz w:val="18"/>
                <w:szCs w:val="18"/>
                <w:color w:val="4D4D4F"/>
              </w:rPr>
              <w:t>from the University of Cambodia and an Associate of Science degree in Electronics</w:t>
            </w:r>
          </w:p>
        </w:tc>
        <w:tc>
          <w:tcPr>
            <w:tcW w:w="920" w:type="dxa"/>
            <w:vAlign w:val="bottom"/>
          </w:tcPr>
          <w:p>
            <w:pPr>
              <w:spacing w:after="0"/>
              <w:rPr>
                <w:sz w:val="17"/>
                <w:szCs w:val="17"/>
                <w:color w:val="auto"/>
              </w:rPr>
            </w:pPr>
          </w:p>
        </w:tc>
      </w:tr>
      <w:tr>
        <w:trPr>
          <w:trHeight w:val="290"/>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4D4D4F"/>
              </w:rPr>
              <w:t>from Bay Valley Technical Institute.</w:t>
            </w:r>
          </w:p>
        </w:tc>
        <w:tc>
          <w:tcPr>
            <w:tcW w:w="920" w:type="dxa"/>
            <w:vAlign w:val="bottom"/>
          </w:tcPr>
          <w:p>
            <w:pPr>
              <w:spacing w:after="0"/>
              <w:rPr>
                <w:sz w:val="24"/>
                <w:szCs w:val="24"/>
                <w:color w:val="auto"/>
              </w:rPr>
            </w:pPr>
          </w:p>
        </w:tc>
      </w:tr>
      <w:tr>
        <w:trPr>
          <w:trHeight w:val="223"/>
        </w:trPr>
        <w:tc>
          <w:tcPr>
            <w:tcW w:w="1660" w:type="dxa"/>
            <w:vAlign w:val="bottom"/>
            <w:shd w:val="clear" w:color="auto" w:fill="B7E4FF"/>
          </w:tcPr>
          <w:p>
            <w:pPr>
              <w:spacing w:after="0"/>
              <w:rPr>
                <w:sz w:val="20"/>
                <w:szCs w:val="20"/>
                <w:color w:val="auto"/>
              </w:rPr>
            </w:pPr>
            <w:r>
              <w:rPr>
                <w:rFonts w:ascii="Arial" w:cs="Arial" w:eastAsia="Arial" w:hAnsi="Arial"/>
                <w:sz w:val="18"/>
                <w:szCs w:val="18"/>
                <w:color w:val="4D4D4F"/>
              </w:rPr>
              <w:t>Fuping Chen</w:t>
            </w:r>
          </w:p>
        </w:tc>
        <w:tc>
          <w:tcPr>
            <w:tcW w:w="8660" w:type="dxa"/>
            <w:vAlign w:val="bottom"/>
            <w:gridSpan w:val="2"/>
            <w:shd w:val="clear" w:color="auto" w:fill="B7E4FF"/>
          </w:tcPr>
          <w:p>
            <w:pPr>
              <w:ind w:left="240"/>
              <w:spacing w:after="0"/>
              <w:rPr>
                <w:sz w:val="20"/>
                <w:szCs w:val="20"/>
                <w:color w:val="auto"/>
              </w:rPr>
            </w:pPr>
            <w:r>
              <w:rPr>
                <w:rFonts w:ascii="Arial" w:cs="Arial" w:eastAsia="Arial" w:hAnsi="Arial"/>
                <w:sz w:val="18"/>
                <w:szCs w:val="18"/>
                <w:color w:val="4D4D4F"/>
              </w:rPr>
              <w:t>38  Vice President, Sales—China of ACM Research (Shanghai), Inc. (January 2018-present);</w:t>
            </w:r>
          </w:p>
        </w:tc>
        <w:tc>
          <w:tcPr>
            <w:tcW w:w="920" w:type="dxa"/>
            <w:vAlign w:val="bottom"/>
            <w:shd w:val="clear" w:color="auto" w:fill="B7E4FF"/>
          </w:tcPr>
          <w:p>
            <w:pPr>
              <w:jc w:val="right"/>
              <w:ind w:right="190"/>
              <w:spacing w:after="0"/>
              <w:rPr>
                <w:sz w:val="20"/>
                <w:szCs w:val="20"/>
                <w:color w:val="auto"/>
              </w:rPr>
            </w:pPr>
            <w:r>
              <w:rPr>
                <w:rFonts w:ascii="Arial" w:cs="Arial" w:eastAsia="Arial" w:hAnsi="Arial"/>
                <w:sz w:val="18"/>
                <w:szCs w:val="18"/>
                <w:color w:val="4D4D4F"/>
              </w:rPr>
              <w:t>2018</w:t>
            </w: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Senior Technical Director of ACM Research, Inc. (2010-2017); Assistant Wet Process</w:t>
            </w:r>
          </w:p>
        </w:tc>
        <w:tc>
          <w:tcPr>
            <w:tcW w:w="920" w:type="dxa"/>
            <w:vAlign w:val="bottom"/>
            <w:shd w:val="clear" w:color="auto" w:fill="B7E4FF"/>
          </w:tcPr>
          <w:p>
            <w:pPr>
              <w:spacing w:after="0"/>
              <w:rPr>
                <w:sz w:val="17"/>
                <w:szCs w:val="17"/>
                <w:color w:val="auto"/>
              </w:rPr>
            </w:pP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Manager of SK Hynix Inc. (2006-2010); received a Bachelor of Science degree from</w:t>
            </w:r>
          </w:p>
        </w:tc>
        <w:tc>
          <w:tcPr>
            <w:tcW w:w="920" w:type="dxa"/>
            <w:vAlign w:val="bottom"/>
            <w:shd w:val="clear" w:color="auto" w:fill="B7E4FF"/>
          </w:tcPr>
          <w:p>
            <w:pPr>
              <w:spacing w:after="0"/>
              <w:rPr>
                <w:sz w:val="17"/>
                <w:szCs w:val="17"/>
                <w:color w:val="auto"/>
              </w:rPr>
            </w:pPr>
          </w:p>
        </w:tc>
      </w:tr>
      <w:tr>
        <w:trPr>
          <w:trHeight w:val="203"/>
        </w:trPr>
        <w:tc>
          <w:tcPr>
            <w:tcW w:w="1660" w:type="dxa"/>
            <w:vAlign w:val="bottom"/>
            <w:shd w:val="clear" w:color="auto" w:fill="B7E4FF"/>
          </w:tcPr>
          <w:p>
            <w:pPr>
              <w:spacing w:after="0"/>
              <w:rPr>
                <w:sz w:val="17"/>
                <w:szCs w:val="17"/>
                <w:color w:val="auto"/>
              </w:rPr>
            </w:pPr>
          </w:p>
        </w:tc>
        <w:tc>
          <w:tcPr>
            <w:tcW w:w="540" w:type="dxa"/>
            <w:vAlign w:val="bottom"/>
            <w:shd w:val="clear" w:color="auto" w:fill="B7E4FF"/>
          </w:tcPr>
          <w:p>
            <w:pPr>
              <w:spacing w:after="0"/>
              <w:rPr>
                <w:sz w:val="17"/>
                <w:szCs w:val="17"/>
                <w:color w:val="auto"/>
              </w:rPr>
            </w:pPr>
          </w:p>
        </w:tc>
        <w:tc>
          <w:tcPr>
            <w:tcW w:w="8120" w:type="dxa"/>
            <w:vAlign w:val="bottom"/>
            <w:shd w:val="clear" w:color="auto" w:fill="B7E4FF"/>
          </w:tcPr>
          <w:p>
            <w:pPr>
              <w:ind w:left="80"/>
              <w:spacing w:after="0" w:line="202" w:lineRule="exact"/>
              <w:rPr>
                <w:sz w:val="20"/>
                <w:szCs w:val="20"/>
                <w:color w:val="auto"/>
              </w:rPr>
            </w:pPr>
            <w:r>
              <w:rPr>
                <w:rFonts w:ascii="Arial" w:cs="Arial" w:eastAsia="Arial" w:hAnsi="Arial"/>
                <w:sz w:val="18"/>
                <w:szCs w:val="18"/>
                <w:color w:val="4D4D4F"/>
              </w:rPr>
              <w:t>Nanjing University of Technology of Material Science and Engineering and a Master of</w:t>
            </w:r>
          </w:p>
        </w:tc>
        <w:tc>
          <w:tcPr>
            <w:tcW w:w="920" w:type="dxa"/>
            <w:vAlign w:val="bottom"/>
            <w:shd w:val="clear" w:color="auto" w:fill="B7E4FF"/>
          </w:tcPr>
          <w:p>
            <w:pPr>
              <w:spacing w:after="0"/>
              <w:rPr>
                <w:sz w:val="17"/>
                <w:szCs w:val="17"/>
                <w:color w:val="auto"/>
              </w:rPr>
            </w:pPr>
          </w:p>
        </w:tc>
      </w:tr>
      <w:tr>
        <w:trPr>
          <w:trHeight w:val="297"/>
        </w:trPr>
        <w:tc>
          <w:tcPr>
            <w:tcW w:w="1660" w:type="dxa"/>
            <w:vAlign w:val="bottom"/>
            <w:shd w:val="clear" w:color="auto" w:fill="B7E4FF"/>
          </w:tcPr>
          <w:p>
            <w:pPr>
              <w:spacing w:after="0"/>
              <w:rPr>
                <w:sz w:val="24"/>
                <w:szCs w:val="24"/>
                <w:color w:val="auto"/>
              </w:rPr>
            </w:pPr>
          </w:p>
        </w:tc>
        <w:tc>
          <w:tcPr>
            <w:tcW w:w="540" w:type="dxa"/>
            <w:vAlign w:val="bottom"/>
            <w:shd w:val="clear" w:color="auto" w:fill="B7E4FF"/>
          </w:tcPr>
          <w:p>
            <w:pPr>
              <w:spacing w:after="0"/>
              <w:rPr>
                <w:sz w:val="24"/>
                <w:szCs w:val="24"/>
                <w:color w:val="auto"/>
              </w:rPr>
            </w:pPr>
          </w:p>
        </w:tc>
        <w:tc>
          <w:tcPr>
            <w:tcW w:w="8120" w:type="dxa"/>
            <w:vAlign w:val="bottom"/>
            <w:shd w:val="clear" w:color="auto" w:fill="B7E4FF"/>
          </w:tcPr>
          <w:p>
            <w:pPr>
              <w:ind w:left="80"/>
              <w:spacing w:after="0"/>
              <w:rPr>
                <w:sz w:val="20"/>
                <w:szCs w:val="20"/>
                <w:color w:val="auto"/>
              </w:rPr>
            </w:pPr>
            <w:r>
              <w:rPr>
                <w:rFonts w:ascii="Arial" w:cs="Arial" w:eastAsia="Arial" w:hAnsi="Arial"/>
                <w:sz w:val="18"/>
                <w:szCs w:val="18"/>
                <w:color w:val="4D4D4F"/>
              </w:rPr>
              <w:t>Science degree from Zhejiang University of Material Science and Engineering.</w:t>
            </w:r>
          </w:p>
        </w:tc>
        <w:tc>
          <w:tcPr>
            <w:tcW w:w="920" w:type="dxa"/>
            <w:vAlign w:val="bottom"/>
            <w:shd w:val="clear" w:color="auto" w:fill="B7E4FF"/>
          </w:tcPr>
          <w:p>
            <w:pPr>
              <w:spacing w:after="0"/>
              <w:rPr>
                <w:sz w:val="24"/>
                <w:szCs w:val="2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4D4D4F"/>
        </w:rPr>
        <w:t>David Wang and Jian Wang are brothers.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Compensation</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Summary Compensation Table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following table provides information concerning the compensation paid to our “named executive officers,” who consist of our Chief Executive Officer and President and our other two next most highly compensated executive officers durin</w:t>
      </w:r>
      <w:r>
        <w:rPr>
          <w:rFonts w:ascii="Arial" w:cs="Arial" w:eastAsia="Arial" w:hAnsi="Arial"/>
          <w:sz w:val="18"/>
          <w:szCs w:val="18"/>
          <w:color w:val="000000"/>
        </w:rPr>
        <w:t>g 2019, Mark McKechnie and Lisa</w:t>
      </w:r>
      <w:r>
        <w:rPr>
          <w:rFonts w:ascii="Arial" w:cs="Arial" w:eastAsia="Arial" w:hAnsi="Arial"/>
          <w:sz w:val="18"/>
          <w:szCs w:val="18"/>
          <w:color w:val="4D4D4F"/>
        </w:rPr>
        <w:t xml:space="preserve"> </w:t>
      </w:r>
      <w:r>
        <w:rPr>
          <w:rFonts w:ascii="Arial" w:cs="Arial" w:eastAsia="Arial" w:hAnsi="Arial"/>
          <w:sz w:val="18"/>
          <w:szCs w:val="18"/>
          <w:color w:val="000000"/>
        </w:rPr>
        <w:t>Feng. Information as to 2018 compensation paid to Mr. McKechnie and Ms. Feng is not included, because they did not become executive officers until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shd w:val="clear" w:color="auto" w:fill="003E64"/>
          </w:tcPr>
          <w:p>
            <w:pPr>
              <w:spacing w:after="0"/>
              <w:rPr>
                <w:sz w:val="14"/>
                <w:szCs w:val="14"/>
                <w:color w:val="auto"/>
              </w:rPr>
            </w:pPr>
          </w:p>
        </w:tc>
        <w:tc>
          <w:tcPr>
            <w:tcW w:w="720" w:type="dxa"/>
            <w:vAlign w:val="bottom"/>
            <w:shd w:val="clear" w:color="auto" w:fill="003E64"/>
          </w:tcPr>
          <w:p>
            <w:pPr>
              <w:spacing w:after="0"/>
              <w:rPr>
                <w:sz w:val="14"/>
                <w:szCs w:val="14"/>
                <w:color w:val="auto"/>
              </w:rPr>
            </w:pPr>
          </w:p>
        </w:tc>
        <w:tc>
          <w:tcPr>
            <w:tcW w:w="1080" w:type="dxa"/>
            <w:vAlign w:val="bottom"/>
            <w:shd w:val="clear" w:color="auto" w:fill="003E64"/>
          </w:tcPr>
          <w:p>
            <w:pPr>
              <w:spacing w:after="0"/>
              <w:rPr>
                <w:sz w:val="14"/>
                <w:szCs w:val="14"/>
                <w:color w:val="auto"/>
              </w:rPr>
            </w:pPr>
          </w:p>
        </w:tc>
        <w:tc>
          <w:tcPr>
            <w:tcW w:w="1060" w:type="dxa"/>
            <w:vAlign w:val="bottom"/>
            <w:shd w:val="clear" w:color="auto" w:fill="003E64"/>
          </w:tcPr>
          <w:p>
            <w:pPr>
              <w:spacing w:after="0"/>
              <w:rPr>
                <w:sz w:val="14"/>
                <w:szCs w:val="14"/>
                <w:color w:val="auto"/>
              </w:rPr>
            </w:pPr>
          </w:p>
        </w:tc>
        <w:tc>
          <w:tcPr>
            <w:tcW w:w="11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003E64"/>
          </w:tcPr>
          <w:p>
            <w:pPr>
              <w:spacing w:after="0"/>
              <w:rPr>
                <w:sz w:val="14"/>
                <w:szCs w:val="14"/>
                <w:color w:val="auto"/>
              </w:rPr>
            </w:pPr>
          </w:p>
        </w:tc>
      </w:tr>
      <w:tr>
        <w:trPr>
          <w:trHeight w:val="162"/>
        </w:trPr>
        <w:tc>
          <w:tcPr>
            <w:tcW w:w="4960" w:type="dxa"/>
            <w:vAlign w:val="bottom"/>
            <w:shd w:val="clear" w:color="auto" w:fill="003E64"/>
          </w:tcPr>
          <w:p>
            <w:pPr>
              <w:spacing w:after="0"/>
              <w:rPr>
                <w:sz w:val="14"/>
                <w:szCs w:val="14"/>
                <w:color w:val="auto"/>
              </w:rPr>
            </w:pPr>
          </w:p>
        </w:tc>
        <w:tc>
          <w:tcPr>
            <w:tcW w:w="720" w:type="dxa"/>
            <w:vAlign w:val="bottom"/>
            <w:shd w:val="clear" w:color="auto" w:fill="003E64"/>
          </w:tcPr>
          <w:p>
            <w:pPr>
              <w:spacing w:after="0"/>
              <w:rPr>
                <w:sz w:val="14"/>
                <w:szCs w:val="14"/>
                <w:color w:val="auto"/>
              </w:rPr>
            </w:pPr>
          </w:p>
        </w:tc>
        <w:tc>
          <w:tcPr>
            <w:tcW w:w="1080" w:type="dxa"/>
            <w:vAlign w:val="bottom"/>
            <w:shd w:val="clear" w:color="auto" w:fill="003E64"/>
          </w:tcPr>
          <w:p>
            <w:pPr>
              <w:spacing w:after="0"/>
              <w:rPr>
                <w:sz w:val="14"/>
                <w:szCs w:val="14"/>
                <w:color w:val="auto"/>
              </w:rPr>
            </w:pPr>
          </w:p>
        </w:tc>
        <w:tc>
          <w:tcPr>
            <w:tcW w:w="1060" w:type="dxa"/>
            <w:vAlign w:val="bottom"/>
            <w:shd w:val="clear" w:color="auto" w:fill="003E64"/>
          </w:tcPr>
          <w:p>
            <w:pPr>
              <w:spacing w:after="0"/>
              <w:rPr>
                <w:sz w:val="14"/>
                <w:szCs w:val="14"/>
                <w:color w:val="auto"/>
              </w:rPr>
            </w:pPr>
          </w:p>
        </w:tc>
        <w:tc>
          <w:tcPr>
            <w:tcW w:w="11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w:t>
            </w: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003E64"/>
          </w:tcPr>
          <w:p>
            <w:pPr>
              <w:spacing w:after="0"/>
              <w:rPr>
                <w:sz w:val="14"/>
                <w:szCs w:val="14"/>
                <w:color w:val="auto"/>
              </w:rPr>
            </w:pPr>
          </w:p>
        </w:tc>
      </w:tr>
      <w:tr>
        <w:trPr>
          <w:trHeight w:val="175"/>
        </w:trPr>
        <w:tc>
          <w:tcPr>
            <w:tcW w:w="4960" w:type="dxa"/>
            <w:vAlign w:val="bottom"/>
            <w:shd w:val="clear" w:color="auto" w:fill="003E64"/>
          </w:tcPr>
          <w:p>
            <w:pPr>
              <w:ind w:left="1520"/>
              <w:spacing w:after="0"/>
              <w:rPr>
                <w:sz w:val="20"/>
                <w:szCs w:val="20"/>
                <w:color w:val="auto"/>
              </w:rPr>
            </w:pPr>
            <w:r>
              <w:rPr>
                <w:rFonts w:ascii="Arial" w:cs="Arial" w:eastAsia="Arial" w:hAnsi="Arial"/>
                <w:sz w:val="14"/>
                <w:szCs w:val="14"/>
                <w:b w:val="1"/>
                <w:bCs w:val="1"/>
                <w:color w:val="FFFFFF"/>
              </w:rPr>
              <w:t>Name and Principal Position</w:t>
            </w:r>
          </w:p>
        </w:tc>
        <w:tc>
          <w:tcPr>
            <w:tcW w:w="720" w:type="dxa"/>
            <w:vAlign w:val="bottom"/>
            <w:shd w:val="clear" w:color="auto" w:fill="003E64"/>
          </w:tcPr>
          <w:p>
            <w:pPr>
              <w:ind w:left="240"/>
              <w:spacing w:after="0"/>
              <w:rPr>
                <w:sz w:val="20"/>
                <w:szCs w:val="20"/>
                <w:color w:val="auto"/>
              </w:rPr>
            </w:pPr>
            <w:r>
              <w:rPr>
                <w:rFonts w:ascii="Arial" w:cs="Arial" w:eastAsia="Arial" w:hAnsi="Arial"/>
                <w:sz w:val="14"/>
                <w:szCs w:val="14"/>
                <w:b w:val="1"/>
                <w:bCs w:val="1"/>
                <w:color w:val="FFFFFF"/>
              </w:rPr>
              <w:t>Year</w:t>
            </w:r>
          </w:p>
        </w:tc>
        <w:tc>
          <w:tcPr>
            <w:tcW w:w="1080" w:type="dxa"/>
            <w:vAlign w:val="bottom"/>
            <w:shd w:val="clear" w:color="auto" w:fill="003E64"/>
          </w:tcPr>
          <w:p>
            <w:pPr>
              <w:ind w:left="160"/>
              <w:spacing w:after="0"/>
              <w:rPr>
                <w:sz w:val="20"/>
                <w:szCs w:val="20"/>
                <w:color w:val="auto"/>
              </w:rPr>
            </w:pPr>
            <w:r>
              <w:rPr>
                <w:rFonts w:ascii="Arial" w:cs="Arial" w:eastAsia="Arial" w:hAnsi="Arial"/>
                <w:sz w:val="14"/>
                <w:szCs w:val="14"/>
                <w:b w:val="1"/>
                <w:bCs w:val="1"/>
                <w:color w:val="FFFFFF"/>
              </w:rPr>
              <w:t>Salary($)(1)</w:t>
            </w:r>
          </w:p>
        </w:tc>
        <w:tc>
          <w:tcPr>
            <w:tcW w:w="1060" w:type="dxa"/>
            <w:vAlign w:val="bottom"/>
            <w:shd w:val="clear" w:color="auto" w:fill="003E64"/>
          </w:tcPr>
          <w:p>
            <w:pPr>
              <w:ind w:left="120"/>
              <w:spacing w:after="0"/>
              <w:rPr>
                <w:sz w:val="20"/>
                <w:szCs w:val="20"/>
                <w:color w:val="auto"/>
              </w:rPr>
            </w:pPr>
            <w:r>
              <w:rPr>
                <w:rFonts w:ascii="Arial" w:cs="Arial" w:eastAsia="Arial" w:hAnsi="Arial"/>
                <w:sz w:val="14"/>
                <w:szCs w:val="14"/>
                <w:b w:val="1"/>
                <w:bCs w:val="1"/>
                <w:color w:val="FFFFFF"/>
              </w:rPr>
              <w:t>Bonus($)(1)</w:t>
            </w:r>
          </w:p>
        </w:tc>
        <w:tc>
          <w:tcPr>
            <w:tcW w:w="11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Awards($)(2)</w:t>
            </w: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($)(1)(3)</w:t>
            </w:r>
          </w:p>
        </w:tc>
        <w:tc>
          <w:tcPr>
            <w:tcW w:w="900" w:type="dxa"/>
            <w:vAlign w:val="bottom"/>
            <w:shd w:val="clear" w:color="auto" w:fill="003E64"/>
          </w:tcPr>
          <w:p>
            <w:pPr>
              <w:ind w:left="220"/>
              <w:spacing w:after="0"/>
              <w:rPr>
                <w:sz w:val="20"/>
                <w:szCs w:val="20"/>
                <w:color w:val="auto"/>
              </w:rPr>
            </w:pPr>
            <w:r>
              <w:rPr>
                <w:rFonts w:ascii="Arial" w:cs="Arial" w:eastAsia="Arial" w:hAnsi="Arial"/>
                <w:sz w:val="14"/>
                <w:szCs w:val="14"/>
                <w:b w:val="1"/>
                <w:bCs w:val="1"/>
                <w:color w:val="FFFFFF"/>
              </w:rPr>
              <w:t>Total($)</w:t>
            </w:r>
          </w:p>
        </w:tc>
      </w:tr>
      <w:tr>
        <w:trPr>
          <w:trHeight w:val="180"/>
        </w:trPr>
        <w:tc>
          <w:tcPr>
            <w:tcW w:w="4960" w:type="dxa"/>
            <w:vAlign w:val="bottom"/>
          </w:tcPr>
          <w:p>
            <w:pPr>
              <w:spacing w:after="0"/>
              <w:rPr>
                <w:sz w:val="20"/>
                <w:szCs w:val="20"/>
                <w:color w:val="auto"/>
              </w:rPr>
            </w:pPr>
            <w:r>
              <w:rPr>
                <w:rFonts w:ascii="Arial" w:cs="Arial" w:eastAsia="Arial" w:hAnsi="Arial"/>
                <w:sz w:val="14"/>
                <w:szCs w:val="14"/>
                <w:color w:val="4D4D4F"/>
              </w:rPr>
              <w:t>David H. Wang</w:t>
            </w:r>
          </w:p>
        </w:tc>
        <w:tc>
          <w:tcPr>
            <w:tcW w:w="720" w:type="dxa"/>
            <w:vAlign w:val="bottom"/>
          </w:tcPr>
          <w:p>
            <w:pPr>
              <w:ind w:left="240"/>
              <w:spacing w:after="0"/>
              <w:rPr>
                <w:sz w:val="20"/>
                <w:szCs w:val="20"/>
                <w:color w:val="auto"/>
              </w:rPr>
            </w:pPr>
            <w:r>
              <w:rPr>
                <w:rFonts w:ascii="Arial" w:cs="Arial" w:eastAsia="Arial" w:hAnsi="Arial"/>
                <w:sz w:val="14"/>
                <w:szCs w:val="14"/>
                <w:color w:val="4D4D4F"/>
              </w:rPr>
              <w:t>2019</w:t>
            </w:r>
          </w:p>
        </w:tc>
        <w:tc>
          <w:tcPr>
            <w:tcW w:w="1080" w:type="dxa"/>
            <w:vAlign w:val="bottom"/>
          </w:tcPr>
          <w:p>
            <w:pPr>
              <w:jc w:val="center"/>
              <w:spacing w:after="0"/>
              <w:rPr>
                <w:sz w:val="20"/>
                <w:szCs w:val="20"/>
                <w:color w:val="auto"/>
              </w:rPr>
            </w:pPr>
            <w:r>
              <w:rPr>
                <w:rFonts w:ascii="Arial" w:cs="Arial" w:eastAsia="Arial" w:hAnsi="Arial"/>
                <w:sz w:val="14"/>
                <w:szCs w:val="14"/>
                <w:color w:val="4D4D4F"/>
              </w:rPr>
              <w:t>$229,742</w:t>
            </w:r>
          </w:p>
        </w:tc>
        <w:tc>
          <w:tcPr>
            <w:tcW w:w="1060" w:type="dxa"/>
            <w:vAlign w:val="bottom"/>
          </w:tcPr>
          <w:p>
            <w:pPr>
              <w:jc w:val="center"/>
              <w:spacing w:after="0"/>
              <w:rPr>
                <w:sz w:val="20"/>
                <w:szCs w:val="20"/>
                <w:color w:val="auto"/>
              </w:rPr>
            </w:pPr>
            <w:r>
              <w:rPr>
                <w:rFonts w:ascii="Arial" w:cs="Arial" w:eastAsia="Arial" w:hAnsi="Arial"/>
                <w:sz w:val="14"/>
                <w:szCs w:val="14"/>
                <w:color w:val="4D4D4F"/>
              </w:rPr>
              <w:t>$19,358</w:t>
            </w:r>
          </w:p>
        </w:tc>
        <w:tc>
          <w:tcPr>
            <w:tcW w:w="1180" w:type="dxa"/>
            <w:vAlign w:val="bottom"/>
          </w:tcPr>
          <w:p>
            <w:pPr>
              <w:jc w:val="center"/>
              <w:spacing w:after="0"/>
              <w:rPr>
                <w:sz w:val="20"/>
                <w:szCs w:val="20"/>
                <w:color w:val="auto"/>
              </w:rPr>
            </w:pPr>
            <w:r>
              <w:rPr>
                <w:rFonts w:ascii="Arial" w:cs="Arial" w:eastAsia="Arial" w:hAnsi="Arial"/>
                <w:sz w:val="14"/>
                <w:szCs w:val="14"/>
                <w:color w:val="4D4D4F"/>
              </w:rPr>
              <w:t>$325,000</w:t>
            </w:r>
          </w:p>
        </w:tc>
        <w:tc>
          <w:tcPr>
            <w:tcW w:w="1340" w:type="dxa"/>
            <w:vAlign w:val="bottom"/>
          </w:tcPr>
          <w:p>
            <w:pPr>
              <w:jc w:val="center"/>
              <w:spacing w:after="0"/>
              <w:rPr>
                <w:sz w:val="20"/>
                <w:szCs w:val="20"/>
                <w:color w:val="auto"/>
              </w:rPr>
            </w:pPr>
            <w:r>
              <w:rPr>
                <w:rFonts w:ascii="Arial" w:cs="Arial" w:eastAsia="Arial" w:hAnsi="Arial"/>
                <w:sz w:val="14"/>
                <w:szCs w:val="14"/>
                <w:color w:val="4D4D4F"/>
              </w:rPr>
              <w:t>$24,594</w:t>
            </w:r>
          </w:p>
        </w:tc>
        <w:tc>
          <w:tcPr>
            <w:tcW w:w="900" w:type="dxa"/>
            <w:vAlign w:val="bottom"/>
          </w:tcPr>
          <w:p>
            <w:pPr>
              <w:jc w:val="center"/>
              <w:spacing w:after="0"/>
              <w:rPr>
                <w:sz w:val="20"/>
                <w:szCs w:val="20"/>
                <w:color w:val="auto"/>
              </w:rPr>
            </w:pPr>
            <w:r>
              <w:rPr>
                <w:rFonts w:ascii="Arial" w:cs="Arial" w:eastAsia="Arial" w:hAnsi="Arial"/>
                <w:sz w:val="14"/>
                <w:szCs w:val="14"/>
                <w:color w:val="4D4D4F"/>
              </w:rPr>
              <w:t>$598,694</w:t>
            </w:r>
          </w:p>
        </w:tc>
      </w:tr>
      <w:tr>
        <w:trPr>
          <w:trHeight w:val="198"/>
        </w:trPr>
        <w:tc>
          <w:tcPr>
            <w:tcW w:w="4960" w:type="dxa"/>
            <w:vAlign w:val="bottom"/>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720" w:type="dxa"/>
            <w:vAlign w:val="bottom"/>
          </w:tcPr>
          <w:p>
            <w:pPr>
              <w:ind w:left="240"/>
              <w:spacing w:after="0"/>
              <w:rPr>
                <w:sz w:val="20"/>
                <w:szCs w:val="20"/>
                <w:color w:val="auto"/>
              </w:rPr>
            </w:pPr>
            <w:r>
              <w:rPr>
                <w:rFonts w:ascii="Arial" w:cs="Arial" w:eastAsia="Arial" w:hAnsi="Arial"/>
                <w:sz w:val="14"/>
                <w:szCs w:val="14"/>
                <w:color w:val="4D4D4F"/>
              </w:rPr>
              <w:t>2018</w:t>
            </w:r>
          </w:p>
        </w:tc>
        <w:tc>
          <w:tcPr>
            <w:tcW w:w="1080" w:type="dxa"/>
            <w:vAlign w:val="bottom"/>
          </w:tcPr>
          <w:p>
            <w:pPr>
              <w:jc w:val="center"/>
              <w:spacing w:after="0"/>
              <w:rPr>
                <w:sz w:val="20"/>
                <w:szCs w:val="20"/>
                <w:color w:val="auto"/>
              </w:rPr>
            </w:pPr>
            <w:r>
              <w:rPr>
                <w:rFonts w:ascii="Arial" w:cs="Arial" w:eastAsia="Arial" w:hAnsi="Arial"/>
                <w:sz w:val="14"/>
                <w:szCs w:val="14"/>
                <w:color w:val="4D4D4F"/>
              </w:rPr>
              <w:t>189,373</w:t>
            </w:r>
          </w:p>
        </w:tc>
        <w:tc>
          <w:tcPr>
            <w:tcW w:w="1060" w:type="dxa"/>
            <w:vAlign w:val="bottom"/>
          </w:tcPr>
          <w:p>
            <w:pPr>
              <w:jc w:val="center"/>
              <w:spacing w:after="0"/>
              <w:rPr>
                <w:sz w:val="20"/>
                <w:szCs w:val="20"/>
                <w:color w:val="auto"/>
              </w:rPr>
            </w:pPr>
            <w:r>
              <w:rPr>
                <w:rFonts w:ascii="Arial" w:cs="Arial" w:eastAsia="Arial" w:hAnsi="Arial"/>
                <w:sz w:val="14"/>
                <w:szCs w:val="14"/>
                <w:color w:val="4D4D4F"/>
              </w:rPr>
              <w:t>34,519</w:t>
            </w:r>
          </w:p>
        </w:tc>
        <w:tc>
          <w:tcPr>
            <w:tcW w:w="1180" w:type="dxa"/>
            <w:vAlign w:val="bottom"/>
          </w:tcPr>
          <w:p>
            <w:pPr>
              <w:jc w:val="center"/>
              <w:spacing w:after="0"/>
              <w:rPr>
                <w:sz w:val="20"/>
                <w:szCs w:val="20"/>
                <w:color w:val="auto"/>
              </w:rPr>
            </w:pPr>
            <w:r>
              <w:rPr>
                <w:rFonts w:ascii="Arial" w:cs="Arial" w:eastAsia="Arial" w:hAnsi="Arial"/>
                <w:sz w:val="14"/>
                <w:szCs w:val="14"/>
                <w:color w:val="4D4D4F"/>
              </w:rPr>
              <w:t>—</w:t>
            </w:r>
          </w:p>
        </w:tc>
        <w:tc>
          <w:tcPr>
            <w:tcW w:w="1340" w:type="dxa"/>
            <w:vAlign w:val="bottom"/>
          </w:tcPr>
          <w:p>
            <w:pPr>
              <w:jc w:val="center"/>
              <w:spacing w:after="0"/>
              <w:rPr>
                <w:sz w:val="20"/>
                <w:szCs w:val="20"/>
                <w:color w:val="auto"/>
              </w:rPr>
            </w:pPr>
            <w:r>
              <w:rPr>
                <w:rFonts w:ascii="Arial" w:cs="Arial" w:eastAsia="Arial" w:hAnsi="Arial"/>
                <w:sz w:val="14"/>
                <w:szCs w:val="14"/>
                <w:color w:val="4D4D4F"/>
              </w:rPr>
              <w:t>12,985</w:t>
            </w:r>
          </w:p>
        </w:tc>
        <w:tc>
          <w:tcPr>
            <w:tcW w:w="900" w:type="dxa"/>
            <w:vAlign w:val="bottom"/>
          </w:tcPr>
          <w:p>
            <w:pPr>
              <w:jc w:val="center"/>
              <w:spacing w:after="0"/>
              <w:rPr>
                <w:sz w:val="20"/>
                <w:szCs w:val="20"/>
                <w:color w:val="auto"/>
              </w:rPr>
            </w:pPr>
            <w:r>
              <w:rPr>
                <w:rFonts w:ascii="Arial" w:cs="Arial" w:eastAsia="Arial" w:hAnsi="Arial"/>
                <w:sz w:val="14"/>
                <w:szCs w:val="14"/>
                <w:color w:val="4D4D4F"/>
              </w:rPr>
              <w:t>236,877</w:t>
            </w:r>
          </w:p>
        </w:tc>
      </w:tr>
      <w:tr>
        <w:trPr>
          <w:trHeight w:val="189"/>
        </w:trPr>
        <w:tc>
          <w:tcPr>
            <w:tcW w:w="4960" w:type="dxa"/>
            <w:vAlign w:val="bottom"/>
            <w:shd w:val="clear" w:color="auto" w:fill="B7E4FF"/>
          </w:tcPr>
          <w:p>
            <w:pPr>
              <w:spacing w:after="0"/>
              <w:rPr>
                <w:sz w:val="20"/>
                <w:szCs w:val="20"/>
                <w:color w:val="auto"/>
              </w:rPr>
            </w:pPr>
            <w:r>
              <w:rPr>
                <w:rFonts w:ascii="Arial" w:cs="Arial" w:eastAsia="Arial" w:hAnsi="Arial"/>
                <w:sz w:val="14"/>
                <w:szCs w:val="14"/>
                <w:color w:val="4D4D4F"/>
              </w:rPr>
              <w:t>Mark McKechnie</w:t>
            </w:r>
          </w:p>
        </w:tc>
        <w:tc>
          <w:tcPr>
            <w:tcW w:w="720" w:type="dxa"/>
            <w:vAlign w:val="bottom"/>
            <w:shd w:val="clear" w:color="auto" w:fill="B7E4FF"/>
          </w:tcPr>
          <w:p>
            <w:pPr>
              <w:ind w:left="240"/>
              <w:spacing w:after="0"/>
              <w:rPr>
                <w:sz w:val="20"/>
                <w:szCs w:val="20"/>
                <w:color w:val="auto"/>
              </w:rPr>
            </w:pPr>
            <w:r>
              <w:rPr>
                <w:rFonts w:ascii="Arial" w:cs="Arial" w:eastAsia="Arial" w:hAnsi="Arial"/>
                <w:sz w:val="14"/>
                <w:szCs w:val="14"/>
                <w:color w:val="4D4D4F"/>
              </w:rPr>
              <w:t>2019</w:t>
            </w:r>
          </w:p>
        </w:tc>
        <w:tc>
          <w:tcPr>
            <w:tcW w:w="10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232,424</w:t>
            </w:r>
          </w:p>
        </w:tc>
        <w:tc>
          <w:tcPr>
            <w:tcW w:w="10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129,327</w:t>
            </w:r>
          </w:p>
        </w:tc>
        <w:tc>
          <w:tcPr>
            <w:tcW w:w="11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299,400</w:t>
            </w:r>
          </w:p>
        </w:tc>
        <w:tc>
          <w:tcPr>
            <w:tcW w:w="13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22,500</w:t>
            </w:r>
          </w:p>
        </w:tc>
        <w:tc>
          <w:tcPr>
            <w:tcW w:w="90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683,651</w:t>
            </w:r>
          </w:p>
        </w:tc>
      </w:tr>
      <w:tr>
        <w:trPr>
          <w:trHeight w:val="189"/>
        </w:trPr>
        <w:tc>
          <w:tcPr>
            <w:tcW w:w="496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Financial Officer, Treasurer and Secretary</w:t>
            </w:r>
          </w:p>
        </w:tc>
        <w:tc>
          <w:tcPr>
            <w:tcW w:w="720" w:type="dxa"/>
            <w:vAlign w:val="bottom"/>
            <w:shd w:val="clear" w:color="auto" w:fill="B7E4FF"/>
          </w:tcPr>
          <w:p>
            <w:pPr>
              <w:spacing w:after="0"/>
              <w:rPr>
                <w:sz w:val="16"/>
                <w:szCs w:val="16"/>
                <w:color w:val="auto"/>
              </w:rPr>
            </w:pPr>
          </w:p>
        </w:tc>
        <w:tc>
          <w:tcPr>
            <w:tcW w:w="1080" w:type="dxa"/>
            <w:vAlign w:val="bottom"/>
            <w:shd w:val="clear" w:color="auto" w:fill="B7E4FF"/>
          </w:tcPr>
          <w:p>
            <w:pPr>
              <w:spacing w:after="0"/>
              <w:rPr>
                <w:sz w:val="16"/>
                <w:szCs w:val="16"/>
                <w:color w:val="auto"/>
              </w:rPr>
            </w:pPr>
          </w:p>
        </w:tc>
        <w:tc>
          <w:tcPr>
            <w:tcW w:w="1060" w:type="dxa"/>
            <w:vAlign w:val="bottom"/>
            <w:shd w:val="clear" w:color="auto" w:fill="B7E4FF"/>
          </w:tcPr>
          <w:p>
            <w:pPr>
              <w:spacing w:after="0"/>
              <w:rPr>
                <w:sz w:val="16"/>
                <w:szCs w:val="16"/>
                <w:color w:val="auto"/>
              </w:rPr>
            </w:pPr>
          </w:p>
        </w:tc>
        <w:tc>
          <w:tcPr>
            <w:tcW w:w="1180" w:type="dxa"/>
            <w:vAlign w:val="bottom"/>
            <w:shd w:val="clear" w:color="auto" w:fill="B7E4FF"/>
          </w:tcPr>
          <w:p>
            <w:pPr>
              <w:spacing w:after="0"/>
              <w:rPr>
                <w:sz w:val="16"/>
                <w:szCs w:val="16"/>
                <w:color w:val="auto"/>
              </w:rPr>
            </w:pPr>
          </w:p>
        </w:tc>
        <w:tc>
          <w:tcPr>
            <w:tcW w:w="1340" w:type="dxa"/>
            <w:vAlign w:val="bottom"/>
            <w:shd w:val="clear" w:color="auto" w:fill="B7E4FF"/>
          </w:tcPr>
          <w:p>
            <w:pPr>
              <w:spacing w:after="0"/>
              <w:rPr>
                <w:sz w:val="16"/>
                <w:szCs w:val="16"/>
                <w:color w:val="auto"/>
              </w:rPr>
            </w:pPr>
          </w:p>
        </w:tc>
        <w:tc>
          <w:tcPr>
            <w:tcW w:w="900" w:type="dxa"/>
            <w:vAlign w:val="bottom"/>
            <w:shd w:val="clear" w:color="auto" w:fill="B7E4FF"/>
          </w:tcPr>
          <w:p>
            <w:pPr>
              <w:spacing w:after="0"/>
              <w:rPr>
                <w:sz w:val="16"/>
                <w:szCs w:val="16"/>
                <w:color w:val="auto"/>
              </w:rPr>
            </w:pPr>
          </w:p>
        </w:tc>
      </w:tr>
      <w:tr>
        <w:trPr>
          <w:trHeight w:val="180"/>
        </w:trPr>
        <w:tc>
          <w:tcPr>
            <w:tcW w:w="4960" w:type="dxa"/>
            <w:vAlign w:val="bottom"/>
          </w:tcPr>
          <w:p>
            <w:pPr>
              <w:spacing w:after="0"/>
              <w:rPr>
                <w:sz w:val="20"/>
                <w:szCs w:val="20"/>
                <w:color w:val="auto"/>
              </w:rPr>
            </w:pPr>
            <w:r>
              <w:rPr>
                <w:rFonts w:ascii="Arial" w:cs="Arial" w:eastAsia="Arial" w:hAnsi="Arial"/>
                <w:sz w:val="14"/>
                <w:szCs w:val="14"/>
                <w:color w:val="4D4D4F"/>
              </w:rPr>
              <w:t>Lisa Feng</w:t>
            </w:r>
          </w:p>
        </w:tc>
        <w:tc>
          <w:tcPr>
            <w:tcW w:w="720" w:type="dxa"/>
            <w:vAlign w:val="bottom"/>
          </w:tcPr>
          <w:p>
            <w:pPr>
              <w:ind w:left="240"/>
              <w:spacing w:after="0"/>
              <w:rPr>
                <w:sz w:val="20"/>
                <w:szCs w:val="20"/>
                <w:color w:val="auto"/>
              </w:rPr>
            </w:pPr>
            <w:r>
              <w:rPr>
                <w:rFonts w:ascii="Arial" w:cs="Arial" w:eastAsia="Arial" w:hAnsi="Arial"/>
                <w:sz w:val="14"/>
                <w:szCs w:val="14"/>
                <w:color w:val="4D4D4F"/>
              </w:rPr>
              <w:t>2019</w:t>
            </w:r>
          </w:p>
        </w:tc>
        <w:tc>
          <w:tcPr>
            <w:tcW w:w="1080" w:type="dxa"/>
            <w:vAlign w:val="bottom"/>
          </w:tcPr>
          <w:p>
            <w:pPr>
              <w:jc w:val="center"/>
              <w:spacing w:after="0"/>
              <w:rPr>
                <w:sz w:val="20"/>
                <w:szCs w:val="20"/>
                <w:color w:val="auto"/>
              </w:rPr>
            </w:pPr>
            <w:r>
              <w:rPr>
                <w:rFonts w:ascii="Arial" w:cs="Arial" w:eastAsia="Arial" w:hAnsi="Arial"/>
                <w:sz w:val="14"/>
                <w:szCs w:val="14"/>
                <w:color w:val="4D4D4F"/>
              </w:rPr>
              <w:t>159,673</w:t>
            </w:r>
          </w:p>
        </w:tc>
        <w:tc>
          <w:tcPr>
            <w:tcW w:w="1060" w:type="dxa"/>
            <w:vAlign w:val="bottom"/>
          </w:tcPr>
          <w:p>
            <w:pPr>
              <w:jc w:val="center"/>
              <w:spacing w:after="0"/>
              <w:rPr>
                <w:sz w:val="20"/>
                <w:szCs w:val="20"/>
                <w:color w:val="auto"/>
              </w:rPr>
            </w:pPr>
            <w:r>
              <w:rPr>
                <w:rFonts w:ascii="Arial" w:cs="Arial" w:eastAsia="Arial" w:hAnsi="Arial"/>
                <w:sz w:val="14"/>
                <w:szCs w:val="14"/>
                <w:color w:val="4D4D4F"/>
              </w:rPr>
              <w:t>41,354</w:t>
            </w:r>
          </w:p>
        </w:tc>
        <w:tc>
          <w:tcPr>
            <w:tcW w:w="1180" w:type="dxa"/>
            <w:vAlign w:val="bottom"/>
          </w:tcPr>
          <w:p>
            <w:pPr>
              <w:jc w:val="center"/>
              <w:spacing w:after="0"/>
              <w:rPr>
                <w:sz w:val="20"/>
                <w:szCs w:val="20"/>
                <w:color w:val="auto"/>
              </w:rPr>
            </w:pPr>
            <w:r>
              <w:rPr>
                <w:rFonts w:ascii="Arial" w:cs="Arial" w:eastAsia="Arial" w:hAnsi="Arial"/>
                <w:sz w:val="14"/>
                <w:szCs w:val="14"/>
                <w:color w:val="4D4D4F"/>
              </w:rPr>
              <w:t>214,700</w:t>
            </w:r>
          </w:p>
        </w:tc>
        <w:tc>
          <w:tcPr>
            <w:tcW w:w="1340" w:type="dxa"/>
            <w:vAlign w:val="bottom"/>
          </w:tcPr>
          <w:p>
            <w:pPr>
              <w:jc w:val="center"/>
              <w:spacing w:after="0"/>
              <w:rPr>
                <w:sz w:val="20"/>
                <w:szCs w:val="20"/>
                <w:color w:val="auto"/>
              </w:rPr>
            </w:pPr>
            <w:r>
              <w:rPr>
                <w:rFonts w:ascii="Arial" w:cs="Arial" w:eastAsia="Arial" w:hAnsi="Arial"/>
                <w:sz w:val="14"/>
                <w:szCs w:val="14"/>
                <w:color w:val="4D4D4F"/>
              </w:rPr>
              <w:t>19,332</w:t>
            </w:r>
          </w:p>
        </w:tc>
        <w:tc>
          <w:tcPr>
            <w:tcW w:w="900" w:type="dxa"/>
            <w:vAlign w:val="bottom"/>
          </w:tcPr>
          <w:p>
            <w:pPr>
              <w:jc w:val="center"/>
              <w:spacing w:after="0"/>
              <w:rPr>
                <w:sz w:val="20"/>
                <w:szCs w:val="20"/>
                <w:color w:val="auto"/>
              </w:rPr>
            </w:pPr>
            <w:r>
              <w:rPr>
                <w:rFonts w:ascii="Arial" w:cs="Arial" w:eastAsia="Arial" w:hAnsi="Arial"/>
                <w:sz w:val="14"/>
                <w:szCs w:val="14"/>
                <w:color w:val="4D4D4F"/>
              </w:rPr>
              <w:t>435,059</w:t>
            </w:r>
          </w:p>
        </w:tc>
      </w:tr>
      <w:tr>
        <w:trPr>
          <w:trHeight w:val="186"/>
        </w:trPr>
        <w:tc>
          <w:tcPr>
            <w:tcW w:w="4960" w:type="dxa"/>
            <w:vAlign w:val="bottom"/>
          </w:tcPr>
          <w:p>
            <w:pPr>
              <w:spacing w:after="0"/>
              <w:rPr>
                <w:sz w:val="20"/>
                <w:szCs w:val="20"/>
                <w:color w:val="auto"/>
              </w:rPr>
            </w:pPr>
            <w:r>
              <w:rPr>
                <w:rFonts w:ascii="Arial" w:cs="Arial" w:eastAsia="Arial" w:hAnsi="Arial"/>
                <w:sz w:val="14"/>
                <w:szCs w:val="14"/>
                <w:i w:val="1"/>
                <w:iCs w:val="1"/>
                <w:color w:val="4D4D4F"/>
              </w:rPr>
              <w:t>Chief Financial Officer of ACM Research (Shanghai), Inc.</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22" w:lineRule="exact"/>
        <w:rPr>
          <w:sz w:val="20"/>
          <w:szCs w:val="20"/>
          <w:color w:val="auto"/>
        </w:rPr>
      </w:pPr>
    </w:p>
    <w:p>
      <w:pPr>
        <w:jc w:val="both"/>
        <w:ind w:left="340" w:hanging="332"/>
        <w:spacing w:after="0" w:line="288" w:lineRule="auto"/>
        <w:tabs>
          <w:tab w:leader="none" w:pos="340" w:val="left"/>
        </w:tabs>
        <w:numPr>
          <w:ilvl w:val="0"/>
          <w:numId w:val="75"/>
        </w:numPr>
        <w:rPr>
          <w:rFonts w:ascii="Arial" w:cs="Arial" w:eastAsia="Arial" w:hAnsi="Arial"/>
          <w:sz w:val="14"/>
          <w:szCs w:val="14"/>
          <w:color w:val="4D4D4F"/>
        </w:rPr>
      </w:pPr>
      <w:r>
        <w:rPr>
          <w:rFonts w:ascii="Arial" w:cs="Arial" w:eastAsia="Arial" w:hAnsi="Arial"/>
          <w:sz w:val="14"/>
          <w:szCs w:val="14"/>
          <w:color w:val="4D4D4F"/>
        </w:rPr>
        <w:t>Except for $44,332 of David H. Wang’s salary, $32,711 of Lisa Feng’s salary, and $163,975 of Mark McKechnie’s salary, compensation amounts were paid in RMB and have been converted to U.S. dollars for purposes of the table. The RMB per U.S. dollar exchange rate used for such conversion reflects the average exchange rate during 2019 and 2018, as appropriate.</w:t>
      </w:r>
    </w:p>
    <w:p>
      <w:pPr>
        <w:jc w:val="both"/>
        <w:ind w:left="340" w:hanging="332"/>
        <w:spacing w:after="0" w:line="281" w:lineRule="auto"/>
        <w:tabs>
          <w:tab w:leader="none" w:pos="340" w:val="left"/>
        </w:tabs>
        <w:numPr>
          <w:ilvl w:val="0"/>
          <w:numId w:val="75"/>
        </w:numPr>
        <w:rPr>
          <w:rFonts w:ascii="Arial" w:cs="Arial" w:eastAsia="Arial" w:hAnsi="Arial"/>
          <w:sz w:val="14"/>
          <w:szCs w:val="14"/>
          <w:color w:val="4D4D4F"/>
        </w:rPr>
      </w:pPr>
      <w:r>
        <w:rPr>
          <w:rFonts w:ascii="Arial" w:cs="Arial" w:eastAsia="Arial" w:hAnsi="Arial"/>
          <w:sz w:val="14"/>
          <w:szCs w:val="14"/>
          <w:color w:val="4D4D4F"/>
        </w:rPr>
        <w:t>The amounts shown represent the aggregate grant date fair value of stock awards granted in accordance with Financial Accounting Standards Board Accounting Standards Codification Topic 718, Compensation—Stock Compensation. The amounts do not necessarily correspond to the actual amounts that will be earned by the named executive oﬃcers. For assumptions made in valuing these awards and related information, see note 2 to our consolidated financial statements included in our Annual Report on Form 10-K for the fiscal year ended December 31, 2019.</w:t>
      </w:r>
    </w:p>
    <w:p>
      <w:pPr>
        <w:spacing w:after="0" w:line="2" w:lineRule="exact"/>
        <w:rPr>
          <w:rFonts w:ascii="Arial" w:cs="Arial" w:eastAsia="Arial" w:hAnsi="Arial"/>
          <w:sz w:val="14"/>
          <w:szCs w:val="14"/>
          <w:color w:val="4D4D4F"/>
        </w:rPr>
      </w:pPr>
    </w:p>
    <w:p>
      <w:pPr>
        <w:ind w:left="340" w:hanging="332"/>
        <w:spacing w:after="0"/>
        <w:tabs>
          <w:tab w:leader="none" w:pos="340" w:val="left"/>
        </w:tabs>
        <w:numPr>
          <w:ilvl w:val="0"/>
          <w:numId w:val="75"/>
        </w:numPr>
        <w:rPr>
          <w:rFonts w:ascii="Arial" w:cs="Arial" w:eastAsia="Arial" w:hAnsi="Arial"/>
          <w:sz w:val="14"/>
          <w:szCs w:val="14"/>
          <w:color w:val="4D4D4F"/>
        </w:rPr>
      </w:pPr>
      <w:r>
        <w:rPr>
          <w:rFonts w:ascii="Arial" w:cs="Arial" w:eastAsia="Arial" w:hAnsi="Arial"/>
          <w:sz w:val="14"/>
          <w:szCs w:val="14"/>
          <w:color w:val="4D4D4F"/>
        </w:rPr>
        <w:t>The amounts shown are attributable to the following:</w:t>
      </w:r>
    </w:p>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680" w:type="dxa"/>
            <w:vAlign w:val="bottom"/>
            <w:shd w:val="clear" w:color="auto" w:fill="003E64"/>
          </w:tcPr>
          <w:p>
            <w:pPr>
              <w:spacing w:after="0"/>
              <w:rPr>
                <w:sz w:val="20"/>
                <w:szCs w:val="20"/>
                <w:color w:val="auto"/>
              </w:rPr>
            </w:pPr>
            <w:r>
              <w:rPr>
                <w:rFonts w:ascii="Arial" w:cs="Arial" w:eastAsia="Arial" w:hAnsi="Arial"/>
                <w:sz w:val="11"/>
                <w:szCs w:val="11"/>
                <w:b w:val="1"/>
                <w:bCs w:val="1"/>
                <w:color w:val="FFFFFF"/>
              </w:rPr>
              <w:t>Name and Principal Position</w:t>
            </w:r>
          </w:p>
        </w:tc>
        <w:tc>
          <w:tcPr>
            <w:tcW w:w="2740" w:type="dxa"/>
            <w:vAlign w:val="bottom"/>
            <w:shd w:val="clear" w:color="auto" w:fill="003E64"/>
          </w:tcPr>
          <w:p>
            <w:pPr>
              <w:jc w:val="center"/>
              <w:ind w:left="1932"/>
              <w:spacing w:after="0"/>
              <w:rPr>
                <w:sz w:val="20"/>
                <w:szCs w:val="20"/>
                <w:color w:val="auto"/>
              </w:rPr>
            </w:pPr>
            <w:r>
              <w:rPr>
                <w:rFonts w:ascii="Arial" w:cs="Arial" w:eastAsia="Arial" w:hAnsi="Arial"/>
                <w:sz w:val="11"/>
                <w:szCs w:val="11"/>
                <w:b w:val="1"/>
                <w:bCs w:val="1"/>
                <w:color w:val="FFFFFF"/>
                <w:w w:val="92"/>
              </w:rPr>
              <w:t>Year</w:t>
            </w:r>
          </w:p>
        </w:tc>
        <w:tc>
          <w:tcPr>
            <w:tcW w:w="1440" w:type="dxa"/>
            <w:vAlign w:val="bottom"/>
            <w:shd w:val="clear" w:color="auto" w:fill="003E64"/>
          </w:tcPr>
          <w:p>
            <w:pPr>
              <w:ind w:left="220"/>
              <w:spacing w:after="0"/>
              <w:rPr>
                <w:sz w:val="20"/>
                <w:szCs w:val="20"/>
                <w:color w:val="auto"/>
              </w:rPr>
            </w:pPr>
            <w:r>
              <w:rPr>
                <w:rFonts w:ascii="Arial" w:cs="Arial" w:eastAsia="Arial" w:hAnsi="Arial"/>
                <w:sz w:val="11"/>
                <w:szCs w:val="11"/>
                <w:b w:val="1"/>
                <w:bCs w:val="1"/>
                <w:color w:val="FFFFFF"/>
              </w:rPr>
              <w:t>Housing Subsidy($)</w:t>
            </w:r>
          </w:p>
        </w:tc>
        <w:tc>
          <w:tcPr>
            <w:tcW w:w="1860" w:type="dxa"/>
            <w:vAlign w:val="bottom"/>
            <w:shd w:val="clear" w:color="auto" w:fill="003E64"/>
          </w:tcPr>
          <w:p>
            <w:pPr>
              <w:ind w:left="200"/>
              <w:spacing w:after="0"/>
              <w:rPr>
                <w:sz w:val="20"/>
                <w:szCs w:val="20"/>
                <w:color w:val="auto"/>
              </w:rPr>
            </w:pPr>
            <w:r>
              <w:rPr>
                <w:rFonts w:ascii="Arial" w:cs="Arial" w:eastAsia="Arial" w:hAnsi="Arial"/>
                <w:sz w:val="11"/>
                <w:szCs w:val="11"/>
                <w:b w:val="1"/>
                <w:bCs w:val="1"/>
                <w:color w:val="FFFFFF"/>
              </w:rPr>
              <w:t>Health and Welfare Plans($)</w:t>
            </w:r>
          </w:p>
        </w:tc>
        <w:tc>
          <w:tcPr>
            <w:tcW w:w="940" w:type="dxa"/>
            <w:vAlign w:val="bottom"/>
            <w:shd w:val="clear" w:color="auto" w:fill="003E64"/>
          </w:tcPr>
          <w:p>
            <w:pPr>
              <w:ind w:left="300"/>
              <w:spacing w:after="0"/>
              <w:rPr>
                <w:sz w:val="20"/>
                <w:szCs w:val="20"/>
                <w:color w:val="auto"/>
              </w:rPr>
            </w:pPr>
            <w:r>
              <w:rPr>
                <w:rFonts w:ascii="Arial" w:cs="Arial" w:eastAsia="Arial" w:hAnsi="Arial"/>
                <w:sz w:val="11"/>
                <w:szCs w:val="11"/>
                <w:b w:val="1"/>
                <w:bCs w:val="1"/>
                <w:color w:val="FFFFFF"/>
              </w:rPr>
              <w:t>Total($)</w:t>
            </w:r>
          </w:p>
        </w:tc>
      </w:tr>
      <w:tr>
        <w:trPr>
          <w:trHeight w:val="221"/>
        </w:trPr>
        <w:tc>
          <w:tcPr>
            <w:tcW w:w="3680" w:type="dxa"/>
            <w:vAlign w:val="bottom"/>
          </w:tcPr>
          <w:p>
            <w:pPr>
              <w:spacing w:after="0"/>
              <w:rPr>
                <w:sz w:val="20"/>
                <w:szCs w:val="20"/>
                <w:color w:val="auto"/>
              </w:rPr>
            </w:pPr>
            <w:r>
              <w:rPr>
                <w:rFonts w:ascii="Arial" w:cs="Arial" w:eastAsia="Arial" w:hAnsi="Arial"/>
                <w:sz w:val="14"/>
                <w:szCs w:val="14"/>
                <w:color w:val="4D4D4F"/>
              </w:rPr>
              <w:t>David H. Wang</w:t>
            </w:r>
          </w:p>
        </w:tc>
        <w:tc>
          <w:tcPr>
            <w:tcW w:w="2740" w:type="dxa"/>
            <w:vAlign w:val="bottom"/>
          </w:tcPr>
          <w:p>
            <w:pPr>
              <w:jc w:val="center"/>
              <w:ind w:left="1952"/>
              <w:spacing w:after="0"/>
              <w:rPr>
                <w:sz w:val="20"/>
                <w:szCs w:val="20"/>
                <w:color w:val="auto"/>
              </w:rPr>
            </w:pPr>
            <w:r>
              <w:rPr>
                <w:rFonts w:ascii="Arial" w:cs="Arial" w:eastAsia="Arial" w:hAnsi="Arial"/>
                <w:sz w:val="14"/>
                <w:szCs w:val="14"/>
                <w:color w:val="4D4D4F"/>
              </w:rPr>
              <w:t>2019</w:t>
            </w:r>
          </w:p>
        </w:tc>
        <w:tc>
          <w:tcPr>
            <w:tcW w:w="1440" w:type="dxa"/>
            <w:vAlign w:val="bottom"/>
          </w:tcPr>
          <w:p>
            <w:pPr>
              <w:jc w:val="center"/>
              <w:spacing w:after="0"/>
              <w:rPr>
                <w:sz w:val="20"/>
                <w:szCs w:val="20"/>
                <w:color w:val="auto"/>
              </w:rPr>
            </w:pPr>
            <w:r>
              <w:rPr>
                <w:rFonts w:ascii="Arial" w:cs="Arial" w:eastAsia="Arial" w:hAnsi="Arial"/>
                <w:sz w:val="14"/>
                <w:szCs w:val="14"/>
                <w:color w:val="4D4D4F"/>
              </w:rPr>
              <w:t>$13,920</w:t>
            </w:r>
          </w:p>
        </w:tc>
        <w:tc>
          <w:tcPr>
            <w:tcW w:w="1860" w:type="dxa"/>
            <w:vAlign w:val="bottom"/>
          </w:tcPr>
          <w:p>
            <w:pPr>
              <w:jc w:val="center"/>
              <w:spacing w:after="0"/>
              <w:rPr>
                <w:sz w:val="20"/>
                <w:szCs w:val="20"/>
                <w:color w:val="auto"/>
              </w:rPr>
            </w:pPr>
            <w:r>
              <w:rPr>
                <w:rFonts w:ascii="Arial" w:cs="Arial" w:eastAsia="Arial" w:hAnsi="Arial"/>
                <w:sz w:val="14"/>
                <w:szCs w:val="14"/>
                <w:color w:val="4D4D4F"/>
              </w:rPr>
              <w:t>$10,674</w:t>
            </w:r>
          </w:p>
        </w:tc>
        <w:tc>
          <w:tcPr>
            <w:tcW w:w="940" w:type="dxa"/>
            <w:vAlign w:val="bottom"/>
          </w:tcPr>
          <w:p>
            <w:pPr>
              <w:jc w:val="center"/>
              <w:spacing w:after="0"/>
              <w:rPr>
                <w:sz w:val="20"/>
                <w:szCs w:val="20"/>
                <w:color w:val="auto"/>
              </w:rPr>
            </w:pPr>
            <w:r>
              <w:rPr>
                <w:rFonts w:ascii="Arial" w:cs="Arial" w:eastAsia="Arial" w:hAnsi="Arial"/>
                <w:sz w:val="14"/>
                <w:szCs w:val="14"/>
                <w:color w:val="4D4D4F"/>
              </w:rPr>
              <w:t>$24,594</w:t>
            </w:r>
          </w:p>
        </w:tc>
      </w:tr>
      <w:tr>
        <w:trPr>
          <w:trHeight w:val="157"/>
        </w:trPr>
        <w:tc>
          <w:tcPr>
            <w:tcW w:w="3680" w:type="dxa"/>
            <w:vAlign w:val="bottom"/>
          </w:tcPr>
          <w:p>
            <w:pPr>
              <w:spacing w:after="0"/>
              <w:rPr>
                <w:sz w:val="13"/>
                <w:szCs w:val="13"/>
                <w:color w:val="auto"/>
              </w:rPr>
            </w:pPr>
          </w:p>
        </w:tc>
        <w:tc>
          <w:tcPr>
            <w:tcW w:w="2740" w:type="dxa"/>
            <w:vAlign w:val="bottom"/>
          </w:tcPr>
          <w:p>
            <w:pPr>
              <w:jc w:val="center"/>
              <w:ind w:left="1952"/>
              <w:spacing w:after="0" w:line="157" w:lineRule="exact"/>
              <w:rPr>
                <w:sz w:val="20"/>
                <w:szCs w:val="20"/>
                <w:color w:val="auto"/>
              </w:rPr>
            </w:pPr>
            <w:r>
              <w:rPr>
                <w:rFonts w:ascii="Arial" w:cs="Arial" w:eastAsia="Arial" w:hAnsi="Arial"/>
                <w:sz w:val="14"/>
                <w:szCs w:val="14"/>
                <w:color w:val="4D4D4F"/>
              </w:rPr>
              <w:t>2018</w:t>
            </w: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4D4D4F"/>
              </w:rPr>
              <w:t>10,667</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4D4D4F"/>
              </w:rPr>
              <w:t>2,318</w:t>
            </w:r>
          </w:p>
        </w:tc>
        <w:tc>
          <w:tcPr>
            <w:tcW w:w="940" w:type="dxa"/>
            <w:vAlign w:val="bottom"/>
          </w:tcPr>
          <w:p>
            <w:pPr>
              <w:jc w:val="center"/>
              <w:spacing w:after="0" w:line="157" w:lineRule="exact"/>
              <w:rPr>
                <w:sz w:val="20"/>
                <w:szCs w:val="20"/>
                <w:color w:val="auto"/>
              </w:rPr>
            </w:pPr>
            <w:r>
              <w:rPr>
                <w:rFonts w:ascii="Arial" w:cs="Arial" w:eastAsia="Arial" w:hAnsi="Arial"/>
                <w:sz w:val="14"/>
                <w:szCs w:val="14"/>
                <w:color w:val="4D4D4F"/>
              </w:rPr>
              <w:t>12,985</w:t>
            </w:r>
          </w:p>
        </w:tc>
      </w:tr>
      <w:tr>
        <w:trPr>
          <w:trHeight w:val="189"/>
        </w:trPr>
        <w:tc>
          <w:tcPr>
            <w:tcW w:w="3680" w:type="dxa"/>
            <w:vAlign w:val="bottom"/>
            <w:shd w:val="clear" w:color="auto" w:fill="B7E4FF"/>
          </w:tcPr>
          <w:p>
            <w:pPr>
              <w:spacing w:after="0"/>
              <w:rPr>
                <w:sz w:val="20"/>
                <w:szCs w:val="20"/>
                <w:color w:val="auto"/>
              </w:rPr>
            </w:pPr>
            <w:r>
              <w:rPr>
                <w:rFonts w:ascii="Arial" w:cs="Arial" w:eastAsia="Arial" w:hAnsi="Arial"/>
                <w:sz w:val="14"/>
                <w:szCs w:val="14"/>
                <w:color w:val="4D4D4F"/>
              </w:rPr>
              <w:t>Mark McKechnie</w:t>
            </w:r>
          </w:p>
        </w:tc>
        <w:tc>
          <w:tcPr>
            <w:tcW w:w="2740" w:type="dxa"/>
            <w:vAlign w:val="bottom"/>
            <w:shd w:val="clear" w:color="auto" w:fill="B7E4FF"/>
          </w:tcPr>
          <w:p>
            <w:pPr>
              <w:jc w:val="center"/>
              <w:ind w:left="1952"/>
              <w:spacing w:after="0"/>
              <w:rPr>
                <w:sz w:val="20"/>
                <w:szCs w:val="20"/>
                <w:color w:val="auto"/>
              </w:rPr>
            </w:pPr>
            <w:r>
              <w:rPr>
                <w:rFonts w:ascii="Arial" w:cs="Arial" w:eastAsia="Arial" w:hAnsi="Arial"/>
                <w:sz w:val="14"/>
                <w:szCs w:val="14"/>
                <w:color w:val="4D4D4F"/>
              </w:rPr>
              <w:t>2019</w:t>
            </w:r>
          </w:p>
        </w:tc>
        <w:tc>
          <w:tcPr>
            <w:tcW w:w="1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13,920</w:t>
            </w:r>
          </w:p>
        </w:tc>
        <w:tc>
          <w:tcPr>
            <w:tcW w:w="18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8,580</w:t>
            </w:r>
          </w:p>
        </w:tc>
        <w:tc>
          <w:tcPr>
            <w:tcW w:w="9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22,500</w:t>
            </w:r>
          </w:p>
        </w:tc>
      </w:tr>
      <w:tr>
        <w:trPr>
          <w:trHeight w:val="226"/>
        </w:trPr>
        <w:tc>
          <w:tcPr>
            <w:tcW w:w="3680" w:type="dxa"/>
            <w:vAlign w:val="bottom"/>
          </w:tcPr>
          <w:p>
            <w:pPr>
              <w:spacing w:after="0"/>
              <w:rPr>
                <w:sz w:val="20"/>
                <w:szCs w:val="20"/>
                <w:color w:val="auto"/>
              </w:rPr>
            </w:pPr>
            <w:r>
              <w:rPr>
                <w:rFonts w:ascii="Arial" w:cs="Arial" w:eastAsia="Arial" w:hAnsi="Arial"/>
                <w:sz w:val="14"/>
                <w:szCs w:val="14"/>
                <w:color w:val="4D4D4F"/>
              </w:rPr>
              <w:t>Lisa Feng</w:t>
            </w:r>
          </w:p>
        </w:tc>
        <w:tc>
          <w:tcPr>
            <w:tcW w:w="2740" w:type="dxa"/>
            <w:vAlign w:val="bottom"/>
          </w:tcPr>
          <w:p>
            <w:pPr>
              <w:jc w:val="center"/>
              <w:ind w:left="1952"/>
              <w:spacing w:after="0"/>
              <w:rPr>
                <w:sz w:val="20"/>
                <w:szCs w:val="20"/>
                <w:color w:val="auto"/>
              </w:rPr>
            </w:pPr>
            <w:r>
              <w:rPr>
                <w:rFonts w:ascii="Arial" w:cs="Arial" w:eastAsia="Arial" w:hAnsi="Arial"/>
                <w:sz w:val="14"/>
                <w:szCs w:val="14"/>
                <w:color w:val="4D4D4F"/>
              </w:rPr>
              <w:t>2019</w:t>
            </w:r>
          </w:p>
        </w:tc>
        <w:tc>
          <w:tcPr>
            <w:tcW w:w="1440" w:type="dxa"/>
            <w:vAlign w:val="bottom"/>
          </w:tcPr>
          <w:p>
            <w:pPr>
              <w:jc w:val="center"/>
              <w:spacing w:after="0"/>
              <w:rPr>
                <w:sz w:val="20"/>
                <w:szCs w:val="20"/>
                <w:color w:val="auto"/>
              </w:rPr>
            </w:pPr>
            <w:r>
              <w:rPr>
                <w:rFonts w:ascii="Arial" w:cs="Arial" w:eastAsia="Arial" w:hAnsi="Arial"/>
                <w:sz w:val="14"/>
                <w:szCs w:val="14"/>
                <w:color w:val="4D4D4F"/>
              </w:rPr>
              <w:t>10,133</w:t>
            </w:r>
          </w:p>
        </w:tc>
        <w:tc>
          <w:tcPr>
            <w:tcW w:w="1860" w:type="dxa"/>
            <w:vAlign w:val="bottom"/>
          </w:tcPr>
          <w:p>
            <w:pPr>
              <w:jc w:val="center"/>
              <w:spacing w:after="0"/>
              <w:rPr>
                <w:sz w:val="20"/>
                <w:szCs w:val="20"/>
                <w:color w:val="auto"/>
              </w:rPr>
            </w:pPr>
            <w:r>
              <w:rPr>
                <w:rFonts w:ascii="Arial" w:cs="Arial" w:eastAsia="Arial" w:hAnsi="Arial"/>
                <w:sz w:val="14"/>
                <w:szCs w:val="14"/>
                <w:color w:val="4D4D4F"/>
              </w:rPr>
              <w:t>9,199</w:t>
            </w:r>
          </w:p>
        </w:tc>
        <w:tc>
          <w:tcPr>
            <w:tcW w:w="940" w:type="dxa"/>
            <w:vAlign w:val="bottom"/>
          </w:tcPr>
          <w:p>
            <w:pPr>
              <w:jc w:val="center"/>
              <w:spacing w:after="0"/>
              <w:rPr>
                <w:sz w:val="20"/>
                <w:szCs w:val="20"/>
                <w:color w:val="auto"/>
              </w:rPr>
            </w:pPr>
            <w:r>
              <w:rPr>
                <w:rFonts w:ascii="Arial" w:cs="Arial" w:eastAsia="Arial" w:hAnsi="Arial"/>
                <w:sz w:val="14"/>
                <w:szCs w:val="14"/>
                <w:color w:val="4D4D4F"/>
              </w:rPr>
              <w:t>19,332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Narrative Explanation of the Summary Compensation Table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compensation paid to our named executive officers consists of the following components:</w:t>
      </w:r>
    </w:p>
    <w:p>
      <w:pPr>
        <w:spacing w:after="0" w:line="10"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base salary;</w:t>
      </w:r>
    </w:p>
    <w:p>
      <w:pPr>
        <w:spacing w:after="0" w:line="69"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performance-based cash bonuses;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long-term incentive compensation in the form of stock options;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benefits consisting principally of housing subsidies and health and welfare plan contributions.</w:t>
      </w:r>
    </w:p>
    <w:p>
      <w:pPr>
        <w:spacing w:after="0" w:line="3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Annual base salaries of our named executive officers in 2019 were as follows: David Wang, $229,742; Mark McKechnie, $232,424; and Lisa Feng, $159,673.</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do not have any established policy with regard to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4D4D4F"/>
        </w:rPr>
        <w:t>We oﬀer stock options and restricted shares to our employees, including our named executive oﬃcers, as the long-term incentive component of our compensation program. Our stock options allow our employees to purchase shares of Class A common stock at a price equal to the fair market value of the Class A common stock on the date of grant. Our stock options generally vest as to 25% of the total number of option shares on the first anniversary of the award and in equal monthly installments over the following 36 months, subject to accelerated vesting in full upon the occurrence of a defined change in control of our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Outstanding Equity Awards at December 31, 2019</w:t>
      </w:r>
    </w:p>
    <w:p>
      <w:pPr>
        <w:spacing w:after="0" w:line="26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4D4D4F"/>
        </w:rPr>
        <w:t>The following table sets forth information regarding each unexercised option held by each of our named executive officers as of December 31, 2019: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shd w:val="clear" w:color="auto" w:fill="003E64"/>
          </w:tcPr>
          <w:p>
            <w:pPr>
              <w:spacing w:after="0"/>
              <w:rPr>
                <w:sz w:val="16"/>
                <w:szCs w:val="16"/>
                <w:color w:val="auto"/>
              </w:rPr>
            </w:pPr>
          </w:p>
        </w:tc>
        <w:tc>
          <w:tcPr>
            <w:tcW w:w="160" w:type="dxa"/>
            <w:vAlign w:val="bottom"/>
            <w:shd w:val="clear" w:color="auto" w:fill="003E64"/>
          </w:tcPr>
          <w:p>
            <w:pPr>
              <w:spacing w:after="0"/>
              <w:rPr>
                <w:sz w:val="16"/>
                <w:szCs w:val="16"/>
                <w:color w:val="auto"/>
              </w:rPr>
            </w:pPr>
          </w:p>
        </w:tc>
        <w:tc>
          <w:tcPr>
            <w:tcW w:w="3540" w:type="dxa"/>
            <w:vAlign w:val="bottom"/>
            <w:gridSpan w:val="2"/>
            <w:vMerge w:val="restart"/>
            <w:shd w:val="clear" w:color="auto" w:fill="003E64"/>
          </w:tcPr>
          <w:p>
            <w:pPr>
              <w:jc w:val="center"/>
              <w:ind w:left="216"/>
              <w:spacing w:after="0"/>
              <w:rPr>
                <w:sz w:val="20"/>
                <w:szCs w:val="20"/>
                <w:color w:val="auto"/>
              </w:rPr>
            </w:pPr>
            <w:r>
              <w:rPr>
                <w:rFonts w:ascii="Arial" w:cs="Arial" w:eastAsia="Arial" w:hAnsi="Arial"/>
                <w:sz w:val="14"/>
                <w:szCs w:val="14"/>
                <w:b w:val="1"/>
                <w:bCs w:val="1"/>
                <w:color w:val="FFFFFF"/>
              </w:rPr>
              <w:t>Number of Securities Underlying</w:t>
            </w:r>
          </w:p>
        </w:tc>
        <w:tc>
          <w:tcPr>
            <w:tcW w:w="226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Option Awards</w:t>
            </w:r>
          </w:p>
        </w:tc>
        <w:tc>
          <w:tcPr>
            <w:tcW w:w="2640" w:type="dxa"/>
            <w:vAlign w:val="bottom"/>
            <w:shd w:val="clear" w:color="auto" w:fill="003E64"/>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003E64"/>
          </w:tcPr>
          <w:p>
            <w:pPr>
              <w:spacing w:after="0"/>
              <w:rPr>
                <w:sz w:val="12"/>
                <w:szCs w:val="12"/>
                <w:color w:val="auto"/>
              </w:rPr>
            </w:pPr>
          </w:p>
        </w:tc>
        <w:tc>
          <w:tcPr>
            <w:tcW w:w="160" w:type="dxa"/>
            <w:vAlign w:val="bottom"/>
            <w:shd w:val="clear" w:color="auto" w:fill="003E64"/>
          </w:tcPr>
          <w:p>
            <w:pPr>
              <w:spacing w:after="0"/>
              <w:rPr>
                <w:sz w:val="12"/>
                <w:szCs w:val="12"/>
                <w:color w:val="auto"/>
              </w:rPr>
            </w:pPr>
          </w:p>
        </w:tc>
        <w:tc>
          <w:tcPr>
            <w:tcW w:w="3540" w:type="dxa"/>
            <w:vAlign w:val="bottom"/>
            <w:gridSpan w:val="2"/>
            <w:vMerge w:val="continue"/>
            <w:shd w:val="clear" w:color="auto" w:fill="003E64"/>
          </w:tcPr>
          <w:p>
            <w:pPr>
              <w:spacing w:after="0"/>
              <w:rPr>
                <w:sz w:val="12"/>
                <w:szCs w:val="12"/>
                <w:color w:val="auto"/>
              </w:rPr>
            </w:pPr>
          </w:p>
        </w:tc>
        <w:tc>
          <w:tcPr>
            <w:tcW w:w="2260" w:type="dxa"/>
            <w:vAlign w:val="bottom"/>
            <w:shd w:val="clear" w:color="auto" w:fill="003E64"/>
          </w:tcPr>
          <w:p>
            <w:pPr>
              <w:spacing w:after="0"/>
              <w:rPr>
                <w:sz w:val="12"/>
                <w:szCs w:val="12"/>
                <w:color w:val="auto"/>
              </w:rPr>
            </w:pPr>
          </w:p>
        </w:tc>
        <w:tc>
          <w:tcPr>
            <w:tcW w:w="2640" w:type="dxa"/>
            <w:vAlign w:val="bottom"/>
            <w:shd w:val="clear" w:color="auto" w:fill="003E64"/>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003E64"/>
          </w:tcPr>
          <w:p>
            <w:pPr>
              <w:spacing w:after="0"/>
              <w:rPr>
                <w:sz w:val="15"/>
                <w:szCs w:val="15"/>
                <w:color w:val="auto"/>
              </w:rPr>
            </w:pPr>
          </w:p>
        </w:tc>
        <w:tc>
          <w:tcPr>
            <w:tcW w:w="160" w:type="dxa"/>
            <w:vAlign w:val="bottom"/>
            <w:shd w:val="clear" w:color="auto" w:fill="003E64"/>
          </w:tcPr>
          <w:p>
            <w:pPr>
              <w:spacing w:after="0"/>
              <w:rPr>
                <w:sz w:val="15"/>
                <w:szCs w:val="15"/>
                <w:color w:val="auto"/>
              </w:rPr>
            </w:pPr>
          </w:p>
        </w:tc>
        <w:tc>
          <w:tcPr>
            <w:tcW w:w="3540" w:type="dxa"/>
            <w:vAlign w:val="bottom"/>
            <w:gridSpan w:val="2"/>
            <w:shd w:val="clear" w:color="auto" w:fill="003E64"/>
          </w:tcPr>
          <w:p>
            <w:pPr>
              <w:jc w:val="center"/>
              <w:ind w:left="216"/>
              <w:spacing w:after="0"/>
              <w:rPr>
                <w:sz w:val="20"/>
                <w:szCs w:val="20"/>
                <w:color w:val="auto"/>
              </w:rPr>
            </w:pPr>
            <w:r>
              <w:rPr>
                <w:rFonts w:ascii="Arial" w:cs="Arial" w:eastAsia="Arial" w:hAnsi="Arial"/>
                <w:sz w:val="14"/>
                <w:szCs w:val="14"/>
                <w:b w:val="1"/>
                <w:bCs w:val="1"/>
                <w:color w:val="FFFFFF"/>
              </w:rPr>
              <w:t>Unexercised Options</w:t>
            </w:r>
          </w:p>
        </w:tc>
        <w:tc>
          <w:tcPr>
            <w:tcW w:w="2260" w:type="dxa"/>
            <w:vAlign w:val="bottom"/>
            <w:shd w:val="clear" w:color="auto" w:fill="003E64"/>
          </w:tcPr>
          <w:p>
            <w:pPr>
              <w:spacing w:after="0"/>
              <w:rPr>
                <w:sz w:val="15"/>
                <w:szCs w:val="15"/>
                <w:color w:val="auto"/>
              </w:rPr>
            </w:pPr>
          </w:p>
        </w:tc>
        <w:tc>
          <w:tcPr>
            <w:tcW w:w="264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203"/>
        </w:trPr>
        <w:tc>
          <w:tcPr>
            <w:tcW w:w="264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60" w:type="dxa"/>
            <w:vAlign w:val="bottom"/>
            <w:shd w:val="clear" w:color="auto" w:fill="003E64"/>
          </w:tcPr>
          <w:p>
            <w:pPr>
              <w:spacing w:after="0"/>
              <w:rPr>
                <w:sz w:val="17"/>
                <w:szCs w:val="17"/>
                <w:color w:val="auto"/>
              </w:rPr>
            </w:pPr>
          </w:p>
        </w:tc>
        <w:tc>
          <w:tcPr>
            <w:tcW w:w="176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Exercisable(#)</w:t>
            </w:r>
          </w:p>
        </w:tc>
        <w:tc>
          <w:tcPr>
            <w:tcW w:w="1780" w:type="dxa"/>
            <w:vAlign w:val="bottom"/>
            <w:shd w:val="clear" w:color="auto" w:fill="003E64"/>
          </w:tcPr>
          <w:p>
            <w:pPr>
              <w:ind w:left="460"/>
              <w:spacing w:after="0"/>
              <w:rPr>
                <w:sz w:val="20"/>
                <w:szCs w:val="20"/>
                <w:color w:val="auto"/>
              </w:rPr>
            </w:pPr>
            <w:r>
              <w:rPr>
                <w:rFonts w:ascii="Arial" w:cs="Arial" w:eastAsia="Arial" w:hAnsi="Arial"/>
                <w:sz w:val="14"/>
                <w:szCs w:val="14"/>
                <w:b w:val="1"/>
                <w:bCs w:val="1"/>
                <w:color w:val="FFFFFF"/>
              </w:rPr>
              <w:t>Unexercisable(#)</w:t>
            </w:r>
          </w:p>
        </w:tc>
        <w:tc>
          <w:tcPr>
            <w:tcW w:w="2260" w:type="dxa"/>
            <w:vAlign w:val="bottom"/>
            <w:shd w:val="clear" w:color="auto" w:fill="003E64"/>
          </w:tcPr>
          <w:p>
            <w:pPr>
              <w:ind w:left="920"/>
              <w:spacing w:after="0"/>
              <w:rPr>
                <w:sz w:val="20"/>
                <w:szCs w:val="20"/>
                <w:color w:val="auto"/>
              </w:rPr>
            </w:pPr>
            <w:r>
              <w:rPr>
                <w:rFonts w:ascii="Arial" w:cs="Arial" w:eastAsia="Arial" w:hAnsi="Arial"/>
                <w:sz w:val="14"/>
                <w:szCs w:val="14"/>
                <w:b w:val="1"/>
                <w:bCs w:val="1"/>
                <w:color w:val="FFFFFF"/>
              </w:rPr>
              <w:t>Exercise Price($)</w:t>
            </w:r>
          </w:p>
        </w:tc>
        <w:tc>
          <w:tcPr>
            <w:tcW w:w="2640" w:type="dxa"/>
            <w:vAlign w:val="bottom"/>
            <w:shd w:val="clear" w:color="auto" w:fill="003E64"/>
          </w:tcPr>
          <w:p>
            <w:pPr>
              <w:jc w:val="center"/>
              <w:ind w:left="333"/>
              <w:spacing w:after="0"/>
              <w:rPr>
                <w:sz w:val="20"/>
                <w:szCs w:val="20"/>
                <w:color w:val="auto"/>
              </w:rPr>
            </w:pPr>
            <w:r>
              <w:rPr>
                <w:rFonts w:ascii="Arial" w:cs="Arial" w:eastAsia="Arial" w:hAnsi="Arial"/>
                <w:sz w:val="14"/>
                <w:szCs w:val="14"/>
                <w:b w:val="1"/>
                <w:bCs w:val="1"/>
                <w:color w:val="FFFFFF"/>
              </w:rPr>
              <w:t>Expiration Date</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4D4D4F"/>
              </w:rPr>
              <w:t>David H. Wang</w:t>
            </w:r>
          </w:p>
        </w:tc>
        <w:tc>
          <w:tcPr>
            <w:tcW w:w="1920" w:type="dxa"/>
            <w:vAlign w:val="bottom"/>
            <w:gridSpan w:val="2"/>
          </w:tcPr>
          <w:p>
            <w:pPr>
              <w:jc w:val="center"/>
              <w:spacing w:after="0" w:line="201" w:lineRule="exact"/>
              <w:rPr>
                <w:sz w:val="20"/>
                <w:szCs w:val="20"/>
                <w:color w:val="auto"/>
              </w:rPr>
            </w:pPr>
            <w:r>
              <w:rPr>
                <w:rFonts w:ascii="Arial" w:cs="Arial" w:eastAsia="Arial" w:hAnsi="Arial"/>
                <w:sz w:val="18"/>
                <w:szCs w:val="18"/>
                <w:color w:val="4D4D4F"/>
              </w:rPr>
              <w:t>270,001</w:t>
            </w:r>
          </w:p>
        </w:tc>
        <w:tc>
          <w:tcPr>
            <w:tcW w:w="1780" w:type="dxa"/>
            <w:vAlign w:val="bottom"/>
          </w:tcPr>
          <w:p>
            <w:pPr>
              <w:jc w:val="center"/>
              <w:ind w:left="232"/>
              <w:spacing w:after="0" w:line="201" w:lineRule="exact"/>
              <w:rPr>
                <w:sz w:val="20"/>
                <w:szCs w:val="20"/>
                <w:color w:val="auto"/>
              </w:rPr>
            </w:pPr>
            <w:r>
              <w:rPr>
                <w:rFonts w:ascii="Arial" w:cs="Arial" w:eastAsia="Arial" w:hAnsi="Arial"/>
                <w:sz w:val="18"/>
                <w:szCs w:val="18"/>
                <w:color w:val="4D4D4F"/>
                <w:w w:val="99"/>
              </w:rPr>
              <w:t>—</w:t>
            </w:r>
          </w:p>
        </w:tc>
        <w:tc>
          <w:tcPr>
            <w:tcW w:w="2260" w:type="dxa"/>
            <w:vAlign w:val="bottom"/>
          </w:tcPr>
          <w:p>
            <w:pPr>
              <w:jc w:val="center"/>
              <w:ind w:left="633"/>
              <w:spacing w:after="0" w:line="201" w:lineRule="exact"/>
              <w:rPr>
                <w:sz w:val="20"/>
                <w:szCs w:val="20"/>
                <w:color w:val="auto"/>
              </w:rPr>
            </w:pPr>
            <w:r>
              <w:rPr>
                <w:rFonts w:ascii="Arial" w:cs="Arial" w:eastAsia="Arial" w:hAnsi="Arial"/>
                <w:sz w:val="18"/>
                <w:szCs w:val="18"/>
                <w:color w:val="4D4D4F"/>
              </w:rPr>
              <w:t>$0.75</w:t>
            </w:r>
          </w:p>
        </w:tc>
        <w:tc>
          <w:tcPr>
            <w:tcW w:w="2640" w:type="dxa"/>
            <w:vAlign w:val="bottom"/>
          </w:tcPr>
          <w:p>
            <w:pPr>
              <w:jc w:val="center"/>
              <w:ind w:left="333"/>
              <w:spacing w:after="0" w:line="201" w:lineRule="exact"/>
              <w:rPr>
                <w:sz w:val="20"/>
                <w:szCs w:val="20"/>
                <w:color w:val="auto"/>
              </w:rPr>
            </w:pPr>
            <w:r>
              <w:rPr>
                <w:rFonts w:ascii="Arial" w:cs="Arial" w:eastAsia="Arial" w:hAnsi="Arial"/>
                <w:sz w:val="18"/>
                <w:szCs w:val="18"/>
                <w:color w:val="4D4D4F"/>
                <w:w w:val="99"/>
              </w:rPr>
              <w:t>05/01/21</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color w:val="4D4D4F"/>
              </w:rPr>
              <w:t>400,000</w:t>
            </w:r>
          </w:p>
        </w:tc>
        <w:tc>
          <w:tcPr>
            <w:tcW w:w="1780" w:type="dxa"/>
            <w:vAlign w:val="bottom"/>
          </w:tcPr>
          <w:p>
            <w:pPr>
              <w:jc w:val="center"/>
              <w:ind w:left="232"/>
              <w:spacing w:after="0"/>
              <w:rPr>
                <w:sz w:val="20"/>
                <w:szCs w:val="20"/>
                <w:color w:val="auto"/>
              </w:rPr>
            </w:pPr>
            <w:r>
              <w:rPr>
                <w:rFonts w:ascii="Arial" w:cs="Arial" w:eastAsia="Arial" w:hAnsi="Arial"/>
                <w:sz w:val="18"/>
                <w:szCs w:val="18"/>
                <w:color w:val="4D4D4F"/>
                <w:w w:val="99"/>
              </w:rPr>
              <w:t>—</w:t>
            </w:r>
          </w:p>
        </w:tc>
        <w:tc>
          <w:tcPr>
            <w:tcW w:w="2260" w:type="dxa"/>
            <w:vAlign w:val="bottom"/>
          </w:tcPr>
          <w:p>
            <w:pPr>
              <w:jc w:val="center"/>
              <w:ind w:left="633"/>
              <w:spacing w:after="0"/>
              <w:rPr>
                <w:sz w:val="20"/>
                <w:szCs w:val="20"/>
                <w:color w:val="auto"/>
              </w:rPr>
            </w:pPr>
            <w:r>
              <w:rPr>
                <w:rFonts w:ascii="Arial" w:cs="Arial" w:eastAsia="Arial" w:hAnsi="Arial"/>
                <w:sz w:val="18"/>
                <w:szCs w:val="18"/>
                <w:color w:val="4D4D4F"/>
                <w:w w:val="96"/>
              </w:rPr>
              <w:t>1.50</w:t>
            </w:r>
          </w:p>
        </w:tc>
        <w:tc>
          <w:tcPr>
            <w:tcW w:w="2640" w:type="dxa"/>
            <w:vAlign w:val="bottom"/>
          </w:tcPr>
          <w:p>
            <w:pPr>
              <w:jc w:val="center"/>
              <w:ind w:left="333"/>
              <w:spacing w:after="0"/>
              <w:rPr>
                <w:sz w:val="20"/>
                <w:szCs w:val="20"/>
                <w:color w:val="auto"/>
              </w:rPr>
            </w:pPr>
            <w:r>
              <w:rPr>
                <w:rFonts w:ascii="Arial" w:cs="Arial" w:eastAsia="Arial" w:hAnsi="Arial"/>
                <w:sz w:val="18"/>
                <w:szCs w:val="18"/>
                <w:color w:val="4D4D4F"/>
                <w:w w:val="99"/>
              </w:rPr>
              <w:t>05/01/25</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920" w:type="dxa"/>
            <w:vAlign w:val="bottom"/>
            <w:gridSpan w:val="2"/>
          </w:tcPr>
          <w:p>
            <w:pPr>
              <w:jc w:val="center"/>
              <w:spacing w:after="0" w:line="189" w:lineRule="exact"/>
              <w:rPr>
                <w:sz w:val="20"/>
                <w:szCs w:val="20"/>
                <w:color w:val="auto"/>
              </w:rPr>
            </w:pPr>
            <w:r>
              <w:rPr>
                <w:rFonts w:ascii="Arial" w:cs="Arial" w:eastAsia="Arial" w:hAnsi="Arial"/>
                <w:sz w:val="18"/>
                <w:szCs w:val="18"/>
                <w:color w:val="4D4D4F"/>
              </w:rPr>
              <w:t>243,061</w:t>
            </w:r>
          </w:p>
        </w:tc>
        <w:tc>
          <w:tcPr>
            <w:tcW w:w="1780" w:type="dxa"/>
            <w:vAlign w:val="bottom"/>
          </w:tcPr>
          <w:p>
            <w:pPr>
              <w:jc w:val="center"/>
              <w:ind w:left="212"/>
              <w:spacing w:after="0" w:line="189" w:lineRule="exact"/>
              <w:rPr>
                <w:sz w:val="20"/>
                <w:szCs w:val="20"/>
                <w:color w:val="auto"/>
              </w:rPr>
            </w:pPr>
            <w:r>
              <w:rPr>
                <w:rFonts w:ascii="Arial" w:cs="Arial" w:eastAsia="Arial" w:hAnsi="Arial"/>
                <w:sz w:val="18"/>
                <w:szCs w:val="18"/>
                <w:color w:val="4D4D4F"/>
              </w:rPr>
              <w:t>90,273</w:t>
            </w:r>
          </w:p>
        </w:tc>
        <w:tc>
          <w:tcPr>
            <w:tcW w:w="2260" w:type="dxa"/>
            <w:vAlign w:val="bottom"/>
          </w:tcPr>
          <w:p>
            <w:pPr>
              <w:jc w:val="center"/>
              <w:ind w:left="633"/>
              <w:spacing w:after="0" w:line="189" w:lineRule="exact"/>
              <w:rPr>
                <w:sz w:val="20"/>
                <w:szCs w:val="20"/>
                <w:color w:val="auto"/>
              </w:rPr>
            </w:pPr>
            <w:r>
              <w:rPr>
                <w:rFonts w:ascii="Arial" w:cs="Arial" w:eastAsia="Arial" w:hAnsi="Arial"/>
                <w:sz w:val="18"/>
                <w:szCs w:val="18"/>
                <w:color w:val="4D4D4F"/>
                <w:w w:val="96"/>
              </w:rPr>
              <w:t>3.00</w:t>
            </w:r>
          </w:p>
        </w:tc>
        <w:tc>
          <w:tcPr>
            <w:tcW w:w="2640" w:type="dxa"/>
            <w:vAlign w:val="bottom"/>
          </w:tcPr>
          <w:p>
            <w:pPr>
              <w:jc w:val="center"/>
              <w:ind w:left="333"/>
              <w:spacing w:after="0" w:line="189" w:lineRule="exact"/>
              <w:rPr>
                <w:sz w:val="20"/>
                <w:szCs w:val="20"/>
                <w:color w:val="auto"/>
              </w:rPr>
            </w:pPr>
            <w:r>
              <w:rPr>
                <w:rFonts w:ascii="Arial" w:cs="Arial" w:eastAsia="Arial" w:hAnsi="Arial"/>
                <w:sz w:val="18"/>
                <w:szCs w:val="18"/>
                <w:color w:val="4D4D4F"/>
                <w:w w:val="99"/>
              </w:rPr>
              <w:t>12/27/26</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56"/>
              <w:spacing w:after="0"/>
              <w:rPr>
                <w:sz w:val="20"/>
                <w:szCs w:val="20"/>
                <w:color w:val="auto"/>
              </w:rPr>
            </w:pPr>
            <w:r>
              <w:rPr>
                <w:rFonts w:ascii="Arial" w:cs="Arial" w:eastAsia="Arial" w:hAnsi="Arial"/>
                <w:sz w:val="18"/>
                <w:szCs w:val="18"/>
                <w:color w:val="4D4D4F"/>
                <w:w w:val="99"/>
              </w:rPr>
              <w:t>—</w:t>
            </w:r>
          </w:p>
        </w:tc>
        <w:tc>
          <w:tcPr>
            <w:tcW w:w="1780" w:type="dxa"/>
            <w:vAlign w:val="bottom"/>
          </w:tcPr>
          <w:p>
            <w:pPr>
              <w:jc w:val="center"/>
              <w:ind w:left="212"/>
              <w:spacing w:after="0"/>
              <w:rPr>
                <w:sz w:val="20"/>
                <w:szCs w:val="20"/>
                <w:color w:val="auto"/>
              </w:rPr>
            </w:pPr>
            <w:r>
              <w:rPr>
                <w:rFonts w:ascii="Arial" w:cs="Arial" w:eastAsia="Arial" w:hAnsi="Arial"/>
                <w:sz w:val="18"/>
                <w:szCs w:val="18"/>
                <w:color w:val="4D4D4F"/>
              </w:rPr>
              <w:t>50,000</w:t>
            </w:r>
          </w:p>
        </w:tc>
        <w:tc>
          <w:tcPr>
            <w:tcW w:w="2260" w:type="dxa"/>
            <w:vAlign w:val="bottom"/>
          </w:tcPr>
          <w:p>
            <w:pPr>
              <w:jc w:val="center"/>
              <w:ind w:left="633"/>
              <w:spacing w:after="0"/>
              <w:rPr>
                <w:sz w:val="20"/>
                <w:szCs w:val="20"/>
                <w:color w:val="auto"/>
              </w:rPr>
            </w:pPr>
            <w:r>
              <w:rPr>
                <w:rFonts w:ascii="Arial" w:cs="Arial" w:eastAsia="Arial" w:hAnsi="Arial"/>
                <w:sz w:val="18"/>
                <w:szCs w:val="18"/>
                <w:color w:val="4D4D4F"/>
              </w:rPr>
              <w:t>16.81</w:t>
            </w:r>
          </w:p>
        </w:tc>
        <w:tc>
          <w:tcPr>
            <w:tcW w:w="2640" w:type="dxa"/>
            <w:vAlign w:val="bottom"/>
          </w:tcPr>
          <w:p>
            <w:pPr>
              <w:jc w:val="center"/>
              <w:ind w:left="333"/>
              <w:spacing w:after="0"/>
              <w:rPr>
                <w:sz w:val="20"/>
                <w:szCs w:val="20"/>
                <w:color w:val="auto"/>
              </w:rPr>
            </w:pPr>
            <w:r>
              <w:rPr>
                <w:rFonts w:ascii="Arial" w:cs="Arial" w:eastAsia="Arial" w:hAnsi="Arial"/>
                <w:sz w:val="18"/>
                <w:szCs w:val="18"/>
                <w:color w:val="4D4D4F"/>
                <w:w w:val="99"/>
              </w:rPr>
              <w:t>04/22/29</w:t>
            </w:r>
          </w:p>
        </w:tc>
        <w:tc>
          <w:tcPr>
            <w:tcW w:w="0" w:type="dxa"/>
            <w:vAlign w:val="bottom"/>
          </w:tcPr>
          <w:p>
            <w:pPr>
              <w:spacing w:after="0"/>
              <w:rPr>
                <w:sz w:val="1"/>
                <w:szCs w:val="1"/>
                <w:color w:val="auto"/>
              </w:rPr>
            </w:pPr>
          </w:p>
        </w:tc>
      </w:tr>
      <w:tr>
        <w:trPr>
          <w:trHeight w:val="203"/>
        </w:trPr>
        <w:tc>
          <w:tcPr>
            <w:tcW w:w="26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1920" w:type="dxa"/>
            <w:vAlign w:val="bottom"/>
            <w:gridSpan w:val="2"/>
            <w:shd w:val="clear" w:color="auto" w:fill="B7E4FF"/>
          </w:tcPr>
          <w:p>
            <w:pPr>
              <w:jc w:val="center"/>
              <w:spacing w:after="0" w:line="202" w:lineRule="exact"/>
              <w:rPr>
                <w:sz w:val="20"/>
                <w:szCs w:val="20"/>
                <w:color w:val="auto"/>
              </w:rPr>
            </w:pPr>
            <w:r>
              <w:rPr>
                <w:rFonts w:ascii="Arial" w:cs="Arial" w:eastAsia="Arial" w:hAnsi="Arial"/>
                <w:sz w:val="18"/>
                <w:szCs w:val="18"/>
                <w:color w:val="4D4D4F"/>
                <w:w w:val="98"/>
              </w:rPr>
              <w:t>13,333</w:t>
            </w:r>
          </w:p>
        </w:tc>
        <w:tc>
          <w:tcPr>
            <w:tcW w:w="1780" w:type="dxa"/>
            <w:vAlign w:val="bottom"/>
            <w:shd w:val="clear" w:color="auto" w:fill="B7E4FF"/>
          </w:tcPr>
          <w:p>
            <w:pPr>
              <w:jc w:val="center"/>
              <w:ind w:left="212"/>
              <w:spacing w:after="0" w:line="202" w:lineRule="exact"/>
              <w:rPr>
                <w:sz w:val="20"/>
                <w:szCs w:val="20"/>
                <w:color w:val="auto"/>
              </w:rPr>
            </w:pPr>
            <w:r>
              <w:rPr>
                <w:rFonts w:ascii="Arial" w:cs="Arial" w:eastAsia="Arial" w:hAnsi="Arial"/>
                <w:sz w:val="18"/>
                <w:szCs w:val="18"/>
                <w:color w:val="4D4D4F"/>
              </w:rPr>
              <w:t>26,667</w:t>
            </w:r>
          </w:p>
        </w:tc>
        <w:tc>
          <w:tcPr>
            <w:tcW w:w="2260" w:type="dxa"/>
            <w:vAlign w:val="bottom"/>
            <w:shd w:val="clear" w:color="auto" w:fill="B7E4FF"/>
          </w:tcPr>
          <w:p>
            <w:pPr>
              <w:jc w:val="center"/>
              <w:ind w:left="633"/>
              <w:spacing w:after="0" w:line="202" w:lineRule="exact"/>
              <w:rPr>
                <w:sz w:val="20"/>
                <w:szCs w:val="20"/>
                <w:color w:val="auto"/>
              </w:rPr>
            </w:pPr>
            <w:r>
              <w:rPr>
                <w:rFonts w:ascii="Arial" w:cs="Arial" w:eastAsia="Arial" w:hAnsi="Arial"/>
                <w:sz w:val="18"/>
                <w:szCs w:val="18"/>
                <w:color w:val="4D4D4F"/>
              </w:rPr>
              <w:t>13.85</w:t>
            </w:r>
          </w:p>
        </w:tc>
        <w:tc>
          <w:tcPr>
            <w:tcW w:w="2640" w:type="dxa"/>
            <w:vAlign w:val="bottom"/>
            <w:shd w:val="clear" w:color="auto" w:fill="B7E4FF"/>
          </w:tcPr>
          <w:p>
            <w:pPr>
              <w:jc w:val="center"/>
              <w:ind w:left="333"/>
              <w:spacing w:after="0" w:line="202" w:lineRule="exact"/>
              <w:rPr>
                <w:sz w:val="20"/>
                <w:szCs w:val="20"/>
                <w:color w:val="auto"/>
              </w:rPr>
            </w:pPr>
            <w:r>
              <w:rPr>
                <w:rFonts w:ascii="Arial" w:cs="Arial" w:eastAsia="Arial" w:hAnsi="Arial"/>
                <w:sz w:val="18"/>
                <w:szCs w:val="18"/>
                <w:color w:val="4D4D4F"/>
                <w:w w:val="99"/>
              </w:rPr>
              <w:t>07/31/28</w:t>
            </w:r>
          </w:p>
        </w:tc>
        <w:tc>
          <w:tcPr>
            <w:tcW w:w="0" w:type="dxa"/>
            <w:vAlign w:val="bottom"/>
          </w:tcPr>
          <w:p>
            <w:pPr>
              <w:spacing w:after="0"/>
              <w:rPr>
                <w:sz w:val="1"/>
                <w:szCs w:val="1"/>
                <w:color w:val="auto"/>
              </w:rPr>
            </w:pPr>
          </w:p>
        </w:tc>
      </w:tr>
      <w:tr>
        <w:trPr>
          <w:trHeight w:val="216"/>
        </w:trPr>
        <w:tc>
          <w:tcPr>
            <w:tcW w:w="2640" w:type="dxa"/>
            <w:vAlign w:val="bottom"/>
            <w:shd w:val="clear" w:color="auto" w:fill="B7E4FF"/>
          </w:tcPr>
          <w:p>
            <w:pPr>
              <w:spacing w:after="0"/>
              <w:rPr>
                <w:sz w:val="18"/>
                <w:szCs w:val="18"/>
                <w:color w:val="auto"/>
              </w:rPr>
            </w:pPr>
          </w:p>
        </w:tc>
        <w:tc>
          <w:tcPr>
            <w:tcW w:w="160" w:type="dxa"/>
            <w:vAlign w:val="bottom"/>
            <w:shd w:val="clear" w:color="auto" w:fill="B7E4FF"/>
          </w:tcPr>
          <w:p>
            <w:pPr>
              <w:spacing w:after="0"/>
              <w:rPr>
                <w:sz w:val="18"/>
                <w:szCs w:val="18"/>
                <w:color w:val="auto"/>
              </w:rPr>
            </w:pPr>
          </w:p>
        </w:tc>
        <w:tc>
          <w:tcPr>
            <w:tcW w:w="1760" w:type="dxa"/>
            <w:vAlign w:val="bottom"/>
            <w:shd w:val="clear" w:color="auto" w:fill="B7E4FF"/>
          </w:tcPr>
          <w:p>
            <w:pPr>
              <w:jc w:val="center"/>
              <w:ind w:right="56"/>
              <w:spacing w:after="0"/>
              <w:rPr>
                <w:sz w:val="20"/>
                <w:szCs w:val="20"/>
                <w:color w:val="auto"/>
              </w:rPr>
            </w:pPr>
            <w:r>
              <w:rPr>
                <w:rFonts w:ascii="Arial" w:cs="Arial" w:eastAsia="Arial" w:hAnsi="Arial"/>
                <w:sz w:val="18"/>
                <w:szCs w:val="18"/>
                <w:color w:val="4D4D4F"/>
                <w:w w:val="99"/>
              </w:rPr>
              <w:t>—</w:t>
            </w:r>
          </w:p>
        </w:tc>
        <w:tc>
          <w:tcPr>
            <w:tcW w:w="1780" w:type="dxa"/>
            <w:vAlign w:val="bottom"/>
            <w:shd w:val="clear" w:color="auto" w:fill="B7E4FF"/>
          </w:tcPr>
          <w:p>
            <w:pPr>
              <w:jc w:val="center"/>
              <w:ind w:left="212"/>
              <w:spacing w:after="0"/>
              <w:rPr>
                <w:sz w:val="20"/>
                <w:szCs w:val="20"/>
                <w:color w:val="auto"/>
              </w:rPr>
            </w:pPr>
            <w:r>
              <w:rPr>
                <w:rFonts w:ascii="Arial" w:cs="Arial" w:eastAsia="Arial" w:hAnsi="Arial"/>
                <w:sz w:val="18"/>
                <w:szCs w:val="18"/>
                <w:color w:val="4D4D4F"/>
              </w:rPr>
              <w:t>30,000</w:t>
            </w:r>
          </w:p>
        </w:tc>
        <w:tc>
          <w:tcPr>
            <w:tcW w:w="2260" w:type="dxa"/>
            <w:vAlign w:val="bottom"/>
            <w:shd w:val="clear" w:color="auto" w:fill="B7E4FF"/>
          </w:tcPr>
          <w:p>
            <w:pPr>
              <w:jc w:val="center"/>
              <w:ind w:left="633"/>
              <w:spacing w:after="0"/>
              <w:rPr>
                <w:sz w:val="20"/>
                <w:szCs w:val="20"/>
                <w:color w:val="auto"/>
              </w:rPr>
            </w:pPr>
            <w:r>
              <w:rPr>
                <w:rFonts w:ascii="Arial" w:cs="Arial" w:eastAsia="Arial" w:hAnsi="Arial"/>
                <w:sz w:val="18"/>
                <w:szCs w:val="18"/>
                <w:color w:val="4D4D4F"/>
              </w:rPr>
              <w:t>16.81</w:t>
            </w:r>
          </w:p>
        </w:tc>
        <w:tc>
          <w:tcPr>
            <w:tcW w:w="2640" w:type="dxa"/>
            <w:vAlign w:val="bottom"/>
            <w:shd w:val="clear" w:color="auto" w:fill="B7E4FF"/>
          </w:tcPr>
          <w:p>
            <w:pPr>
              <w:jc w:val="center"/>
              <w:ind w:left="333"/>
              <w:spacing w:after="0"/>
              <w:rPr>
                <w:sz w:val="20"/>
                <w:szCs w:val="20"/>
                <w:color w:val="auto"/>
              </w:rPr>
            </w:pPr>
            <w:r>
              <w:rPr>
                <w:rFonts w:ascii="Arial" w:cs="Arial" w:eastAsia="Arial" w:hAnsi="Arial"/>
                <w:sz w:val="18"/>
                <w:szCs w:val="18"/>
                <w:color w:val="4D4D4F"/>
                <w:w w:val="99"/>
              </w:rPr>
              <w:t>04/22/29</w:t>
            </w:r>
          </w:p>
        </w:tc>
        <w:tc>
          <w:tcPr>
            <w:tcW w:w="0" w:type="dxa"/>
            <w:vAlign w:val="bottom"/>
          </w:tcPr>
          <w:p>
            <w:pPr>
              <w:spacing w:after="0"/>
              <w:rPr>
                <w:sz w:val="1"/>
                <w:szCs w:val="1"/>
                <w:color w:val="auto"/>
              </w:rPr>
            </w:pPr>
          </w:p>
        </w:tc>
      </w:tr>
      <w:tr>
        <w:trPr>
          <w:trHeight w:val="216"/>
        </w:trPr>
        <w:tc>
          <w:tcPr>
            <w:tcW w:w="2640" w:type="dxa"/>
            <w:vAlign w:val="bottom"/>
            <w:shd w:val="clear" w:color="auto" w:fill="B7E4FF"/>
          </w:tcPr>
          <w:p>
            <w:pPr>
              <w:spacing w:after="0"/>
              <w:rPr>
                <w:sz w:val="18"/>
                <w:szCs w:val="18"/>
                <w:color w:val="auto"/>
              </w:rPr>
            </w:pPr>
          </w:p>
        </w:tc>
        <w:tc>
          <w:tcPr>
            <w:tcW w:w="160" w:type="dxa"/>
            <w:vAlign w:val="bottom"/>
            <w:shd w:val="clear" w:color="auto" w:fill="B7E4FF"/>
          </w:tcPr>
          <w:p>
            <w:pPr>
              <w:spacing w:after="0"/>
              <w:rPr>
                <w:sz w:val="18"/>
                <w:szCs w:val="18"/>
                <w:color w:val="auto"/>
              </w:rPr>
            </w:pPr>
          </w:p>
        </w:tc>
        <w:tc>
          <w:tcPr>
            <w:tcW w:w="1760" w:type="dxa"/>
            <w:vAlign w:val="bottom"/>
            <w:shd w:val="clear" w:color="auto" w:fill="B7E4FF"/>
          </w:tcPr>
          <w:p>
            <w:pPr>
              <w:jc w:val="center"/>
              <w:ind w:right="56"/>
              <w:spacing w:after="0"/>
              <w:rPr>
                <w:sz w:val="20"/>
                <w:szCs w:val="20"/>
                <w:color w:val="auto"/>
              </w:rPr>
            </w:pPr>
            <w:r>
              <w:rPr>
                <w:rFonts w:ascii="Arial" w:cs="Arial" w:eastAsia="Arial" w:hAnsi="Arial"/>
                <w:sz w:val="18"/>
                <w:szCs w:val="18"/>
                <w:color w:val="4D4D4F"/>
                <w:w w:val="99"/>
              </w:rPr>
              <w:t>—</w:t>
            </w:r>
          </w:p>
        </w:tc>
        <w:tc>
          <w:tcPr>
            <w:tcW w:w="1780" w:type="dxa"/>
            <w:vAlign w:val="bottom"/>
            <w:shd w:val="clear" w:color="auto" w:fill="B7E4FF"/>
          </w:tcPr>
          <w:p>
            <w:pPr>
              <w:jc w:val="center"/>
              <w:ind w:left="212"/>
              <w:spacing w:after="0"/>
              <w:rPr>
                <w:sz w:val="20"/>
                <w:szCs w:val="20"/>
                <w:color w:val="auto"/>
              </w:rPr>
            </w:pPr>
            <w:r>
              <w:rPr>
                <w:rFonts w:ascii="Arial" w:cs="Arial" w:eastAsia="Arial" w:hAnsi="Arial"/>
                <w:sz w:val="18"/>
                <w:szCs w:val="18"/>
                <w:color w:val="4D4D4F"/>
              </w:rPr>
              <w:t>20,000</w:t>
            </w:r>
          </w:p>
        </w:tc>
        <w:tc>
          <w:tcPr>
            <w:tcW w:w="2260" w:type="dxa"/>
            <w:vAlign w:val="bottom"/>
            <w:shd w:val="clear" w:color="auto" w:fill="B7E4FF"/>
          </w:tcPr>
          <w:p>
            <w:pPr>
              <w:jc w:val="center"/>
              <w:ind w:left="633"/>
              <w:spacing w:after="0"/>
              <w:rPr>
                <w:sz w:val="20"/>
                <w:szCs w:val="20"/>
                <w:color w:val="auto"/>
              </w:rPr>
            </w:pPr>
            <w:r>
              <w:rPr>
                <w:rFonts w:ascii="Arial" w:cs="Arial" w:eastAsia="Arial" w:hAnsi="Arial"/>
                <w:sz w:val="18"/>
                <w:szCs w:val="18"/>
                <w:color w:val="4D4D4F"/>
              </w:rPr>
              <w:t>13.64</w:t>
            </w:r>
          </w:p>
        </w:tc>
        <w:tc>
          <w:tcPr>
            <w:tcW w:w="2640" w:type="dxa"/>
            <w:vAlign w:val="bottom"/>
            <w:shd w:val="clear" w:color="auto" w:fill="B7E4FF"/>
          </w:tcPr>
          <w:p>
            <w:pPr>
              <w:jc w:val="center"/>
              <w:ind w:left="333"/>
              <w:spacing w:after="0"/>
              <w:rPr>
                <w:sz w:val="20"/>
                <w:szCs w:val="20"/>
                <w:color w:val="auto"/>
              </w:rPr>
            </w:pPr>
            <w:r>
              <w:rPr>
                <w:rFonts w:ascii="Arial" w:cs="Arial" w:eastAsia="Arial" w:hAnsi="Arial"/>
                <w:sz w:val="18"/>
                <w:szCs w:val="18"/>
                <w:color w:val="4D4D4F"/>
                <w:w w:val="99"/>
              </w:rPr>
              <w:t>11/03/29</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4D4D4F"/>
              </w:rPr>
              <w:t>Lisa Feng</w:t>
            </w:r>
          </w:p>
        </w:tc>
        <w:tc>
          <w:tcPr>
            <w:tcW w:w="160" w:type="dxa"/>
            <w:vAlign w:val="bottom"/>
          </w:tcPr>
          <w:p>
            <w:pPr>
              <w:spacing w:after="0"/>
              <w:rPr>
                <w:sz w:val="17"/>
                <w:szCs w:val="17"/>
                <w:color w:val="auto"/>
              </w:rPr>
            </w:pPr>
          </w:p>
        </w:tc>
        <w:tc>
          <w:tcPr>
            <w:tcW w:w="1760" w:type="dxa"/>
            <w:vAlign w:val="bottom"/>
          </w:tcPr>
          <w:p>
            <w:pPr>
              <w:jc w:val="center"/>
              <w:ind w:right="56"/>
              <w:spacing w:after="0" w:line="201" w:lineRule="exact"/>
              <w:rPr>
                <w:sz w:val="20"/>
                <w:szCs w:val="20"/>
                <w:color w:val="auto"/>
              </w:rPr>
            </w:pPr>
            <w:r>
              <w:rPr>
                <w:rFonts w:ascii="Arial" w:cs="Arial" w:eastAsia="Arial" w:hAnsi="Arial"/>
                <w:sz w:val="18"/>
                <w:szCs w:val="18"/>
                <w:color w:val="4D4D4F"/>
              </w:rPr>
              <w:t>2,776</w:t>
            </w:r>
          </w:p>
        </w:tc>
        <w:tc>
          <w:tcPr>
            <w:tcW w:w="1780" w:type="dxa"/>
            <w:vAlign w:val="bottom"/>
          </w:tcPr>
          <w:p>
            <w:pPr>
              <w:jc w:val="center"/>
              <w:ind w:left="212"/>
              <w:spacing w:after="0" w:line="201" w:lineRule="exact"/>
              <w:rPr>
                <w:sz w:val="20"/>
                <w:szCs w:val="20"/>
                <w:color w:val="auto"/>
              </w:rPr>
            </w:pPr>
            <w:r>
              <w:rPr>
                <w:rFonts w:ascii="Arial" w:cs="Arial" w:eastAsia="Arial" w:hAnsi="Arial"/>
                <w:sz w:val="18"/>
                <w:szCs w:val="18"/>
                <w:color w:val="4D4D4F"/>
                <w:w w:val="97"/>
              </w:rPr>
              <w:t>6,948</w:t>
            </w:r>
          </w:p>
        </w:tc>
        <w:tc>
          <w:tcPr>
            <w:tcW w:w="2260" w:type="dxa"/>
            <w:vAlign w:val="bottom"/>
          </w:tcPr>
          <w:p>
            <w:pPr>
              <w:jc w:val="center"/>
              <w:ind w:left="633"/>
              <w:spacing w:after="0" w:line="201" w:lineRule="exact"/>
              <w:rPr>
                <w:sz w:val="20"/>
                <w:szCs w:val="20"/>
                <w:color w:val="auto"/>
              </w:rPr>
            </w:pPr>
            <w:r>
              <w:rPr>
                <w:rFonts w:ascii="Arial" w:cs="Arial" w:eastAsia="Arial" w:hAnsi="Arial"/>
                <w:sz w:val="18"/>
                <w:szCs w:val="18"/>
                <w:color w:val="4D4D4F"/>
                <w:w w:val="96"/>
              </w:rPr>
              <w:t>5.60</w:t>
            </w:r>
          </w:p>
        </w:tc>
        <w:tc>
          <w:tcPr>
            <w:tcW w:w="2640" w:type="dxa"/>
            <w:vAlign w:val="bottom"/>
          </w:tcPr>
          <w:p>
            <w:pPr>
              <w:jc w:val="center"/>
              <w:ind w:left="333"/>
              <w:spacing w:after="0" w:line="201" w:lineRule="exact"/>
              <w:rPr>
                <w:sz w:val="20"/>
                <w:szCs w:val="20"/>
                <w:color w:val="auto"/>
              </w:rPr>
            </w:pPr>
            <w:r>
              <w:rPr>
                <w:rFonts w:ascii="Arial" w:cs="Arial" w:eastAsia="Arial" w:hAnsi="Arial"/>
                <w:sz w:val="18"/>
                <w:szCs w:val="18"/>
                <w:color w:val="4D4D4F"/>
                <w:w w:val="99"/>
              </w:rPr>
              <w:t>11/01/27</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920" w:type="dxa"/>
            <w:vAlign w:val="bottom"/>
            <w:gridSpan w:val="2"/>
          </w:tcPr>
          <w:p>
            <w:pPr>
              <w:jc w:val="center"/>
              <w:spacing w:after="0" w:line="189" w:lineRule="exact"/>
              <w:rPr>
                <w:sz w:val="20"/>
                <w:szCs w:val="20"/>
                <w:color w:val="auto"/>
              </w:rPr>
            </w:pPr>
            <w:r>
              <w:rPr>
                <w:rFonts w:ascii="Arial" w:cs="Arial" w:eastAsia="Arial" w:hAnsi="Arial"/>
                <w:sz w:val="18"/>
                <w:szCs w:val="18"/>
                <w:color w:val="4D4D4F"/>
                <w:w w:val="98"/>
              </w:rPr>
              <w:t>14,375</w:t>
            </w:r>
          </w:p>
        </w:tc>
        <w:tc>
          <w:tcPr>
            <w:tcW w:w="1780" w:type="dxa"/>
            <w:vAlign w:val="bottom"/>
          </w:tcPr>
          <w:p>
            <w:pPr>
              <w:jc w:val="center"/>
              <w:ind w:left="212"/>
              <w:spacing w:after="0" w:line="189" w:lineRule="exact"/>
              <w:rPr>
                <w:sz w:val="20"/>
                <w:szCs w:val="20"/>
                <w:color w:val="auto"/>
              </w:rPr>
            </w:pPr>
            <w:r>
              <w:rPr>
                <w:rFonts w:ascii="Arial" w:cs="Arial" w:eastAsia="Arial" w:hAnsi="Arial"/>
                <w:sz w:val="18"/>
                <w:szCs w:val="18"/>
                <w:color w:val="4D4D4F"/>
              </w:rPr>
              <w:t>15,625</w:t>
            </w:r>
          </w:p>
        </w:tc>
        <w:tc>
          <w:tcPr>
            <w:tcW w:w="2260" w:type="dxa"/>
            <w:vAlign w:val="bottom"/>
          </w:tcPr>
          <w:p>
            <w:pPr>
              <w:jc w:val="center"/>
              <w:ind w:left="633"/>
              <w:spacing w:after="0" w:line="189" w:lineRule="exact"/>
              <w:rPr>
                <w:sz w:val="20"/>
                <w:szCs w:val="20"/>
                <w:color w:val="auto"/>
              </w:rPr>
            </w:pPr>
            <w:r>
              <w:rPr>
                <w:rFonts w:ascii="Arial" w:cs="Arial" w:eastAsia="Arial" w:hAnsi="Arial"/>
                <w:sz w:val="18"/>
                <w:szCs w:val="18"/>
                <w:color w:val="4D4D4F"/>
                <w:w w:val="96"/>
              </w:rPr>
              <w:t>5.31</w:t>
            </w:r>
          </w:p>
        </w:tc>
        <w:tc>
          <w:tcPr>
            <w:tcW w:w="2640" w:type="dxa"/>
            <w:vAlign w:val="bottom"/>
          </w:tcPr>
          <w:p>
            <w:pPr>
              <w:jc w:val="center"/>
              <w:ind w:left="333"/>
              <w:spacing w:after="0" w:line="189" w:lineRule="exact"/>
              <w:rPr>
                <w:sz w:val="20"/>
                <w:szCs w:val="20"/>
                <w:color w:val="auto"/>
              </w:rPr>
            </w:pPr>
            <w:r>
              <w:rPr>
                <w:rFonts w:ascii="Arial" w:cs="Arial" w:eastAsia="Arial" w:hAnsi="Arial"/>
                <w:sz w:val="18"/>
                <w:szCs w:val="18"/>
                <w:color w:val="4D4D4F"/>
                <w:w w:val="99"/>
              </w:rPr>
              <w:t>01/24/28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56"/>
              <w:spacing w:after="0"/>
              <w:rPr>
                <w:sz w:val="20"/>
                <w:szCs w:val="20"/>
                <w:color w:val="auto"/>
              </w:rPr>
            </w:pPr>
            <w:r>
              <w:rPr>
                <w:rFonts w:ascii="Arial" w:cs="Arial" w:eastAsia="Arial" w:hAnsi="Arial"/>
                <w:sz w:val="18"/>
                <w:szCs w:val="18"/>
                <w:color w:val="4D4D4F"/>
                <w:w w:val="99"/>
              </w:rPr>
              <w:t>—</w:t>
            </w:r>
          </w:p>
        </w:tc>
        <w:tc>
          <w:tcPr>
            <w:tcW w:w="1780" w:type="dxa"/>
            <w:vAlign w:val="bottom"/>
          </w:tcPr>
          <w:p>
            <w:pPr>
              <w:jc w:val="center"/>
              <w:ind w:left="212"/>
              <w:spacing w:after="0"/>
              <w:rPr>
                <w:sz w:val="20"/>
                <w:szCs w:val="20"/>
                <w:color w:val="auto"/>
              </w:rPr>
            </w:pPr>
            <w:r>
              <w:rPr>
                <w:rFonts w:ascii="Arial" w:cs="Arial" w:eastAsia="Arial" w:hAnsi="Arial"/>
                <w:sz w:val="18"/>
                <w:szCs w:val="18"/>
                <w:color w:val="4D4D4F"/>
              </w:rPr>
              <w:t>25,000</w:t>
            </w:r>
          </w:p>
        </w:tc>
        <w:tc>
          <w:tcPr>
            <w:tcW w:w="2260" w:type="dxa"/>
            <w:vAlign w:val="bottom"/>
          </w:tcPr>
          <w:p>
            <w:pPr>
              <w:jc w:val="center"/>
              <w:ind w:left="633"/>
              <w:spacing w:after="0"/>
              <w:rPr>
                <w:sz w:val="20"/>
                <w:szCs w:val="20"/>
                <w:color w:val="auto"/>
              </w:rPr>
            </w:pPr>
            <w:r>
              <w:rPr>
                <w:rFonts w:ascii="Arial" w:cs="Arial" w:eastAsia="Arial" w:hAnsi="Arial"/>
                <w:sz w:val="18"/>
                <w:szCs w:val="18"/>
                <w:color w:val="4D4D4F"/>
              </w:rPr>
              <w:t>16.81</w:t>
            </w:r>
          </w:p>
        </w:tc>
        <w:tc>
          <w:tcPr>
            <w:tcW w:w="2640" w:type="dxa"/>
            <w:vAlign w:val="bottom"/>
          </w:tcPr>
          <w:p>
            <w:pPr>
              <w:jc w:val="center"/>
              <w:ind w:left="333"/>
              <w:spacing w:after="0"/>
              <w:rPr>
                <w:sz w:val="20"/>
                <w:szCs w:val="20"/>
                <w:color w:val="auto"/>
              </w:rPr>
            </w:pPr>
            <w:r>
              <w:rPr>
                <w:rFonts w:ascii="Arial" w:cs="Arial" w:eastAsia="Arial" w:hAnsi="Arial"/>
                <w:sz w:val="18"/>
                <w:szCs w:val="18"/>
                <w:color w:val="4D4D4F"/>
                <w:w w:val="99"/>
              </w:rPr>
              <w:t>04/22/29</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56"/>
              <w:spacing w:after="0"/>
              <w:rPr>
                <w:sz w:val="20"/>
                <w:szCs w:val="20"/>
                <w:color w:val="auto"/>
              </w:rPr>
            </w:pPr>
            <w:r>
              <w:rPr>
                <w:rFonts w:ascii="Arial" w:cs="Arial" w:eastAsia="Arial" w:hAnsi="Arial"/>
                <w:sz w:val="18"/>
                <w:szCs w:val="18"/>
                <w:color w:val="4D4D4F"/>
                <w:w w:val="99"/>
              </w:rPr>
              <w:t>—</w:t>
            </w:r>
          </w:p>
        </w:tc>
        <w:tc>
          <w:tcPr>
            <w:tcW w:w="1780" w:type="dxa"/>
            <w:vAlign w:val="bottom"/>
          </w:tcPr>
          <w:p>
            <w:pPr>
              <w:jc w:val="center"/>
              <w:ind w:left="212"/>
              <w:spacing w:after="0"/>
              <w:rPr>
                <w:sz w:val="20"/>
                <w:szCs w:val="20"/>
                <w:color w:val="auto"/>
              </w:rPr>
            </w:pPr>
            <w:r>
              <w:rPr>
                <w:rFonts w:ascii="Arial" w:cs="Arial" w:eastAsia="Arial" w:hAnsi="Arial"/>
                <w:sz w:val="18"/>
                <w:szCs w:val="18"/>
                <w:color w:val="4D4D4F"/>
              </w:rPr>
              <w:t>10,000</w:t>
            </w:r>
          </w:p>
        </w:tc>
        <w:tc>
          <w:tcPr>
            <w:tcW w:w="2260" w:type="dxa"/>
            <w:vAlign w:val="bottom"/>
          </w:tcPr>
          <w:p>
            <w:pPr>
              <w:jc w:val="center"/>
              <w:ind w:left="633"/>
              <w:spacing w:after="0"/>
              <w:rPr>
                <w:sz w:val="20"/>
                <w:szCs w:val="20"/>
                <w:color w:val="auto"/>
              </w:rPr>
            </w:pPr>
            <w:r>
              <w:rPr>
                <w:rFonts w:ascii="Arial" w:cs="Arial" w:eastAsia="Arial" w:hAnsi="Arial"/>
                <w:sz w:val="18"/>
                <w:szCs w:val="18"/>
                <w:color w:val="4D4D4F"/>
              </w:rPr>
              <w:t>13.64</w:t>
            </w:r>
          </w:p>
        </w:tc>
        <w:tc>
          <w:tcPr>
            <w:tcW w:w="2640" w:type="dxa"/>
            <w:vAlign w:val="bottom"/>
          </w:tcPr>
          <w:p>
            <w:pPr>
              <w:jc w:val="center"/>
              <w:ind w:left="333"/>
              <w:spacing w:after="0"/>
              <w:rPr>
                <w:sz w:val="20"/>
                <w:szCs w:val="20"/>
                <w:color w:val="auto"/>
              </w:rPr>
            </w:pPr>
            <w:r>
              <w:rPr>
                <w:rFonts w:ascii="Arial" w:cs="Arial" w:eastAsia="Arial" w:hAnsi="Arial"/>
                <w:sz w:val="18"/>
                <w:szCs w:val="18"/>
                <w:color w:val="4D4D4F"/>
                <w:w w:val="99"/>
              </w:rPr>
              <w:t>11/03/29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-1602105</wp:posOffset>
            </wp:positionV>
            <wp:extent cx="53574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For information regarding the vesting acceleration provisions applicable to the options held by our named executive officers, please see “— Severance Benefits” and “—Change in Control Benefits” below.</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Employment Agreements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4D4D4F"/>
        </w:rPr>
        <w:t>ACM Shanghai entered into an employment agreement with Lisa Feng as of January 8, 2018. The term of the agreement extends through January 7, 2021. The agreement contains provisions with respect to base salary and performance-related bonus typical under PRC law. As described below under “Payments Upon Termination or Change in Control,” Ms. Feng may be entitled to certain severance payments.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Payments Upon Termination or Change in Control</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4D4D4F"/>
        </w:rPr>
        <w:t>With the exception of Lisa Feng and as described further below, none of our named executive oﬃcers is party to a contract or other arrangement that provides for the acceleration or payment of any benefits in the event of a change in control of the company or their termination, whether or not the termination occurs within a specified time period after the occurrence of a change in control. As a general practice, our option awards granted to employees, including our named executive oﬃcers, do not provide for acceleration upon a change in control or employee termination.</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Under PRC law, Ms. Feng may be entitled to severance if ACM Shanghai terminates her employment agreement, which is described above in “Employment Agreements.” Such severance would be equal to one month’s salary for each year ACM Shanghai has employed Ms. Feng, as calculated in accordance with PRC laws.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Section 162(m) Considerations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Internal Revenue Code Section 162(m) limits the deductibility of compensation in excess of $1 million paid to any one named executive oﬃcer in any calendar year. Under the tax rules in eﬀect before 2018, compensation that qualified as “performance-based” under Section 162(m) was deductible without regard to this $1 million limit. In 2018 and prior years, the board of directors and the compensation committee designed awards that were intended to qualify for this performance-based compensation exception. However, the Tax Cuts and Jobs Act, which was signed into law December 22, 2017, eliminated this performance-based compensation exception eﬀective January 1, 2018, subject to a special rule that “grandfathers” certain awards and arrangements that were in eﬀect on or before November 2, 2017. As a result, compensation that the compensation committee structured in 2018 and prior years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named executive oﬃcers generally will not be deductible. While the Tax Cuts and Jobs Act will limit the deductibility of compensation paid to the named executive oﬃcers, the compensation committee will design compensation programs that are intended to be in the best long-term interests of our company and stockholders, with deductibility of compensation being one of a variety of considerations taken into account. The compensation committee believes that all compensation paid to our named executive oﬃcers for fiscal year 2018 is properly deductible under Section 162(m), but no assurance can be made in this regard.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Equity Compensation Plan Information</w:t>
      </w:r>
    </w:p>
    <w:p>
      <w:pPr>
        <w:spacing w:after="0" w:line="26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provides information as of December 31, 2019 with respect to shares of Class A common stock that may be issued under equity plans and standalone option grants: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 to</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3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336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be Issued Upon Exercise</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3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336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of Outstanding Options,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62"/>
        </w:trPr>
        <w:tc>
          <w:tcPr>
            <w:tcW w:w="336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3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 Plans(1)</w:t>
            </w:r>
          </w:p>
        </w:tc>
        <w:tc>
          <w:tcPr>
            <w:tcW w:w="0" w:type="dxa"/>
            <w:vAlign w:val="bottom"/>
          </w:tcPr>
          <w:p>
            <w:pPr>
              <w:spacing w:after="0"/>
              <w:rPr>
                <w:sz w:val="1"/>
                <w:szCs w:val="1"/>
                <w:color w:val="auto"/>
              </w:rPr>
            </w:pPr>
          </w:p>
        </w:tc>
      </w:tr>
      <w:tr>
        <w:trPr>
          <w:trHeight w:val="175"/>
        </w:trPr>
        <w:tc>
          <w:tcPr>
            <w:tcW w:w="3360" w:type="dxa"/>
            <w:vAlign w:val="bottom"/>
            <w:shd w:val="clear" w:color="auto" w:fill="003E64"/>
          </w:tcPr>
          <w:p>
            <w:pPr>
              <w:ind w:left="1120"/>
              <w:spacing w:after="0"/>
              <w:rPr>
                <w:sz w:val="20"/>
                <w:szCs w:val="20"/>
                <w:color w:val="auto"/>
              </w:rPr>
            </w:pPr>
            <w:r>
              <w:rPr>
                <w:rFonts w:ascii="Arial" w:cs="Arial" w:eastAsia="Arial" w:hAnsi="Arial"/>
                <w:sz w:val="14"/>
                <w:szCs w:val="14"/>
                <w:b w:val="1"/>
                <w:bCs w:val="1"/>
                <w:color w:val="FFFFFF"/>
              </w:rPr>
              <w:t>Plan Category</w:t>
            </w: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(b)</w:t>
            </w:r>
          </w:p>
        </w:tc>
        <w:tc>
          <w:tcPr>
            <w:tcW w:w="3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w w:val="93"/>
              </w:rPr>
              <w:t>(c)</w:t>
            </w:r>
          </w:p>
        </w:tc>
        <w:tc>
          <w:tcPr>
            <w:tcW w:w="0" w:type="dxa"/>
            <w:vAlign w:val="bottom"/>
          </w:tcPr>
          <w:p>
            <w:pPr>
              <w:spacing w:after="0"/>
              <w:rPr>
                <w:sz w:val="1"/>
                <w:szCs w:val="1"/>
                <w:color w:val="auto"/>
              </w:rPr>
            </w:pPr>
          </w:p>
        </w:tc>
      </w:tr>
      <w:tr>
        <w:trPr>
          <w:trHeight w:val="202"/>
        </w:trPr>
        <w:tc>
          <w:tcPr>
            <w:tcW w:w="336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Equity compensation plans approved</w:t>
            </w:r>
          </w:p>
        </w:tc>
        <w:tc>
          <w:tcPr>
            <w:tcW w:w="2280" w:type="dxa"/>
            <w:vAlign w:val="bottom"/>
            <w:shd w:val="clear" w:color="auto" w:fill="B7E4FF"/>
          </w:tcPr>
          <w:p>
            <w:pPr>
              <w:spacing w:after="0"/>
              <w:rPr>
                <w:sz w:val="17"/>
                <w:szCs w:val="17"/>
                <w:color w:val="auto"/>
              </w:rPr>
            </w:pPr>
          </w:p>
        </w:tc>
        <w:tc>
          <w:tcPr>
            <w:tcW w:w="2600" w:type="dxa"/>
            <w:vAlign w:val="bottom"/>
            <w:shd w:val="clear" w:color="auto" w:fill="B7E4FF"/>
          </w:tcPr>
          <w:p>
            <w:pPr>
              <w:spacing w:after="0"/>
              <w:rPr>
                <w:sz w:val="17"/>
                <w:szCs w:val="17"/>
                <w:color w:val="auto"/>
              </w:rPr>
            </w:pPr>
          </w:p>
        </w:tc>
        <w:tc>
          <w:tcPr>
            <w:tcW w:w="3000" w:type="dxa"/>
            <w:vAlign w:val="bottom"/>
            <w:shd w:val="clear" w:color="auto" w:fill="B7E4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B7E4FF"/>
          </w:tcPr>
          <w:p>
            <w:pPr>
              <w:spacing w:after="0" w:line="203" w:lineRule="exact"/>
              <w:rPr>
                <w:sz w:val="20"/>
                <w:szCs w:val="20"/>
                <w:color w:val="auto"/>
              </w:rPr>
            </w:pPr>
            <w:r>
              <w:rPr>
                <w:rFonts w:ascii="Arial" w:cs="Arial" w:eastAsia="Arial" w:hAnsi="Arial"/>
                <w:sz w:val="18"/>
                <w:szCs w:val="18"/>
                <w:color w:val="4D4D4F"/>
              </w:rPr>
              <w:t>by stockholders(2)</w:t>
            </w:r>
          </w:p>
        </w:tc>
        <w:tc>
          <w:tcPr>
            <w:tcW w:w="2280" w:type="dxa"/>
            <w:vAlign w:val="bottom"/>
            <w:shd w:val="clear" w:color="auto" w:fill="B7E4FF"/>
          </w:tcPr>
          <w:p>
            <w:pPr>
              <w:jc w:val="center"/>
              <w:spacing w:after="0" w:line="203" w:lineRule="exact"/>
              <w:rPr>
                <w:sz w:val="20"/>
                <w:szCs w:val="20"/>
                <w:color w:val="auto"/>
              </w:rPr>
            </w:pPr>
            <w:r>
              <w:rPr>
                <w:rFonts w:ascii="Arial" w:cs="Arial" w:eastAsia="Arial" w:hAnsi="Arial"/>
                <w:sz w:val="18"/>
                <w:szCs w:val="18"/>
                <w:color w:val="4D4D4F"/>
                <w:w w:val="99"/>
              </w:rPr>
              <w:t>4,095,676</w:t>
            </w:r>
          </w:p>
        </w:tc>
        <w:tc>
          <w:tcPr>
            <w:tcW w:w="2600" w:type="dxa"/>
            <w:vAlign w:val="bottom"/>
            <w:shd w:val="clear" w:color="auto" w:fill="B7E4FF"/>
          </w:tcPr>
          <w:p>
            <w:pPr>
              <w:jc w:val="right"/>
              <w:ind w:right="1003"/>
              <w:spacing w:after="0" w:line="203" w:lineRule="exact"/>
              <w:rPr>
                <w:sz w:val="20"/>
                <w:szCs w:val="20"/>
                <w:color w:val="auto"/>
              </w:rPr>
            </w:pPr>
            <w:r>
              <w:rPr>
                <w:rFonts w:ascii="Arial" w:cs="Arial" w:eastAsia="Arial" w:hAnsi="Arial"/>
                <w:sz w:val="18"/>
                <w:szCs w:val="18"/>
                <w:color w:val="4D4D4F"/>
              </w:rPr>
              <w:t>$5.67</w:t>
            </w:r>
          </w:p>
        </w:tc>
        <w:tc>
          <w:tcPr>
            <w:tcW w:w="3000" w:type="dxa"/>
            <w:vAlign w:val="bottom"/>
            <w:shd w:val="clear" w:color="auto" w:fill="B7E4FF"/>
          </w:tcPr>
          <w:p>
            <w:pPr>
              <w:jc w:val="center"/>
              <w:spacing w:after="0" w:line="203" w:lineRule="exact"/>
              <w:rPr>
                <w:sz w:val="20"/>
                <w:szCs w:val="20"/>
                <w:color w:val="auto"/>
              </w:rPr>
            </w:pPr>
            <w:r>
              <w:rPr>
                <w:rFonts w:ascii="Arial" w:cs="Arial" w:eastAsia="Arial" w:hAnsi="Arial"/>
                <w:sz w:val="18"/>
                <w:szCs w:val="18"/>
                <w:color w:val="4D4D4F"/>
                <w:w w:val="99"/>
              </w:rPr>
              <w:t>1,060,354</w:t>
            </w:r>
          </w:p>
        </w:tc>
        <w:tc>
          <w:tcPr>
            <w:tcW w:w="0" w:type="dxa"/>
            <w:vAlign w:val="bottom"/>
          </w:tcPr>
          <w:p>
            <w:pPr>
              <w:spacing w:after="0"/>
              <w:rPr>
                <w:sz w:val="1"/>
                <w:szCs w:val="1"/>
                <w:color w:val="auto"/>
              </w:rPr>
            </w:pP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4D4D4F"/>
              </w:rPr>
              <w:t>Equity compensation plans not</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4D4D4F"/>
                <w:w w:val="99"/>
              </w:rPr>
              <w:t>1,359,674</w:t>
            </w:r>
          </w:p>
        </w:tc>
        <w:tc>
          <w:tcPr>
            <w:tcW w:w="2600" w:type="dxa"/>
            <w:vAlign w:val="bottom"/>
          </w:tcPr>
          <w:p>
            <w:pPr>
              <w:spacing w:after="0"/>
              <w:rPr>
                <w:sz w:val="17"/>
                <w:szCs w:val="17"/>
                <w:color w:val="auto"/>
              </w:rPr>
            </w:pPr>
          </w:p>
        </w:tc>
        <w:tc>
          <w:tcPr>
            <w:tcW w:w="3000" w:type="dxa"/>
            <w:vAlign w:val="bottom"/>
            <w:vMerge w:val="restart"/>
          </w:tcPr>
          <w:p>
            <w:pPr>
              <w:jc w:val="center"/>
              <w:spacing w:after="0"/>
              <w:rPr>
                <w:sz w:val="20"/>
                <w:szCs w:val="20"/>
                <w:color w:val="auto"/>
              </w:rPr>
            </w:pPr>
            <w:r>
              <w:rPr>
                <w:rFonts w:ascii="Arial" w:cs="Arial" w:eastAsia="Arial" w:hAnsi="Arial"/>
                <w:sz w:val="18"/>
                <w:szCs w:val="18"/>
                <w:color w:val="4D4D4F"/>
                <w:w w:val="99"/>
              </w:rPr>
              <w:t>—</w:t>
            </w:r>
          </w:p>
        </w:tc>
        <w:tc>
          <w:tcPr>
            <w:tcW w:w="0" w:type="dxa"/>
            <w:vAlign w:val="bottom"/>
          </w:tcPr>
          <w:p>
            <w:pPr>
              <w:spacing w:after="0"/>
              <w:rPr>
                <w:sz w:val="1"/>
                <w:szCs w:val="1"/>
                <w:color w:val="auto"/>
              </w:rPr>
            </w:pPr>
          </w:p>
        </w:tc>
      </w:tr>
      <w:tr>
        <w:trPr>
          <w:trHeight w:val="197"/>
        </w:trPr>
        <w:tc>
          <w:tcPr>
            <w:tcW w:w="3360" w:type="dxa"/>
            <w:vAlign w:val="bottom"/>
            <w:tcBorders>
              <w:bottom w:val="single" w:sz="8" w:color="B7E4FF"/>
            </w:tcBorders>
          </w:tcPr>
          <w:p>
            <w:pPr>
              <w:spacing w:after="0" w:line="190" w:lineRule="exact"/>
              <w:rPr>
                <w:sz w:val="20"/>
                <w:szCs w:val="20"/>
                <w:color w:val="auto"/>
              </w:rPr>
            </w:pPr>
            <w:r>
              <w:rPr>
                <w:rFonts w:ascii="Arial" w:cs="Arial" w:eastAsia="Arial" w:hAnsi="Arial"/>
                <w:sz w:val="18"/>
                <w:szCs w:val="18"/>
                <w:color w:val="4D4D4F"/>
              </w:rPr>
              <w:t>approved by stockholders(3)</w:t>
            </w:r>
          </w:p>
        </w:tc>
        <w:tc>
          <w:tcPr>
            <w:tcW w:w="2280" w:type="dxa"/>
            <w:vAlign w:val="bottom"/>
            <w:tcBorders>
              <w:bottom w:val="single" w:sz="8" w:color="auto"/>
            </w:tcBorders>
            <w:vMerge w:val="continue"/>
          </w:tcPr>
          <w:p>
            <w:pPr>
              <w:spacing w:after="0"/>
              <w:rPr>
                <w:sz w:val="17"/>
                <w:szCs w:val="17"/>
                <w:color w:val="auto"/>
              </w:rPr>
            </w:pPr>
          </w:p>
        </w:tc>
        <w:tc>
          <w:tcPr>
            <w:tcW w:w="2600" w:type="dxa"/>
            <w:vAlign w:val="bottom"/>
            <w:tcBorders>
              <w:bottom w:val="single" w:sz="8" w:color="B7E4FF"/>
            </w:tcBorders>
          </w:tcPr>
          <w:p>
            <w:pPr>
              <w:jc w:val="right"/>
              <w:ind w:right="1043"/>
              <w:spacing w:after="0" w:line="190" w:lineRule="exact"/>
              <w:rPr>
                <w:sz w:val="20"/>
                <w:szCs w:val="20"/>
                <w:color w:val="auto"/>
              </w:rPr>
            </w:pPr>
            <w:r>
              <w:rPr>
                <w:rFonts w:ascii="Arial" w:cs="Arial" w:eastAsia="Arial" w:hAnsi="Arial"/>
                <w:sz w:val="18"/>
                <w:szCs w:val="18"/>
                <w:color w:val="4D4D4F"/>
              </w:rPr>
              <w:t>1.26</w:t>
            </w:r>
          </w:p>
        </w:tc>
        <w:tc>
          <w:tcPr>
            <w:tcW w:w="3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60" w:type="dxa"/>
            <w:vAlign w:val="bottom"/>
            <w:tcBorders>
              <w:bottom w:val="single" w:sz="8" w:color="B7E4FF"/>
            </w:tcBorders>
            <w:shd w:val="clear" w:color="auto" w:fill="B7E4FF"/>
          </w:tcPr>
          <w:p>
            <w:pPr>
              <w:spacing w:after="0" w:line="202" w:lineRule="exact"/>
              <w:rPr>
                <w:sz w:val="20"/>
                <w:szCs w:val="20"/>
                <w:color w:val="auto"/>
              </w:rPr>
            </w:pPr>
            <w:r>
              <w:rPr>
                <w:rFonts w:ascii="Arial" w:cs="Arial" w:eastAsia="Arial" w:hAnsi="Arial"/>
                <w:sz w:val="18"/>
                <w:szCs w:val="18"/>
                <w:color w:val="4D4D4F"/>
              </w:rPr>
              <w:t>Totals</w:t>
            </w:r>
          </w:p>
        </w:tc>
        <w:tc>
          <w:tcPr>
            <w:tcW w:w="2280" w:type="dxa"/>
            <w:vAlign w:val="bottom"/>
            <w:tcBorders>
              <w:bottom w:val="single" w:sz="8" w:color="auto"/>
            </w:tcBorders>
            <w:shd w:val="clear" w:color="auto" w:fill="B7E4FF"/>
          </w:tcPr>
          <w:p>
            <w:pPr>
              <w:jc w:val="center"/>
              <w:spacing w:after="0" w:line="202" w:lineRule="exact"/>
              <w:rPr>
                <w:sz w:val="20"/>
                <w:szCs w:val="20"/>
                <w:color w:val="auto"/>
              </w:rPr>
            </w:pPr>
            <w:r>
              <w:rPr>
                <w:rFonts w:ascii="Arial" w:cs="Arial" w:eastAsia="Arial" w:hAnsi="Arial"/>
                <w:sz w:val="18"/>
                <w:szCs w:val="18"/>
                <w:color w:val="4D4D4F"/>
                <w:w w:val="99"/>
              </w:rPr>
              <w:t>5,455,350</w:t>
            </w:r>
          </w:p>
        </w:tc>
        <w:tc>
          <w:tcPr>
            <w:tcW w:w="2600" w:type="dxa"/>
            <w:vAlign w:val="bottom"/>
            <w:tcBorders>
              <w:bottom w:val="single" w:sz="8" w:color="B7E4FF"/>
            </w:tcBorders>
            <w:shd w:val="clear" w:color="auto" w:fill="B7E4FF"/>
          </w:tcPr>
          <w:p>
            <w:pPr>
              <w:spacing w:after="0"/>
              <w:rPr>
                <w:sz w:val="19"/>
                <w:szCs w:val="19"/>
                <w:color w:val="auto"/>
              </w:rPr>
            </w:pPr>
          </w:p>
        </w:tc>
        <w:tc>
          <w:tcPr>
            <w:tcW w:w="3000" w:type="dxa"/>
            <w:vAlign w:val="bottom"/>
            <w:tcBorders>
              <w:bottom w:val="single" w:sz="8" w:color="auto"/>
            </w:tcBorders>
            <w:shd w:val="clear" w:color="auto" w:fill="B7E4FF"/>
          </w:tcPr>
          <w:p>
            <w:pPr>
              <w:jc w:val="center"/>
              <w:spacing w:after="0" w:line="202" w:lineRule="exact"/>
              <w:rPr>
                <w:sz w:val="20"/>
                <w:szCs w:val="20"/>
                <w:color w:val="auto"/>
              </w:rPr>
            </w:pPr>
            <w:r>
              <w:rPr>
                <w:rFonts w:ascii="Arial" w:cs="Arial" w:eastAsia="Arial" w:hAnsi="Arial"/>
                <w:sz w:val="18"/>
                <w:szCs w:val="18"/>
                <w:color w:val="4D4D4F"/>
                <w:w w:val="99"/>
              </w:rPr>
              <w:t>1,060,354</w:t>
            </w:r>
          </w:p>
        </w:tc>
        <w:tc>
          <w:tcPr>
            <w:tcW w:w="0" w:type="dxa"/>
            <w:vAlign w:val="bottom"/>
          </w:tcPr>
          <w:p>
            <w:pPr>
              <w:spacing w:after="0"/>
              <w:rPr>
                <w:sz w:val="1"/>
                <w:szCs w:val="1"/>
                <w:color w:val="auto"/>
              </w:rPr>
            </w:pPr>
          </w:p>
        </w:tc>
      </w:tr>
      <w:tr>
        <w:trPr>
          <w:trHeight w:val="20"/>
        </w:trPr>
        <w:tc>
          <w:tcPr>
            <w:tcW w:w="3360" w:type="dxa"/>
            <w:vAlign w:val="bottom"/>
            <w:tcBorders>
              <w:top w:val="single" w:sz="8" w:color="B7E4FF"/>
            </w:tcBorders>
          </w:tcPr>
          <w:p>
            <w:pPr>
              <w:spacing w:after="0" w:line="20" w:lineRule="exact"/>
              <w:rPr>
                <w:sz w:val="1"/>
                <w:szCs w:val="1"/>
                <w:color w:val="auto"/>
              </w:rPr>
            </w:pPr>
          </w:p>
        </w:tc>
        <w:tc>
          <w:tcPr>
            <w:tcW w:w="2280" w:type="dxa"/>
            <w:vAlign w:val="bottom"/>
            <w:tcBorders>
              <w:top w:val="single" w:sz="8" w:color="B7E4FF"/>
              <w:bottom w:val="single" w:sz="8" w:color="auto"/>
            </w:tcBorders>
          </w:tcPr>
          <w:p>
            <w:pPr>
              <w:spacing w:after="0" w:line="20" w:lineRule="exact"/>
              <w:rPr>
                <w:sz w:val="1"/>
                <w:szCs w:val="1"/>
                <w:color w:val="auto"/>
              </w:rPr>
            </w:pPr>
          </w:p>
        </w:tc>
        <w:tc>
          <w:tcPr>
            <w:tcW w:w="2600" w:type="dxa"/>
            <w:vAlign w:val="bottom"/>
            <w:tcBorders>
              <w:top w:val="single" w:sz="8" w:color="B7E4FF"/>
            </w:tcBorders>
          </w:tcPr>
          <w:p>
            <w:pPr>
              <w:spacing w:after="0" w:line="20" w:lineRule="exact"/>
              <w:rPr>
                <w:sz w:val="1"/>
                <w:szCs w:val="1"/>
                <w:color w:val="auto"/>
              </w:rPr>
            </w:pPr>
          </w:p>
        </w:tc>
        <w:tc>
          <w:tcPr>
            <w:tcW w:w="3000" w:type="dxa"/>
            <w:vAlign w:val="bottom"/>
            <w:tcBorders>
              <w:top w:val="single" w:sz="8" w:color="B7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74" w:lineRule="auto"/>
        <w:tabs>
          <w:tab w:leader="none" w:pos="340" w:val="left"/>
        </w:tabs>
        <w:numPr>
          <w:ilvl w:val="0"/>
          <w:numId w:val="77"/>
        </w:numPr>
        <w:rPr>
          <w:rFonts w:ascii="Arial" w:cs="Arial" w:eastAsia="Arial" w:hAnsi="Arial"/>
          <w:sz w:val="14"/>
          <w:szCs w:val="14"/>
          <w:color w:val="4D4D4F"/>
        </w:rPr>
      </w:pPr>
      <w:r>
        <w:rPr>
          <w:rFonts w:ascii="Arial" w:cs="Arial" w:eastAsia="Arial" w:hAnsi="Arial"/>
          <w:sz w:val="14"/>
          <w:szCs w:val="14"/>
          <w:color w:val="4D4D4F"/>
        </w:rPr>
        <w:t>Consists of shares of Class A common stock available at December 31, 2019 for awards under our 2016 Omnibus Incentive Plan. Excludes securities reflected in column (a).</w:t>
      </w:r>
    </w:p>
    <w:p>
      <w:pPr>
        <w:spacing w:after="0" w:line="188" w:lineRule="exact"/>
        <w:rPr>
          <w:rFonts w:ascii="Arial" w:cs="Arial" w:eastAsia="Arial" w:hAnsi="Arial"/>
          <w:sz w:val="14"/>
          <w:szCs w:val="14"/>
          <w:color w:val="4D4D4F"/>
        </w:rPr>
      </w:pPr>
    </w:p>
    <w:p>
      <w:pPr>
        <w:ind w:left="340" w:hanging="332"/>
        <w:spacing w:after="0"/>
        <w:tabs>
          <w:tab w:leader="none" w:pos="340" w:val="left"/>
        </w:tabs>
        <w:numPr>
          <w:ilvl w:val="0"/>
          <w:numId w:val="77"/>
        </w:numPr>
        <w:rPr>
          <w:rFonts w:ascii="Arial" w:cs="Arial" w:eastAsia="Arial" w:hAnsi="Arial"/>
          <w:sz w:val="14"/>
          <w:szCs w:val="14"/>
          <w:color w:val="4D4D4F"/>
        </w:rPr>
      </w:pPr>
      <w:r>
        <w:rPr>
          <w:rFonts w:ascii="Arial" w:cs="Arial" w:eastAsia="Arial" w:hAnsi="Arial"/>
          <w:sz w:val="14"/>
          <w:szCs w:val="14"/>
          <w:color w:val="4D4D4F"/>
        </w:rPr>
        <w:t>Consists of awards issued or issuable under our 2016 Omnibus Incentive Plan and 1998 Stock Option Plan.</w:t>
      </w:r>
    </w:p>
    <w:p>
      <w:pPr>
        <w:spacing w:after="0" w:line="105" w:lineRule="exact"/>
        <w:rPr>
          <w:rFonts w:ascii="Arial" w:cs="Arial" w:eastAsia="Arial" w:hAnsi="Arial"/>
          <w:sz w:val="14"/>
          <w:szCs w:val="14"/>
          <w:color w:val="4D4D4F"/>
        </w:rPr>
      </w:pPr>
    </w:p>
    <w:p>
      <w:pPr>
        <w:ind w:left="340" w:hanging="332"/>
        <w:spacing w:after="0"/>
        <w:tabs>
          <w:tab w:leader="none" w:pos="340" w:val="left"/>
        </w:tabs>
        <w:numPr>
          <w:ilvl w:val="0"/>
          <w:numId w:val="77"/>
        </w:numPr>
        <w:rPr>
          <w:rFonts w:ascii="Arial" w:cs="Arial" w:eastAsia="Arial" w:hAnsi="Arial"/>
          <w:sz w:val="14"/>
          <w:szCs w:val="14"/>
          <w:color w:val="4D4D4F"/>
        </w:rPr>
      </w:pPr>
      <w:r>
        <w:rPr>
          <w:rFonts w:ascii="Arial" w:cs="Arial" w:eastAsia="Arial" w:hAnsi="Arial"/>
          <w:sz w:val="14"/>
          <w:szCs w:val="14"/>
          <w:color w:val="4D4D4F"/>
        </w:rPr>
        <w:t>Consists of non-qualified stock option agreements granted between 2007 and 2015 outside of any equity incentive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14630" cy="2317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630" cy="231775"/>
                    </a:xfrm>
                    <a:prstGeom prst="rect">
                      <a:avLst/>
                    </a:prstGeom>
                    <a:noFill/>
                    <a:ln>
                      <a:noFill/>
                    </a:ln>
                  </pic:spPr>
                </pic:pic>
              </a:graphicData>
            </a:graphic>
          </wp:inline>
        </w:drawing>
      </w:r>
      <w:r>
        <w:rPr>
          <w:rFonts w:ascii="Arial" w:cs="Arial" w:eastAsia="Arial" w:hAnsi="Arial"/>
          <w:sz w:val="25"/>
          <w:szCs w:val="25"/>
          <w:b w:val="1"/>
          <w:bCs w:val="1"/>
          <w:color w:val="003E64"/>
        </w:rPr>
        <w:t xml:space="preserve"> — Ratification of Appointment of Independent Auditor for 2020</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Appointment of Independent Auditor by Audit Committee</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audit committee annually evaluates the performance of our independent auditor, including the senior audit engagement team, and determines whether to reengage the current independent auditor or consider other audit firms.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This year the audit committee has approved the retention of BDO China Shu Lun Pan Certified Public Accountants LLP, or BDO, as our independent auditor to report on our consolidated financial statements and the effectiveness of our internal control over financial reporting for the year ending December 31, 2020. Factors considered by the audit committee in deciding whether to retain BDO included:</w:t>
      </w:r>
    </w:p>
    <w:p>
      <w:pPr>
        <w:spacing w:after="0" w:line="1"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BDO’s global capabilities;</w:t>
      </w:r>
    </w:p>
    <w:p>
      <w:pPr>
        <w:spacing w:after="0" w:line="69" w:lineRule="exact"/>
        <w:rPr>
          <w:rFonts w:ascii="Arial" w:cs="Arial" w:eastAsia="Arial" w:hAnsi="Arial"/>
          <w:sz w:val="18"/>
          <w:szCs w:val="18"/>
          <w:color w:val="4D4D4F"/>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BDO’s technical expertise and knowledge of our global operations and industry;</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the quality and candor of BDO’s communications with the audit committee and management;</w:t>
      </w:r>
    </w:p>
    <w:p>
      <w:pPr>
        <w:spacing w:after="0" w:line="49" w:lineRule="exact"/>
        <w:rPr>
          <w:rFonts w:ascii="Arial" w:cs="Arial" w:eastAsia="Arial" w:hAnsi="Arial"/>
          <w:sz w:val="18"/>
          <w:szCs w:val="18"/>
          <w:color w:val="4D4D4F"/>
        </w:rPr>
      </w:pPr>
    </w:p>
    <w:p>
      <w:pPr>
        <w:ind w:left="660" w:hanging="328"/>
        <w:spacing w:after="0" w:line="266" w:lineRule="auto"/>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the quality and eﬃciency of the services provided by BDO, including input from management on BDO’s performance;</w:t>
      </w:r>
    </w:p>
    <w:p>
      <w:pPr>
        <w:spacing w:after="0" w:line="229" w:lineRule="exact"/>
        <w:rPr>
          <w:rFonts w:ascii="Arial" w:cs="Arial" w:eastAsia="Arial" w:hAnsi="Arial"/>
          <w:sz w:val="18"/>
          <w:szCs w:val="18"/>
          <w:color w:val="4D4D4F"/>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BDO’s objectivity and professional skepticism;</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external data on audit quality and performance, including recent PCAOB reports on BDO and its peer firms;</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BDO’s use of technology to aid in audit eﬃciency;</w:t>
      </w:r>
    </w:p>
    <w:p>
      <w:pPr>
        <w:spacing w:after="0" w:line="49" w:lineRule="exact"/>
        <w:rPr>
          <w:rFonts w:ascii="Arial" w:cs="Arial" w:eastAsia="Arial" w:hAnsi="Arial"/>
          <w:sz w:val="18"/>
          <w:szCs w:val="18"/>
          <w:color w:val="4D4D4F"/>
        </w:rPr>
      </w:pPr>
    </w:p>
    <w:p>
      <w:pPr>
        <w:ind w:left="660" w:hanging="328"/>
        <w:spacing w:after="0" w:line="277" w:lineRule="auto"/>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BDO’s independence, how eﬀectively BDO demonstrated its independent judgment, and the controls and processes in place that help ensure BDO’s independence; and</w:t>
      </w:r>
    </w:p>
    <w:p>
      <w:pPr>
        <w:ind w:left="660" w:hanging="328"/>
        <w:spacing w:after="0"/>
        <w:tabs>
          <w:tab w:leader="none" w:pos="66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the appropriateness of BDO’s fees.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Proposed Ratification of Independent Auditor</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BDO to our stockholders for ratification because we value the views of our stockholders.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considers BDO to be well qualified. In the absence of contrary specification, the proxy holders will vote proxies received in response to this solicitation in favor of ratification of the appointment. In the event that stockholders fail to ratify the appointment of BDO, the audit committee will reconsider the appointment of BDO.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4D4D4F"/>
        </w:rPr>
        <w:t>Representatives of BDO are expected to be present at the Annual Meeting and will have an opportunity to make a statement, if they desire.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rPr>
          <w:sz w:val="20"/>
          <w:szCs w:val="20"/>
          <w:color w:val="auto"/>
        </w:rPr>
      </w:pPr>
      <w:r>
        <w:rPr>
          <w:rFonts w:ascii="Arial" w:cs="Arial" w:eastAsia="Arial" w:hAnsi="Arial"/>
          <w:sz w:val="22"/>
          <w:szCs w:val="22"/>
          <w:b w:val="1"/>
          <w:bCs w:val="1"/>
          <w:color w:val="0079C0"/>
        </w:rPr>
        <w:t>the ratification of the appointment of BDO as our independent auditor for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Accounting Matters</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Principal Independent Auditor Fees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sets forth the aggregate fees billed to us by BDO for professional services rendered for the years ended December 31, 2019 and 2018: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Fee Category</w:t>
            </w:r>
          </w:p>
        </w:tc>
        <w:tc>
          <w:tcPr>
            <w:tcW w:w="4400" w:type="dxa"/>
            <w:vAlign w:val="bottom"/>
            <w:shd w:val="clear" w:color="auto" w:fill="003E64"/>
          </w:tcPr>
          <w:p>
            <w:pPr>
              <w:jc w:val="center"/>
              <w:ind w:left="2515"/>
              <w:spacing w:after="0"/>
              <w:rPr>
                <w:sz w:val="20"/>
                <w:szCs w:val="20"/>
                <w:color w:val="auto"/>
              </w:rPr>
            </w:pPr>
            <w:r>
              <w:rPr>
                <w:rFonts w:ascii="Arial" w:cs="Arial" w:eastAsia="Arial" w:hAnsi="Arial"/>
                <w:sz w:val="14"/>
                <w:szCs w:val="14"/>
                <w:b w:val="1"/>
                <w:bCs w:val="1"/>
                <w:color w:val="FFFFFF"/>
              </w:rPr>
              <w:t>2019</w:t>
            </w:r>
          </w:p>
        </w:tc>
        <w:tc>
          <w:tcPr>
            <w:tcW w:w="18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2018</w:t>
            </w:r>
          </w:p>
        </w:tc>
      </w:tr>
      <w:tr>
        <w:trPr>
          <w:trHeight w:val="203"/>
        </w:trPr>
        <w:tc>
          <w:tcPr>
            <w:tcW w:w="50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Audit Fees(1)</w:t>
            </w:r>
          </w:p>
        </w:tc>
        <w:tc>
          <w:tcPr>
            <w:tcW w:w="4400" w:type="dxa"/>
            <w:vAlign w:val="bottom"/>
            <w:shd w:val="clear" w:color="auto" w:fill="B7E4FF"/>
          </w:tcPr>
          <w:p>
            <w:pPr>
              <w:jc w:val="center"/>
              <w:ind w:left="2535"/>
              <w:spacing w:after="0" w:line="202" w:lineRule="exact"/>
              <w:rPr>
                <w:sz w:val="20"/>
                <w:szCs w:val="20"/>
                <w:color w:val="auto"/>
              </w:rPr>
            </w:pPr>
            <w:r>
              <w:rPr>
                <w:rFonts w:ascii="Arial" w:cs="Arial" w:eastAsia="Arial" w:hAnsi="Arial"/>
                <w:sz w:val="18"/>
                <w:szCs w:val="18"/>
                <w:color w:val="4D4D4F"/>
              </w:rPr>
              <w:t>$295,900</w:t>
            </w:r>
          </w:p>
        </w:tc>
        <w:tc>
          <w:tcPr>
            <w:tcW w:w="180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rPr>
              <w:t>$266,168</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4D4D4F"/>
              </w:rPr>
              <w:t>Audit-Related Fees(2)</w:t>
            </w:r>
          </w:p>
        </w:tc>
        <w:tc>
          <w:tcPr>
            <w:tcW w:w="4400" w:type="dxa"/>
            <w:vAlign w:val="bottom"/>
          </w:tcPr>
          <w:p>
            <w:pPr>
              <w:jc w:val="center"/>
              <w:ind w:left="2535"/>
              <w:spacing w:after="0" w:line="202" w:lineRule="exact"/>
              <w:rPr>
                <w:sz w:val="20"/>
                <w:szCs w:val="20"/>
                <w:color w:val="auto"/>
              </w:rPr>
            </w:pPr>
            <w:r>
              <w:rPr>
                <w:rFonts w:ascii="Arial" w:cs="Arial" w:eastAsia="Arial" w:hAnsi="Arial"/>
                <w:sz w:val="18"/>
                <w:szCs w:val="18"/>
                <w:color w:val="4D4D4F"/>
              </w:rPr>
              <w:t>$167,120</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4D4D4F"/>
                <w:w w:val="99"/>
              </w:rPr>
              <w:t>—</w:t>
            </w:r>
          </w:p>
        </w:tc>
      </w:tr>
      <w:tr>
        <w:trPr>
          <w:trHeight w:val="203"/>
        </w:trPr>
        <w:tc>
          <w:tcPr>
            <w:tcW w:w="50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Total</w:t>
            </w:r>
          </w:p>
        </w:tc>
        <w:tc>
          <w:tcPr>
            <w:tcW w:w="4400" w:type="dxa"/>
            <w:vAlign w:val="bottom"/>
            <w:shd w:val="clear" w:color="auto" w:fill="B7E4FF"/>
          </w:tcPr>
          <w:p>
            <w:pPr>
              <w:jc w:val="center"/>
              <w:ind w:left="2535"/>
              <w:spacing w:after="0" w:line="202" w:lineRule="exact"/>
              <w:rPr>
                <w:sz w:val="20"/>
                <w:szCs w:val="20"/>
                <w:color w:val="auto"/>
              </w:rPr>
            </w:pPr>
            <w:r>
              <w:rPr>
                <w:rFonts w:ascii="Arial" w:cs="Arial" w:eastAsia="Arial" w:hAnsi="Arial"/>
                <w:sz w:val="18"/>
                <w:szCs w:val="18"/>
                <w:color w:val="4D4D4F"/>
              </w:rPr>
              <w:t>$463,020</w:t>
            </w:r>
          </w:p>
        </w:tc>
        <w:tc>
          <w:tcPr>
            <w:tcW w:w="1800" w:type="dxa"/>
            <w:vAlign w:val="bottom"/>
            <w:shd w:val="clear" w:color="auto" w:fill="B7E4FF"/>
          </w:tcPr>
          <w:p>
            <w:pPr>
              <w:jc w:val="right"/>
              <w:ind w:right="355"/>
              <w:spacing w:after="0" w:line="202" w:lineRule="exact"/>
              <w:rPr>
                <w:sz w:val="20"/>
                <w:szCs w:val="20"/>
                <w:color w:val="auto"/>
              </w:rPr>
            </w:pPr>
            <w:r>
              <w:rPr>
                <w:rFonts w:ascii="Arial" w:cs="Arial" w:eastAsia="Arial" w:hAnsi="Arial"/>
                <w:sz w:val="18"/>
                <w:szCs w:val="18"/>
                <w:color w:val="4D4D4F"/>
              </w:rPr>
              <w:t>$266,168</w:t>
            </w:r>
          </w:p>
        </w:tc>
      </w:tr>
    </w:tbl>
    <w:p>
      <w:pPr>
        <w:spacing w:after="0" w:line="5" w:lineRule="exact"/>
        <w:rPr>
          <w:sz w:val="20"/>
          <w:szCs w:val="20"/>
          <w:color w:val="auto"/>
        </w:rPr>
      </w:pPr>
    </w:p>
    <w:p>
      <w:pPr>
        <w:ind w:left="340" w:hanging="332"/>
        <w:spacing w:after="0" w:line="241" w:lineRule="auto"/>
        <w:tabs>
          <w:tab w:leader="none" w:pos="340" w:val="left"/>
        </w:tabs>
        <w:numPr>
          <w:ilvl w:val="0"/>
          <w:numId w:val="79"/>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annual consolidated financial statements, review of quarterly consolidated financial statements, statutory audits, comfort letters, and consents and review of documentation filed with SEC-registered and other securities offerings.</w:t>
      </w:r>
    </w:p>
    <w:p>
      <w:pPr>
        <w:ind w:left="340" w:right="80" w:hanging="332"/>
        <w:spacing w:after="0" w:line="258" w:lineRule="auto"/>
        <w:tabs>
          <w:tab w:leader="none" w:pos="340" w:val="left"/>
        </w:tabs>
        <w:numPr>
          <w:ilvl w:val="0"/>
          <w:numId w:val="79"/>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financial statements of ACM Shanghai in connection with its proposed initial public offering on the Shanghai Stock Exchange’s Sci-Tech InnovAtion BoaRd.</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 Pre-Approval Policies and Procedures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Audit Committee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Audit Committee of the Board of Directors consists entirely of members who meet the independence requirements of the listing standards of Nasdaq and the rules and regulations of the SEC, as determined by the board. The Audit Committee is responsible for providing independent, objective oversight of the financial reporting processes and internal controls of ACM Research, Inc., or ACM. The Audit Committee operates under a written charter approved by the board. A copy of the current charter is available at </w:t>
      </w:r>
      <w:r>
        <w:rPr>
          <w:rFonts w:ascii="Arial" w:cs="Arial" w:eastAsia="Arial" w:hAnsi="Arial"/>
          <w:sz w:val="18"/>
          <w:szCs w:val="18"/>
          <w:i w:val="1"/>
          <w:iCs w:val="1"/>
          <w:color w:val="4D4D4F"/>
        </w:rPr>
        <w:t>media.corporate-ir.net/media_files/IROL/25/254659/acm-ac-charter-final.pdf</w:t>
      </w:r>
      <w:r>
        <w:rPr>
          <w:rFonts w:ascii="Arial" w:cs="Arial" w:eastAsia="Arial" w:hAnsi="Arial"/>
          <w:sz w:val="18"/>
          <w:szCs w:val="18"/>
          <w:color w:val="4D4D4F"/>
        </w:rPr>
        <w: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Audit Committee members do not serve as professional accountants or auditors for ACM, and their functions are not intended to duplicate or certify the activities of ACM’s management or independent auditor.</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Consistent with its monitoring and oversight responsibilities, the Audit Committee met with management and BDO Shu Lun Pan, LLC, or BDO, the independent auditor of ACM, to review and discuss the December 31, 2019 audited consolidated financial statements. Management represented that ACM had prepared the consolidated financial statements in accordance with U.S. generally accepted accounting principles. The Audit Committee discussed with BDO the matters required by the PCAOB in accordance with Auditing Standard No. 1301, “Communications with Audit Committees.”</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4D4D4F"/>
        </w:rPr>
        <w:t>The Audit Committee received from BDO the written communication that is required by PCAOB Rule 3526, “Communication with Audit Committees Concerning Independence,” and the Audit Committee discussed with BDO that firm’s independence. The Audit Committee also considered whether BDO’s provision of non-audit services 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audit and non-audit fees paid to BDO were compatible with maintaining that firm’s independence. On the basis of these reviews, the Audit Committee determined that BDO has the requisite independence.</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completed the documentation, testing and evaluation of ACM’s system of internal control over financial reporting as of December 31, 2019 as required by Section 404 of the Sarbanes-Oxley Act of 2002. The Audit Committee received periodic updates from management and BDO at Audit Committee meetings throughout the year and provided oversight of the process. Prior to filing ACM’s Annual Report on Form 10-K for the fiscal year ended December 31, 2019, or the Form 10-K, with the SEC, the Audit Committee also reviewed management’s report on the effectiveness of ACM’s internal control over financial reporting contained in the Form 10-K, as well as the Report of Independent Registered Public Accounting Firm provided by BDO and also included in the Form 10-K. BDO’s report included in the Form 10-K related to its audit of ACM’s consolidated financial statements.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upon the Audit Committee’s discussions with management and BDO and the Audit Committee’s review of the information provided by, and the representations of, management and BDO, the Audit Committee recommended to the board that the audited consolidated financial statements as of and for the year ended December 31, 2019 be included in BDO’s Annual Report on Form 10-K for the year ended December 31, 2019. The Audit Committee selected BDO as ACM’s independent auditor for the fiscal year ending December 31, 2020, and recommended that the selection be submitted for ratification by the stockholders of ACM.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4D4D4F"/>
        </w:rPr>
        <w:t>Audit Committee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4D4D4F"/>
        </w:rPr>
        <w:t>Tracy Liu</w:t>
      </w:r>
    </w:p>
    <w:p>
      <w:pPr>
        <w:spacing w:after="0" w:line="234" w:lineRule="auto"/>
        <w:rPr>
          <w:sz w:val="20"/>
          <w:szCs w:val="20"/>
          <w:color w:val="auto"/>
        </w:rPr>
      </w:pPr>
      <w:r>
        <w:rPr>
          <w:rFonts w:ascii="Arial" w:cs="Arial" w:eastAsia="Arial" w:hAnsi="Arial"/>
          <w:sz w:val="18"/>
          <w:szCs w:val="18"/>
          <w:color w:val="4D4D4F"/>
        </w:rPr>
        <w:t>Haiping Dun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4D4D4F"/>
        </w:rPr>
        <w:t>Yinan Xiang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Stockholder Proposals for 2021 Annual Meeting</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order for stockholder proposals for the 2021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24, 2020. In addition, all proposals will need to comply with Rule 14a-8 of the Securities Exchange Act, which sets forth the requirements for the inclusion of stockholder proposals in our sponsored proxy materials.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2021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4, 2021, nor earlier than the close of business on February 2, 2021. A copy of our Bylaws is available at </w:t>
      </w:r>
      <w:r>
        <w:rPr>
          <w:rFonts w:ascii="Arial" w:cs="Arial" w:eastAsia="Arial" w:hAnsi="Arial"/>
          <w:sz w:val="18"/>
          <w:szCs w:val="18"/>
          <w:i w:val="1"/>
          <w:iCs w:val="1"/>
          <w:color w:val="4D4D4F"/>
        </w:rPr>
        <w:t>sec.gov/Archives/edgar/data/1680062/000119312517342650/d407541dex302.htm.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Delivery of Documents to Security Holders Sharing an Address</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 w:cs="Arial" w:eastAsia="Arial" w:hAnsi="Arial"/>
          <w:sz w:val="18"/>
          <w:szCs w:val="18"/>
          <w:i w:val="1"/>
          <w:iCs w:val="1"/>
          <w:color w:val="4D4D4F"/>
        </w:rPr>
        <w:t>investor.relations@acmrcsh.com</w:t>
      </w:r>
      <w:r>
        <w:rPr>
          <w:rFonts w:ascii="Arial" w:cs="Arial" w:eastAsia="Arial" w:hAnsi="Arial"/>
          <w:sz w:val="18"/>
          <w:szCs w:val="18"/>
          <w:color w:val="4D4D4F"/>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Other Matters</w:t>
      </w:r>
    </w:p>
    <w:p>
      <w:pPr>
        <w:spacing w:after="0" w:line="263"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4D4D4F"/>
        </w:rPr>
        <w:t>We will pay all expenses of preparing, printing and mailing the Annual Meeting proxy materials, as well as all other expenses of soliciting proxies for the Annual Meeting on behalf of the board of directors.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923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23290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1" w:name="page42"/>
    <w:bookmarkEnd w:id="41"/>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904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sectPr>
      <w:pgSz w:w="11900" w:h="16838" w:orient="portrait"/>
      <w:cols w:equalWidth="0" w:num="1">
        <w:col w:w="10139"/>
      </w:cols>
      <w:pgMar w:left="3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upperLetter"/>
      <w:start w:val="17"/>
    </w:lvl>
  </w:abstractNum>
  <w:abstractNum w:abstractNumId="7">
    <w:nsid w:val="1D4ED43B"/>
    <w:multiLevelType w:val="hybridMultilevel"/>
    <w:lvl w:ilvl="0">
      <w:lvlJc w:val="left"/>
      <w:lvlText w:val="%1:"/>
      <w:numFmt w:val="upperLetter"/>
      <w:start w:val="1"/>
    </w:lvl>
  </w:abstractNum>
  <w:abstractNum w:abstractNumId="8">
    <w:nsid w:val="725A06FB"/>
    <w:multiLevelType w:val="hybridMultilevel"/>
    <w:lvl w:ilvl="0">
      <w:lvlJc w:val="left"/>
      <w:lvlText w:val="%1:"/>
      <w:numFmt w:val="upperLetter"/>
      <w:start w:val="1"/>
    </w:lvl>
  </w:abstractNum>
  <w:abstractNum w:abstractNumId="9">
    <w:nsid w:val="2CD89A32"/>
    <w:multiLevelType w:val="hybridMultilevel"/>
    <w:lvl w:ilvl="0">
      <w:lvlJc w:val="left"/>
      <w:lvlText w:val="%1:"/>
      <w:numFmt w:val="upperLetter"/>
      <w:start w:val="17"/>
    </w:lvl>
  </w:abstractNum>
  <w:abstractNum w:abstractNumId="10">
    <w:nsid w:val="57E4CCAF"/>
    <w:multiLevelType w:val="hybridMultilevel"/>
    <w:lvl w:ilvl="0">
      <w:lvlJc w:val="left"/>
      <w:lvlText w:val="%1:"/>
      <w:numFmt w:val="upperLetter"/>
      <w:start w:val="1"/>
    </w:lvl>
    <w:lvl w:ilvl="1">
      <w:lvlJc w:val="left"/>
      <w:lvlText w:val="•"/>
      <w:numFmt w:val="bullet"/>
      <w:start w:val="1"/>
    </w:lvl>
  </w:abstractNum>
  <w:abstractNum w:abstractNumId="11">
    <w:nsid w:val="7A6D8D3C"/>
    <w:multiLevelType w:val="hybridMultilevel"/>
    <w:lvl w:ilvl="0">
      <w:lvlJc w:val="left"/>
      <w:lvlText w:val="%1:"/>
      <w:numFmt w:val="upperLetter"/>
      <w:start w:val="17"/>
    </w:lvl>
  </w:abstractNum>
  <w:abstractNum w:abstractNumId="12">
    <w:nsid w:val="4B588F54"/>
    <w:multiLevelType w:val="hybridMultilevel"/>
    <w:lvl w:ilvl="0">
      <w:lvlJc w:val="left"/>
      <w:lvlText w:val="%1:"/>
      <w:numFmt w:val="upperLetter"/>
      <w:start w:val="1"/>
    </w:lvl>
  </w:abstractNum>
  <w:abstractNum w:abstractNumId="13">
    <w:nsid w:val="542289EC"/>
    <w:multiLevelType w:val="hybridMultilevel"/>
    <w:lvl w:ilvl="0">
      <w:lvlJc w:val="left"/>
      <w:lvlText w:val="%1:"/>
      <w:numFmt w:val="upperLetter"/>
      <w:start w:val="17"/>
    </w:lvl>
  </w:abstractNum>
  <w:abstractNum w:abstractNumId="14">
    <w:nsid w:val="6DE91B18"/>
    <w:multiLevelType w:val="hybridMultilevel"/>
    <w:lvl w:ilvl="0">
      <w:lvlJc w:val="left"/>
      <w:lvlText w:val="%1:"/>
      <w:numFmt w:val="upperLetter"/>
      <w:start w:val="1"/>
    </w:lvl>
  </w:abstractNum>
  <w:abstractNum w:abstractNumId="15">
    <w:nsid w:val="38437FDB"/>
    <w:multiLevelType w:val="hybridMultilevel"/>
    <w:lvl w:ilvl="0">
      <w:lvlJc w:val="left"/>
      <w:lvlText w:val="%1:"/>
      <w:numFmt w:val="upperLetter"/>
      <w:start w:val="17"/>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17"/>
    </w:lvl>
  </w:abstractNum>
  <w:abstractNum w:abstractNumId="18">
    <w:nsid w:val="684A481A"/>
    <w:multiLevelType w:val="hybridMultilevel"/>
    <w:lvl w:ilvl="0">
      <w:lvlJc w:val="left"/>
      <w:lvlText w:val="%1:"/>
      <w:numFmt w:val="upperLetter"/>
      <w:start w:val="17"/>
    </w:lvl>
  </w:abstractNum>
  <w:abstractNum w:abstractNumId="19">
    <w:nsid w:val="579478FE"/>
    <w:multiLevelType w:val="hybridMultilevel"/>
    <w:lvl w:ilvl="0">
      <w:lvlJc w:val="left"/>
      <w:lvlText w:val="%1:"/>
      <w:numFmt w:val="upperLetter"/>
      <w:start w:val="1"/>
    </w:lvl>
  </w:abstractNum>
  <w:abstractNum w:abstractNumId="20">
    <w:nsid w:val="749ABB43"/>
    <w:multiLevelType w:val="hybridMultilevel"/>
    <w:lvl w:ilvl="0">
      <w:lvlJc w:val="left"/>
      <w:lvlText w:val="%1:"/>
      <w:numFmt w:val="upperLetter"/>
      <w:start w:val="17"/>
    </w:lvl>
  </w:abstractNum>
  <w:abstractNum w:abstractNumId="21">
    <w:nsid w:val="3DC240FB"/>
    <w:multiLevelType w:val="hybridMultilevel"/>
    <w:lvl w:ilvl="0">
      <w:lvlJc w:val="left"/>
      <w:lvlText w:val="%1:"/>
      <w:numFmt w:val="upperLetter"/>
      <w:start w:val="1"/>
    </w:lvl>
  </w:abstractNum>
  <w:abstractNum w:abstractNumId="22">
    <w:nsid w:val="1BA026FA"/>
    <w:multiLevelType w:val="hybridMultilevel"/>
    <w:lvl w:ilvl="0">
      <w:lvlJc w:val="left"/>
      <w:lvlText w:val="%1:"/>
      <w:numFmt w:val="upperLetter"/>
      <w:start w:val="17"/>
    </w:lvl>
  </w:abstractNum>
  <w:abstractNum w:abstractNumId="23">
    <w:nsid w:val="79A1DEAA"/>
    <w:multiLevelType w:val="hybridMultilevel"/>
    <w:lvl w:ilvl="0">
      <w:lvlJc w:val="left"/>
      <w:lvlText w:val="%1:"/>
      <w:numFmt w:val="upperLetter"/>
      <w:start w:val="1"/>
    </w:lvl>
    <w:lvl w:ilvl="1">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upperLetter"/>
      <w:start w:val="17"/>
    </w:lvl>
  </w:abstractNum>
  <w:abstractNum w:abstractNumId="26">
    <w:nsid w:val="70C6A529"/>
    <w:multiLevelType w:val="hybridMultilevel"/>
    <w:lvl w:ilvl="0">
      <w:lvlJc w:val="left"/>
      <w:lvlText w:val="%1:"/>
      <w:numFmt w:val="upperLetter"/>
      <w:start w:val="1"/>
    </w:lvl>
    <w:lvl w:ilvl="1">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upperLetter"/>
      <w:start w:val="17"/>
    </w:lvl>
  </w:abstractNum>
  <w:abstractNum w:abstractNumId="29">
    <w:nsid w:val="4F4EF005"/>
    <w:multiLevelType w:val="hybridMultilevel"/>
    <w:lvl w:ilvl="0">
      <w:lvlJc w:val="left"/>
      <w:lvlText w:val="%1:"/>
      <w:numFmt w:val="upperLetter"/>
      <w:start w:val="1"/>
    </w:lvl>
  </w:abstractNum>
  <w:abstractNum w:abstractNumId="30">
    <w:nsid w:val="23F9C13C"/>
    <w:multiLevelType w:val="hybridMultilevel"/>
    <w:lvl w:ilvl="0">
      <w:lvlJc w:val="left"/>
      <w:lvlText w:val="%1:"/>
      <w:numFmt w:val="upperLetter"/>
      <w:start w:val="17"/>
    </w:lvl>
  </w:abstractNum>
  <w:abstractNum w:abstractNumId="31">
    <w:nsid w:val="649BB77C"/>
    <w:multiLevelType w:val="hybridMultilevel"/>
    <w:lvl w:ilvl="0">
      <w:lvlJc w:val="left"/>
      <w:lvlText w:val="%1:"/>
      <w:numFmt w:val="upperLetter"/>
      <w:start w:val="1"/>
    </w:lvl>
  </w:abstractNum>
  <w:abstractNum w:abstractNumId="32">
    <w:nsid w:val="275AC794"/>
    <w:multiLevelType w:val="hybridMultilevel"/>
    <w:lvl w:ilvl="0">
      <w:lvlJc w:val="left"/>
      <w:lvlText w:val="%1:"/>
      <w:numFmt w:val="upperLetter"/>
      <w:start w:val="17"/>
    </w:lvl>
  </w:abstractNum>
  <w:abstractNum w:abstractNumId="33">
    <w:nsid w:val="39386575"/>
    <w:multiLevelType w:val="hybridMultilevel"/>
    <w:lvl w:ilvl="0">
      <w:lvlJc w:val="left"/>
      <w:lvlText w:val="%1:"/>
      <w:numFmt w:val="upperLetter"/>
      <w:start w:val="1"/>
    </w:lvl>
  </w:abstractNum>
  <w:abstractNum w:abstractNumId="34">
    <w:nsid w:val="1CF10FD8"/>
    <w:multiLevelType w:val="hybridMultilevel"/>
    <w:lvl w:ilvl="0">
      <w:lvlJc w:val="left"/>
      <w:lvlText w:val="%1:"/>
      <w:numFmt w:val="upperLetter"/>
      <w:start w:val="17"/>
    </w:lvl>
  </w:abstractNum>
  <w:abstractNum w:abstractNumId="35">
    <w:nsid w:val="180115BE"/>
    <w:multiLevelType w:val="hybridMultilevel"/>
    <w:lvl w:ilvl="0">
      <w:lvlJc w:val="left"/>
      <w:lvlText w:val="%1:"/>
      <w:numFmt w:val="upperLetter"/>
      <w:start w:val="1"/>
    </w:lvl>
  </w:abstractNum>
  <w:abstractNum w:abstractNumId="36">
    <w:nsid w:val="235BA861"/>
    <w:multiLevelType w:val="hybridMultilevel"/>
    <w:lvl w:ilvl="0">
      <w:lvlJc w:val="left"/>
      <w:lvlText w:val="%1:"/>
      <w:numFmt w:val="upperLetter"/>
      <w:start w:val="17"/>
    </w:lvl>
  </w:abstractNum>
  <w:abstractNum w:abstractNumId="37">
    <w:nsid w:val="47398C89"/>
    <w:multiLevelType w:val="hybridMultilevel"/>
    <w:lvl w:ilvl="0">
      <w:lvlJc w:val="left"/>
      <w:lvlText w:val="%1:"/>
      <w:numFmt w:val="upperLetter"/>
      <w:start w:val="1"/>
    </w:lvl>
    <w:lvl w:ilvl="1">
      <w:lvlJc w:val="left"/>
      <w:lvlText w:val="•"/>
      <w:numFmt w:val="bullet"/>
      <w:start w:val="1"/>
    </w:lvl>
  </w:abstractNum>
  <w:abstractNum w:abstractNumId="38">
    <w:nsid w:val="354FE9F9"/>
    <w:multiLevelType w:val="hybridMultilevel"/>
    <w:lvl w:ilvl="0">
      <w:lvlJc w:val="left"/>
      <w:lvlText w:val="%1:"/>
      <w:numFmt w:val="upperLetter"/>
      <w:start w:val="17"/>
    </w:lvl>
  </w:abstractNum>
  <w:abstractNum w:abstractNumId="39">
    <w:nsid w:val="15B5AF5C"/>
    <w:multiLevelType w:val="hybridMultilevel"/>
    <w:lvl w:ilvl="0">
      <w:lvlJc w:val="left"/>
      <w:lvlText w:val="%1:"/>
      <w:numFmt w:val="upperLetter"/>
      <w:start w:val="1"/>
    </w:lvl>
  </w:abstractNum>
  <w:abstractNum w:abstractNumId="40">
    <w:nsid w:val="741226BB"/>
    <w:multiLevelType w:val="hybridMultilevel"/>
    <w:lvl w:ilvl="0">
      <w:lvlJc w:val="left"/>
      <w:lvlText w:val="%1:"/>
      <w:numFmt w:val="upperLetter"/>
      <w:start w:val="17"/>
    </w:lvl>
  </w:abstractNum>
  <w:abstractNum w:abstractNumId="41">
    <w:nsid w:val="D34B6A8"/>
    <w:multiLevelType w:val="hybridMultilevel"/>
    <w:lvl w:ilvl="0">
      <w:lvlJc w:val="left"/>
      <w:lvlText w:val="%1:"/>
      <w:numFmt w:val="upperLetter"/>
      <w:start w:val="1"/>
    </w:lvl>
  </w:abstractNum>
  <w:abstractNum w:abstractNumId="42">
    <w:nsid w:val="10233C99"/>
    <w:multiLevelType w:val="hybridMultilevel"/>
    <w:lvl w:ilvl="0">
      <w:lvlJc w:val="left"/>
      <w:lvlText w:val="%1:"/>
      <w:numFmt w:val="upperLetter"/>
      <w:start w:val="17"/>
    </w:lvl>
  </w:abstractNum>
  <w:abstractNum w:abstractNumId="43">
    <w:nsid w:val="3F6AB60F"/>
    <w:multiLevelType w:val="hybridMultilevel"/>
    <w:lvl w:ilvl="0">
      <w:lvlJc w:val="left"/>
      <w:lvlText w:val="%1:"/>
      <w:numFmt w:val="upperLetter"/>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lvl w:ilvl="1">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lvl w:ilvl="1">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8"/>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2020-04-23T15:38:30Z</dcterms:created>
  <dcterms:modified xsi:type="dcterms:W3CDTF">2020-04-23T15:38:30Z</dcterms:modified>
</cp:coreProperties>
</file>