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 2023</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66"/>
        </w:trPr>
        <w:tc>
          <w:tcPr>
            <w:tcW w:w="552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ACMR</w:t>
            </w:r>
          </w:p>
        </w:tc>
        <w:tc>
          <w:tcPr>
            <w:tcW w:w="1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right="30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201"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our operating subsidiary ACM Research (Shanghai), Inc., or ACM Shanghai, are listed on the Sci-Tech innovation board, or the STAR Market, of the Shanghai Stock Exchange, or the SSE. In accordance with the SSE’s rules governing the STAR Market, ACM Shanghai filed with the SSE a Record of May 2023 Investor Relations Activity, or the Record. The SSE posted the Record to the SSE’s website on June 2, 2023. A copy of the Record is included as exhibit 99.01 to this report.</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160"/>
        <w:spacing w:after="0"/>
        <w:tabs>
          <w:tab w:leader="none" w:pos="56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u w:val="single" w:color="auto"/>
          <w:color w:val="0000EE"/>
        </w:rPr>
        <w:t>99.01*</w:t>
      </w:r>
      <w:r>
        <w:rPr>
          <w:sz w:val="20"/>
          <w:szCs w:val="20"/>
          <w:color w:val="auto"/>
        </w:rPr>
        <w:tab/>
      </w:r>
      <w:r>
        <w:rPr>
          <w:rFonts w:ascii="Arial" w:cs="Arial" w:eastAsia="Arial" w:hAnsi="Arial"/>
          <w:sz w:val="16"/>
          <w:szCs w:val="16"/>
          <w:color w:val="auto"/>
        </w:rPr>
        <w:t>Record of May 2023 Investor Relations Activity filed by ACM Research (Shanghai), Inc. with the Shanghai Stock Exchange on June 2, 2023</w:t>
      </w:r>
    </w:p>
    <w:p>
      <w:pPr>
        <w:spacing w:after="0" w:line="225" w:lineRule="exact"/>
        <w:rPr>
          <w:sz w:val="20"/>
          <w:szCs w:val="20"/>
          <w:color w:val="auto"/>
        </w:rPr>
      </w:pPr>
    </w:p>
    <w:p>
      <w:pPr>
        <w:ind w:right="4940" w:firstLine="306"/>
        <w:spacing w:after="0" w:line="659" w:lineRule="auto"/>
        <w:tabs>
          <w:tab w:leader="none" w:pos="979"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 Unofficial English translation of original document prepared in Mandarin Chinese.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26403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36004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98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Code: 688082</w:t>
            </w: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900" w:type="dxa"/>
            <w:vAlign w:val="bottom"/>
          </w:tcPr>
          <w:p>
            <w:pPr>
              <w:ind w:left="240"/>
              <w:spacing w:after="0"/>
              <w:rPr>
                <w:sz w:val="20"/>
                <w:szCs w:val="20"/>
                <w:color w:val="auto"/>
              </w:rPr>
            </w:pPr>
            <w:r>
              <w:rPr>
                <w:rFonts w:ascii="Arial" w:cs="Arial" w:eastAsia="Arial" w:hAnsi="Arial"/>
                <w:sz w:val="18"/>
                <w:szCs w:val="18"/>
                <w:b w:val="1"/>
                <w:bCs w:val="1"/>
                <w:color w:val="auto"/>
              </w:rPr>
              <w:t>Short Name: ACMSH</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80" w:type="dxa"/>
            <w:vAlign w:val="bottom"/>
            <w:gridSpan w:val="4"/>
          </w:tcPr>
          <w:p>
            <w:pPr>
              <w:ind w:left="2240"/>
              <w:spacing w:after="0"/>
              <w:rPr>
                <w:sz w:val="20"/>
                <w:szCs w:val="20"/>
                <w:color w:val="auto"/>
              </w:rPr>
            </w:pPr>
            <w:r>
              <w:rPr>
                <w:rFonts w:ascii="Arial" w:cs="Arial" w:eastAsia="Arial" w:hAnsi="Arial"/>
                <w:sz w:val="18"/>
                <w:szCs w:val="18"/>
                <w:b w:val="1"/>
                <w:bCs w:val="1"/>
                <w:color w:val="auto"/>
              </w:rPr>
              <w:t>ACM Research (Shanghai), Inc.</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80" w:type="dxa"/>
            <w:vAlign w:val="bottom"/>
            <w:gridSpan w:val="4"/>
          </w:tcPr>
          <w:p>
            <w:pPr>
              <w:ind w:left="1480"/>
              <w:spacing w:after="0"/>
              <w:rPr>
                <w:sz w:val="20"/>
                <w:szCs w:val="20"/>
                <w:color w:val="auto"/>
              </w:rPr>
            </w:pPr>
            <w:r>
              <w:rPr>
                <w:rFonts w:ascii="Arial" w:cs="Arial" w:eastAsia="Arial" w:hAnsi="Arial"/>
                <w:sz w:val="18"/>
                <w:szCs w:val="18"/>
                <w:b w:val="1"/>
                <w:bCs w:val="1"/>
                <w:color w:val="auto"/>
              </w:rPr>
              <w:t>Records of Investor Relation Activities in May 2023</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tcBorders>
          </w:tcPr>
          <w:p>
            <w:pPr>
              <w:ind w:left="140"/>
              <w:spacing w:after="0" w:line="162" w:lineRule="exact"/>
              <w:rPr>
                <w:sz w:val="20"/>
                <w:szCs w:val="20"/>
                <w:color w:val="auto"/>
              </w:rPr>
            </w:pPr>
            <w:r>
              <w:rPr>
                <w:rFonts w:ascii="Arial" w:cs="Arial" w:eastAsia="Arial" w:hAnsi="Arial"/>
                <w:sz w:val="18"/>
                <w:szCs w:val="18"/>
                <w:b w:val="1"/>
                <w:bCs w:val="1"/>
                <w:color w:val="auto"/>
                <w:w w:val="93"/>
              </w:rPr>
              <w:t>Categories of investor</w:t>
            </w:r>
          </w:p>
        </w:tc>
        <w:tc>
          <w:tcPr>
            <w:tcW w:w="220" w:type="dxa"/>
            <w:vAlign w:val="bottom"/>
            <w:tcBorders>
              <w:right w:val="single" w:sz="8" w:color="auto"/>
            </w:tcBorders>
          </w:tcPr>
          <w:p>
            <w:pPr>
              <w:spacing w:after="0"/>
              <w:rPr>
                <w:sz w:val="14"/>
                <w:szCs w:val="14"/>
                <w:color w:val="auto"/>
              </w:rPr>
            </w:pPr>
          </w:p>
        </w:tc>
        <w:tc>
          <w:tcPr>
            <w:tcW w:w="2760" w:type="dxa"/>
            <w:vAlign w:val="bottom"/>
          </w:tcPr>
          <w:p>
            <w:pPr>
              <w:ind w:left="100"/>
              <w:spacing w:after="0" w:line="162"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Specific object survey</w:t>
            </w:r>
          </w:p>
        </w:tc>
        <w:tc>
          <w:tcPr>
            <w:tcW w:w="6320" w:type="dxa"/>
            <w:vAlign w:val="bottom"/>
            <w:tcBorders>
              <w:right w:val="single" w:sz="8" w:color="auto"/>
            </w:tcBorders>
            <w:gridSpan w:val="3"/>
          </w:tcPr>
          <w:p>
            <w:pPr>
              <w:ind w:left="140"/>
              <w:spacing w:after="0" w:line="162"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Analyst meeting</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relations activities</w:t>
            </w:r>
          </w:p>
        </w:tc>
        <w:tc>
          <w:tcPr>
            <w:tcW w:w="220" w:type="dxa"/>
            <w:vAlign w:val="bottom"/>
            <w:tcBorders>
              <w:right w:val="single" w:sz="8" w:color="auto"/>
            </w:tcBorders>
          </w:tcPr>
          <w:p>
            <w:pPr>
              <w:spacing w:after="0"/>
              <w:rPr>
                <w:sz w:val="18"/>
                <w:szCs w:val="18"/>
                <w:color w:val="auto"/>
              </w:rPr>
            </w:pPr>
          </w:p>
        </w:tc>
        <w:tc>
          <w:tcPr>
            <w:tcW w:w="276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Media interview</w:t>
            </w:r>
          </w:p>
        </w:tc>
        <w:tc>
          <w:tcPr>
            <w:tcW w:w="6320" w:type="dxa"/>
            <w:vAlign w:val="bottom"/>
            <w:tcBorders>
              <w:right w:val="single" w:sz="8" w:color="auto"/>
            </w:tcBorders>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Performance briefing</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76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Press conference</w:t>
            </w:r>
          </w:p>
        </w:tc>
        <w:tc>
          <w:tcPr>
            <w:tcW w:w="6320" w:type="dxa"/>
            <w:vAlign w:val="bottom"/>
            <w:tcBorders>
              <w:right w:val="single" w:sz="8" w:color="auto"/>
            </w:tcBorders>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Roadshow</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76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Site visit</w:t>
            </w:r>
          </w:p>
        </w:tc>
        <w:tc>
          <w:tcPr>
            <w:tcW w:w="6320" w:type="dxa"/>
            <w:vAlign w:val="bottom"/>
            <w:tcBorders>
              <w:right w:val="single" w:sz="8" w:color="auto"/>
            </w:tcBorders>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Others (open conference call)</w:t>
            </w:r>
          </w:p>
        </w:tc>
        <w:tc>
          <w:tcPr>
            <w:tcW w:w="0" w:type="dxa"/>
            <w:vAlign w:val="bottom"/>
          </w:tcPr>
          <w:p>
            <w:pPr>
              <w:spacing w:after="0"/>
              <w:rPr>
                <w:sz w:val="1"/>
                <w:szCs w:val="1"/>
                <w:color w:val="auto"/>
              </w:rPr>
            </w:pPr>
          </w:p>
        </w:tc>
      </w:tr>
      <w:tr>
        <w:trPr>
          <w:trHeight w:val="28"/>
        </w:trPr>
        <w:tc>
          <w:tcPr>
            <w:tcW w:w="19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Date</w:t>
            </w:r>
          </w:p>
        </w:tc>
        <w:tc>
          <w:tcPr>
            <w:tcW w:w="22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May 2023</w:t>
            </w: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Venue</w:t>
            </w:r>
          </w:p>
        </w:tc>
        <w:tc>
          <w:tcPr>
            <w:tcW w:w="22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Conference call</w:t>
            </w: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Participants of the</w:t>
            </w:r>
          </w:p>
        </w:tc>
        <w:tc>
          <w:tcPr>
            <w:tcW w:w="220" w:type="dxa"/>
            <w:vAlign w:val="bottom"/>
            <w:tcBorders>
              <w:right w:val="single" w:sz="8" w:color="auto"/>
            </w:tcBorders>
          </w:tcPr>
          <w:p>
            <w:pPr>
              <w:spacing w:after="0"/>
              <w:rPr>
                <w:sz w:val="17"/>
                <w:szCs w:val="17"/>
                <w:color w:val="auto"/>
              </w:rPr>
            </w:pPr>
          </w:p>
        </w:tc>
        <w:tc>
          <w:tcPr>
            <w:tcW w:w="2760" w:type="dxa"/>
            <w:vAlign w:val="bottom"/>
          </w:tcPr>
          <w:p>
            <w:pPr>
              <w:ind w:left="100"/>
              <w:spacing w:after="0" w:line="198" w:lineRule="exact"/>
              <w:rPr>
                <w:sz w:val="20"/>
                <w:szCs w:val="20"/>
                <w:color w:val="auto"/>
              </w:rPr>
            </w:pPr>
            <w:r>
              <w:rPr>
                <w:rFonts w:ascii="Arial" w:cs="Arial" w:eastAsia="Arial" w:hAnsi="Arial"/>
                <w:sz w:val="18"/>
                <w:szCs w:val="18"/>
                <w:color w:val="auto"/>
              </w:rPr>
              <w:t>Chairman: HUI WANG</w:t>
            </w: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listed company</w:t>
            </w:r>
          </w:p>
        </w:tc>
        <w:tc>
          <w:tcPr>
            <w:tcW w:w="220" w:type="dxa"/>
            <w:vAlign w:val="bottom"/>
            <w:tcBorders>
              <w:right w:val="single" w:sz="8" w:color="auto"/>
            </w:tcBorders>
          </w:tcPr>
          <w:p>
            <w:pPr>
              <w:spacing w:after="0"/>
              <w:rPr>
                <w:sz w:val="19"/>
                <w:szCs w:val="19"/>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General Manager: JIAN WANG</w:t>
            </w: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Person in Charge of Financial Matters: LISA YI LU FENG</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Board Secretary: MINGZHU LUO</w:t>
            </w:r>
          </w:p>
        </w:tc>
        <w:tc>
          <w:tcPr>
            <w:tcW w:w="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080" w:type="dxa"/>
            <w:vAlign w:val="bottom"/>
            <w:tcBorders>
              <w:right w:val="single" w:sz="8" w:color="auto"/>
            </w:tcBorders>
            <w:gridSpan w:val="4"/>
          </w:tcPr>
          <w:p>
            <w:pPr>
              <w:ind w:left="100"/>
              <w:spacing w:after="0" w:line="201" w:lineRule="exact"/>
              <w:rPr>
                <w:sz w:val="20"/>
                <w:szCs w:val="20"/>
                <w:color w:val="auto"/>
              </w:rPr>
            </w:pPr>
            <w:r>
              <w:rPr>
                <w:rFonts w:ascii="Arial" w:cs="Arial" w:eastAsia="Arial" w:hAnsi="Arial"/>
                <w:sz w:val="18"/>
                <w:szCs w:val="18"/>
                <w:color w:val="auto"/>
                <w:w w:val="94"/>
              </w:rPr>
              <w:t xml:space="preserve">I. </w:t>
            </w:r>
            <w:r>
              <w:rPr>
                <w:rFonts w:ascii="Arial" w:cs="Arial" w:eastAsia="Arial" w:hAnsi="Arial"/>
                <w:sz w:val="18"/>
                <w:szCs w:val="18"/>
                <w:b w:val="1"/>
                <w:bCs w:val="1"/>
                <w:color w:val="auto"/>
                <w:w w:val="94"/>
              </w:rPr>
              <w:t>Company Introduction:</w:t>
            </w:r>
            <w:r>
              <w:rPr>
                <w:rFonts w:ascii="Arial" w:cs="Arial" w:eastAsia="Arial" w:hAnsi="Arial"/>
                <w:sz w:val="18"/>
                <w:szCs w:val="18"/>
                <w:color w:val="auto"/>
                <w:w w:val="94"/>
              </w:rPr>
              <w:t xml:space="preserve"> Leaders of ACM Research (Shanghai), Inc. (the “Company”) gave a brief introduction to the</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Company’s performance and financial position for the first quarter of 2023, and answered questions of concern by the</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investors.</w:t>
            </w: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4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w w:val="99"/>
              </w:rPr>
              <w:t>Summary of investor</w:t>
            </w:r>
          </w:p>
        </w:tc>
        <w:tc>
          <w:tcPr>
            <w:tcW w:w="220" w:type="dxa"/>
            <w:vAlign w:val="bottom"/>
            <w:tcBorders>
              <w:right w:val="single" w:sz="8" w:color="auto"/>
            </w:tcBorders>
          </w:tcPr>
          <w:p>
            <w:pPr>
              <w:spacing w:after="0"/>
              <w:rPr>
                <w:sz w:val="24"/>
                <w:szCs w:val="24"/>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Q&amp;A:</w:t>
            </w: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gridSpan w:val="4"/>
            <w:vMerge w:val="restart"/>
          </w:tcPr>
          <w:p>
            <w:pPr>
              <w:ind w:left="540"/>
              <w:spacing w:after="0"/>
              <w:rPr>
                <w:sz w:val="20"/>
                <w:szCs w:val="20"/>
                <w:color w:val="auto"/>
              </w:rPr>
            </w:pPr>
            <w:r>
              <w:rPr>
                <w:rFonts w:ascii="Arial" w:cs="Arial" w:eastAsia="Arial" w:hAnsi="Arial"/>
                <w:sz w:val="18"/>
                <w:szCs w:val="18"/>
                <w:b w:val="1"/>
                <w:bCs w:val="1"/>
                <w:color w:val="auto"/>
                <w:w w:val="93"/>
              </w:rPr>
              <w:t>1. The Company’s thermal ALD furnace tool, PECVD and supercritical cleaning equipment newly launched</w:t>
            </w: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relations activities</w:t>
            </w:r>
          </w:p>
        </w:tc>
        <w:tc>
          <w:tcPr>
            <w:tcW w:w="220" w:type="dxa"/>
            <w:vAlign w:val="bottom"/>
            <w:tcBorders>
              <w:right w:val="single" w:sz="8" w:color="auto"/>
            </w:tcBorders>
          </w:tcPr>
          <w:p>
            <w:pPr>
              <w:spacing w:after="0"/>
              <w:rPr>
                <w:sz w:val="9"/>
                <w:szCs w:val="9"/>
                <w:color w:val="auto"/>
              </w:rPr>
            </w:pPr>
          </w:p>
        </w:tc>
        <w:tc>
          <w:tcPr>
            <w:tcW w:w="908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940" w:type="dxa"/>
            <w:vAlign w:val="bottom"/>
            <w:tcBorders>
              <w:lef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b w:val="1"/>
                <w:bCs w:val="1"/>
                <w:color w:val="auto"/>
                <w:w w:val="93"/>
              </w:rPr>
              <w:t>have drawn close attention of the market. How about the latest progress in ALD and supercritical CO2 cleaning?</w:t>
            </w:r>
          </w:p>
        </w:tc>
        <w:tc>
          <w:tcPr>
            <w:tcW w:w="0" w:type="dxa"/>
            <w:vAlign w:val="bottom"/>
          </w:tcPr>
          <w:p>
            <w:pPr>
              <w:spacing w:after="0"/>
              <w:rPr>
                <w:sz w:val="1"/>
                <w:szCs w:val="1"/>
                <w:color w:val="auto"/>
              </w:rPr>
            </w:pPr>
          </w:p>
        </w:tc>
      </w:tr>
      <w:tr>
        <w:trPr>
          <w:trHeight w:val="94"/>
        </w:trPr>
        <w:tc>
          <w:tcPr>
            <w:tcW w:w="1940" w:type="dxa"/>
            <w:vAlign w:val="bottom"/>
            <w:tcBorders>
              <w:lef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908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4"/>
          </w:tcPr>
          <w:p>
            <w:pPr>
              <w:ind w:left="540"/>
              <w:spacing w:after="0"/>
              <w:rPr>
                <w:sz w:val="20"/>
                <w:szCs w:val="20"/>
                <w:color w:val="auto"/>
              </w:rPr>
            </w:pPr>
            <w:r>
              <w:rPr>
                <w:rFonts w:ascii="Arial" w:cs="Arial" w:eastAsia="Arial" w:hAnsi="Arial"/>
                <w:sz w:val="18"/>
                <w:szCs w:val="18"/>
                <w:color w:val="auto"/>
                <w:w w:val="97"/>
              </w:rPr>
              <w:t>A: Our first thermal ALD furnace tool was delivered to the alpha customer last year, and the results have been</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promising so far. All technical specifications have met design requirements, and we believe it can closely match or even</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surpass some of the performance indicators of international leading manufacturers. Overall, the customers seem quite</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satisfied with the performance of the company's thermal ALD products.</w:t>
            </w:r>
          </w:p>
        </w:tc>
        <w:tc>
          <w:tcPr>
            <w:tcW w:w="0" w:type="dxa"/>
            <w:vAlign w:val="bottom"/>
          </w:tcPr>
          <w:p>
            <w:pPr>
              <w:spacing w:after="0"/>
              <w:rPr>
                <w:sz w:val="1"/>
                <w:szCs w:val="1"/>
                <w:color w:val="auto"/>
              </w:rPr>
            </w:pPr>
          </w:p>
        </w:tc>
      </w:tr>
      <w:tr>
        <w:trPr>
          <w:trHeight w:val="398"/>
        </w:trPr>
        <w:tc>
          <w:tcPr>
            <w:tcW w:w="1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1" w:right="339" w:bottom="1440" w:gutter="0" w:footer="0" w:header="0"/>
        </w:sectPr>
      </w:pPr>
    </w:p>
    <w:bookmarkStart w:id="4" w:name="page5"/>
    <w:bookmarkEnd w:id="4"/>
    <w:p>
      <w:pPr>
        <w:jc w:val="both"/>
        <w:ind w:left="1140" w:firstLine="432"/>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5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7475"/>
                    </a:xfrm>
                    <a:prstGeom prst="rect">
                      <a:avLst/>
                    </a:prstGeom>
                    <a:noFill/>
                  </pic:spPr>
                </pic:pic>
              </a:graphicData>
            </a:graphic>
          </wp:anchor>
        </w:drawing>
        <w:t>The development of our supercritical CO2 cleaning equipment is well underway. We have developed key IP for this technology, which has an advantage of conserving CO2 raw materials, with an estimated savings of over 40%.</w:t>
      </w:r>
    </w:p>
    <w:p>
      <w:pPr>
        <w:jc w:val="both"/>
        <w:ind w:left="1140" w:firstLine="432"/>
        <w:spacing w:after="0" w:line="273" w:lineRule="auto"/>
        <w:rPr>
          <w:sz w:val="20"/>
          <w:szCs w:val="20"/>
          <w:color w:val="auto"/>
        </w:rPr>
      </w:pPr>
      <w:r>
        <w:rPr>
          <w:rFonts w:ascii="Arial" w:cs="Arial" w:eastAsia="Arial" w:hAnsi="Arial"/>
          <w:sz w:val="17"/>
          <w:szCs w:val="17"/>
          <w:color w:val="auto"/>
        </w:rPr>
        <w:t>Our Track equipment has already been docked with lithography system at our evaluation customer site, for which we hope to complete basic processes, including reliability verification, around the end of the year. The PECVD equipment has undergone extensive testing in recent months with satisfactory results. We will continue to establish close dialogue with customers, and we expect to conduct verification with two to three customers this year.</w:t>
      </w:r>
    </w:p>
    <w:p>
      <w:pPr>
        <w:spacing w:after="0" w:line="172" w:lineRule="exact"/>
        <w:rPr>
          <w:sz w:val="20"/>
          <w:szCs w:val="20"/>
          <w:color w:val="auto"/>
        </w:rPr>
      </w:pPr>
    </w:p>
    <w:p>
      <w:pPr>
        <w:jc w:val="both"/>
        <w:ind w:left="1140" w:firstLine="436"/>
        <w:spacing w:after="0" w:line="257" w:lineRule="auto"/>
        <w:tabs>
          <w:tab w:leader="none" w:pos="17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the demand mainly come from if the Company expands downstream resources? Is it from large factories or second or third-tier factories or some small factories? Which parts support the operation of the Company?</w:t>
      </w:r>
    </w:p>
    <w:p>
      <w:pPr>
        <w:spacing w:after="0" w:line="1" w:lineRule="exact"/>
        <w:rPr>
          <w:rFonts w:ascii="Arial" w:cs="Arial" w:eastAsia="Arial" w:hAnsi="Arial"/>
          <w:sz w:val="18"/>
          <w:szCs w:val="18"/>
          <w:b w:val="1"/>
          <w:bCs w:val="1"/>
          <w:color w:val="auto"/>
        </w:rPr>
      </w:pPr>
    </w:p>
    <w:p>
      <w:pPr>
        <w:jc w:val="both"/>
        <w:ind w:left="1140" w:firstLine="4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Our orders mainly come from existing customers’ demands for memory, foundry and logic. New customers also make certain contribution, and account for an increased proportion in this year’s sales. While cleaning equipment is constantly expanding its application, copper plating equipment also is increasing its market share. This year, our furnace tool may not contribute as much to sales as copper plating equipment, but we expect a larger increase in the number of furnace tool customers compared to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404495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27" w:right="359" w:bottom="1440" w:gutter="0" w:footer="0" w:header="0"/>
        </w:sectPr>
      </w:pPr>
    </w:p>
    <w:bookmarkStart w:id="5" w:name="page6"/>
    <w:bookmarkEnd w:id="5"/>
    <w:p>
      <w:pPr>
        <w:ind w:left="1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68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68955"/>
                    </a:xfrm>
                    <a:prstGeom prst="rect">
                      <a:avLst/>
                    </a:prstGeom>
                    <a:noFill/>
                  </pic:spPr>
                </pic:pic>
              </a:graphicData>
            </a:graphic>
          </wp:anchor>
        </w:drawing>
        <w:t>3. What areas does the Company’s cleaning equipment currently cover?</w:t>
      </w:r>
    </w:p>
    <w:p>
      <w:pPr>
        <w:spacing w:after="0" w:line="27" w:lineRule="exact"/>
        <w:rPr>
          <w:sz w:val="20"/>
          <w:szCs w:val="20"/>
          <w:color w:val="auto"/>
        </w:rPr>
      </w:pPr>
    </w:p>
    <w:p>
      <w:pPr>
        <w:jc w:val="both"/>
        <w:ind w:left="1140" w:firstLine="434"/>
        <w:spacing w:after="0" w:line="288" w:lineRule="auto"/>
        <w:tabs>
          <w:tab w:leader="none" w:pos="182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cleaning equipment covers 90%-95% of the cleaning processes, such as single-wafer cleaning equipment, including frontside, backside, edge and high-temperature sulfuric acid cleaning. In addition, our 12-inch wafer cleaning has basically covered the front-end, the mid-end and the back-end processes, including low-pressure drying technology for wet bench equipment. The Company is also the third company to boast low-pressure drying technology besides two major foreign market players in this space. Moreover, we are developing the supercritical CO2 drying technology, which is a crucial drying technology for future cleaning processes. As such, our cleaning technology can match the types of technologies owned by the three leading foreign cleaning equipment enterprises, with a broad coverage.</w:t>
      </w:r>
    </w:p>
    <w:p>
      <w:pPr>
        <w:spacing w:after="0" w:line="164" w:lineRule="exact"/>
        <w:rPr>
          <w:sz w:val="20"/>
          <w:szCs w:val="20"/>
          <w:color w:val="auto"/>
        </w:rPr>
      </w:pPr>
    </w:p>
    <w:p>
      <w:pPr>
        <w:jc w:val="both"/>
        <w:ind w:left="1140" w:firstLine="436"/>
        <w:spacing w:after="0" w:line="289" w:lineRule="auto"/>
        <w:tabs>
          <w:tab w:leader="none" w:pos="176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In terms of downstream demand, which segment, storage or logic, is expected to bring a stronger demand? The Company has already received its first order from Europe. Are there any potential orders anticipated in the European market for this year? What are the expectations for future European market development?</w:t>
      </w:r>
    </w:p>
    <w:p>
      <w:pPr>
        <w:spacing w:after="0" w:line="1" w:lineRule="exact"/>
        <w:rPr>
          <w:rFonts w:ascii="Arial" w:cs="Arial" w:eastAsia="Arial" w:hAnsi="Arial"/>
          <w:sz w:val="16"/>
          <w:szCs w:val="16"/>
          <w:b w:val="1"/>
          <w:bCs w:val="1"/>
          <w:color w:val="auto"/>
        </w:rPr>
      </w:pPr>
    </w:p>
    <w:p>
      <w:pPr>
        <w:jc w:val="both"/>
        <w:ind w:left="1140" w:firstLine="432"/>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A: Our efforts will remain as to the development of international markets. We entered the US market last year and the European market this year. The equipment under the European order is expected to be delivered in the late third quarter or early fourth quarter of this year. At present, we will continue to communicate with research institutes and large factories in Europe. We believe a successful delivery of the European order this year can enhance the confidence of other European customers, help us open up the European market smoothly, establish our service chain in Europe and better serve European customers. In the future, we aim to introduce our core differentiated technologies in cleaning equipment, copper plating equipment, and furnace tool, into both the European and US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23" w:right="359" w:bottom="1440" w:gutter="0" w:footer="0" w:header="0"/>
        </w:sectPr>
      </w:pPr>
    </w:p>
    <w:bookmarkStart w:id="6" w:name="page7"/>
    <w:bookmarkEnd w:id="6"/>
    <w:p>
      <w:pPr>
        <w:jc w:val="both"/>
        <w:ind w:left="1140" w:firstLine="436"/>
        <w:spacing w:after="0" w:line="254" w:lineRule="auto"/>
        <w:tabs>
          <w:tab w:leader="none" w:pos="17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697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t>The Company’s gross margin in the first quarter of this year has significantly increased compared to that in last year, but the change in revenue structure is not apparent. Please elaborate whether the increase in gross margin is primarily driven by the grow in ECP, furnace and other front-end equipment, or is it mainly due to the higher gross margin contribution from cleaning equipment and a lower proportion of advanced packaging, resulting in a significant increase in the overall gross margin?</w:t>
      </w:r>
    </w:p>
    <w:p>
      <w:pPr>
        <w:spacing w:after="0" w:line="3" w:lineRule="exact"/>
        <w:rPr>
          <w:rFonts w:ascii="Arial" w:cs="Arial" w:eastAsia="Arial" w:hAnsi="Arial"/>
          <w:sz w:val="18"/>
          <w:szCs w:val="18"/>
          <w:b w:val="1"/>
          <w:bCs w:val="1"/>
          <w:color w:val="auto"/>
        </w:rPr>
      </w:pPr>
    </w:p>
    <w:p>
      <w:pPr>
        <w:jc w:val="both"/>
        <w:ind w:left="1140" w:firstLine="4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The main reason lies in the large proportion of equipment with high gross margin. Looking ahead, we have not changed our gross margin target in the range of 40%-45%. We believe that our gross margins could improve over the long term if we are successful entering domestic and foreign markets with our newer platforms such as ALD furnace, Track and PECVD which carry higher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23" w:right="359" w:bottom="1440" w:gutter="0" w:footer="0" w:header="0"/>
        </w:sectPr>
      </w:pPr>
    </w:p>
    <w:bookmarkStart w:id="7" w:name="page8"/>
    <w:bookmarkEnd w:id="7"/>
    <w:p>
      <w:pPr>
        <w:jc w:val="both"/>
        <w:ind w:left="1140" w:firstLine="436"/>
        <w:spacing w:after="0" w:line="257" w:lineRule="auto"/>
        <w:tabs>
          <w:tab w:leader="none" w:pos="177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57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7475"/>
                    </a:xfrm>
                    <a:prstGeom prst="rect">
                      <a:avLst/>
                    </a:prstGeom>
                    <a:noFill/>
                  </pic:spPr>
                </pic:pic>
              </a:graphicData>
            </a:graphic>
          </wp:anchor>
        </w:drawing>
        <w:t>How about the sales of TEBO and Tahoe in the Company’s cleaning equipment last year and this year? Additionally, there seem to be some bottlenecks currently. Are there more application bottlenecks for TEBO compared to before?</w:t>
      </w:r>
    </w:p>
    <w:p>
      <w:pPr>
        <w:spacing w:after="0" w:line="1" w:lineRule="exact"/>
        <w:rPr>
          <w:rFonts w:ascii="Arial" w:cs="Arial" w:eastAsia="Arial" w:hAnsi="Arial"/>
          <w:sz w:val="18"/>
          <w:szCs w:val="18"/>
          <w:b w:val="1"/>
          <w:bCs w:val="1"/>
          <w:color w:val="auto"/>
        </w:rPr>
      </w:pPr>
    </w:p>
    <w:p>
      <w:pPr>
        <w:jc w:val="both"/>
        <w:ind w:left="1140" w:firstLine="432"/>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A: The advantage in the cleaning technology of TEBO mainly lies in its non-destructive megasonic cleaning which can be applied not only in logical processes but also in storage processes. In addition, TEBO is also featured by its necessity to be connected to a drying technology. Currently, the two dominant drying technologies, i.e. high-temperature IPA and supercritical CO2, are both available to us. The combination of TEBO with either of these drying technologies will form a unique pair that is exclusive to the Company. We hope that in the future, we can provide a more advanced solution to Chinese customers, and the solution can enter the international market after being verified in China.</w:t>
      </w:r>
    </w:p>
    <w:p>
      <w:pPr>
        <w:spacing w:after="0" w:line="3" w:lineRule="exact"/>
        <w:rPr>
          <w:rFonts w:ascii="Arial" w:cs="Arial" w:eastAsia="Arial" w:hAnsi="Arial"/>
          <w:sz w:val="18"/>
          <w:szCs w:val="18"/>
          <w:b w:val="1"/>
          <w:bCs w:val="1"/>
          <w:color w:val="auto"/>
        </w:rPr>
      </w:pPr>
    </w:p>
    <w:p>
      <w:pPr>
        <w:jc w:val="both"/>
        <w:ind w:left="1140" w:firstLine="432"/>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Tahoe is expected to witness a significant increase in its order volume this year, whose main strength is that compared to single wafer, it can significantly reduce the use of sulfuric acid, which is of great interest to market customers. This concept can also be extended to other applications, and amounts to be the one of the first significant invention of semiconductor capital equipment by a Chinese-based development team in the world. We aspire to expand Tahoe not only in the domestic market but also in the international market, so as to contribute to the global semiconductor production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23" w:right="359" w:bottom="1440" w:gutter="0" w:footer="0" w:header="0"/>
        </w:sectPr>
      </w:pPr>
    </w:p>
    <w:bookmarkStart w:id="8" w:name="page9"/>
    <w:bookmarkEnd w:id="8"/>
    <w:p>
      <w:pPr>
        <w:ind w:left="1140" w:firstLine="436"/>
        <w:spacing w:after="0" w:line="261" w:lineRule="auto"/>
        <w:tabs>
          <w:tab w:leader="none" w:pos="175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80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80435"/>
                    </a:xfrm>
                    <a:prstGeom prst="rect">
                      <a:avLst/>
                    </a:prstGeom>
                    <a:noFill/>
                  </pic:spPr>
                </pic:pic>
              </a:graphicData>
            </a:graphic>
          </wp:anchor>
        </w:drawing>
        <w:t>Could you please provide insights into the Company’s upcoming product R&amp;D direction with the successive launch of its new products PECVD and Track equipment?</w:t>
      </w:r>
    </w:p>
    <w:p>
      <w:pPr>
        <w:jc w:val="both"/>
        <w:ind w:left="1140" w:firstLine="4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Instead of setting any specific direction for the new equipment in the future, our focus will be on ensuring excellence in the current product lineup, which includes challenging products such as cleaning, copper plating, furnace, Track and PECVD. Our goal is to become a leading global supplier in the top tier. Therefore, we will dedicate the next few years to the development and advancement of existing products.</w:t>
      </w:r>
    </w:p>
    <w:p>
      <w:pPr>
        <w:spacing w:after="0" w:line="188" w:lineRule="exact"/>
        <w:rPr>
          <w:rFonts w:ascii="Arial" w:cs="Arial" w:eastAsia="Arial" w:hAnsi="Arial"/>
          <w:sz w:val="18"/>
          <w:szCs w:val="18"/>
          <w:b w:val="1"/>
          <w:bCs w:val="1"/>
          <w:color w:val="auto"/>
        </w:rPr>
      </w:pPr>
    </w:p>
    <w:p>
      <w:pPr>
        <w:ind w:left="1140" w:firstLine="436"/>
        <w:spacing w:after="0" w:line="261" w:lineRule="auto"/>
        <w:tabs>
          <w:tab w:leader="none" w:pos="176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changes in the domestic market share of the Company’s copper plating equipment this year and last year? What is the expected share this year?</w:t>
      </w:r>
    </w:p>
    <w:p>
      <w:pPr>
        <w:jc w:val="both"/>
        <w:ind w:left="1140" w:firstLine="4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Currently, our copper plating equipment has entered most domestic manufacturers of semiconductors in China. Similarly, in the packaging industry, our copper plating products have entered most large packaging manufacturers in China. This year, while aiming at domestic markets, we are also actively expanding overseas markets, promoting equipment to markets such as Korea, the US and Europe.</w:t>
      </w:r>
    </w:p>
    <w:p>
      <w:pPr>
        <w:spacing w:after="0" w:line="188" w:lineRule="exact"/>
        <w:rPr>
          <w:rFonts w:ascii="Arial" w:cs="Arial" w:eastAsia="Arial" w:hAnsi="Arial"/>
          <w:sz w:val="18"/>
          <w:szCs w:val="18"/>
          <w:b w:val="1"/>
          <w:bCs w:val="1"/>
          <w:color w:val="auto"/>
        </w:rPr>
      </w:pPr>
    </w:p>
    <w:p>
      <w:pPr>
        <w:ind w:left="1140" w:firstLine="436"/>
        <w:spacing w:after="0" w:line="261" w:lineRule="auto"/>
        <w:tabs>
          <w:tab w:leader="none" w:pos="175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Will the new coating and developing systems generate any revenue before 2024? How many sets of ArF and KrF tools can be confirmed based on a monthly capacity of 10,000 mature 12-inch wafers?</w:t>
      </w:r>
    </w:p>
    <w:p>
      <w:pPr>
        <w:jc w:val="both"/>
        <w:ind w:left="1140" w:firstLine="432"/>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 This year, the main focus for coating and developing systems is put on verification, whose sales and repeat orders are expected to follow next year. Different manufacturing processes will be subject to different amount of required ArF and KrF, with advanced manufacturing processes requiring more coating cycles. Additionally, regarding the proportion and equipment count, KrF has the largest quantity and is expected to have the highest count especially in storage and logic sectors in the future. As to the proportion of share in the global semiconductor equipment market, we estimate coater/developer tools to account for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23"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388620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6004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60045" cy="231140"/>
                    </a:xfrm>
                    <a:prstGeom prst="rect">
                      <a:avLst/>
                    </a:prstGeom>
                    <a:noFill/>
                  </pic:spPr>
                </pic:pic>
              </a:graphicData>
            </a:graphic>
          </wp:anchor>
        </w:drawing>
        <w:t>Encl.: List of Participants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Arohi Asset Management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hanwha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 Ved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Essence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Essence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Beijing Win Integrity Investment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Beijing Yobit GAMES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Congluan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Golden Bloom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Shengxi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Tedsun Investments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Yiyuanda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SHUN Fund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Garden Venture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Court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Bosera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Caitong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Anatole Investment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TruValue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Dacheng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Springs Capital (Beijing)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Topsperity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Capital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Oriental Alpha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Dongguan Rongguo Investment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DH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Prudence Investment Management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Founder Fubon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Fosun Wealth International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International Investments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Fullerton Investment Management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Fortune &amp; Royal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Gongqingcheng Fuying Asset Private Equity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Yongming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60045"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360045" cy="231775"/>
                    </a:xfrm>
                    <a:prstGeom prst="rect">
                      <a:avLst/>
                    </a:prstGeom>
                    <a:noFill/>
                  </pic:spPr>
                </pic:pic>
              </a:graphicData>
            </a:graphic>
          </wp:anchor>
        </w:drawing>
        <w:t>Everbright Securities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Guangdong Hengsheng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SINOSTONE (Guangdong)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Guangxi Yingzhou Management Consulting Service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Guangzhou Ruirong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CPIC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Guolian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GOWIN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Guosheng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AMP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Junan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Securities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Reform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Hainan Hongsheng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Hainan Palm Bay Investment Co., Ltd.</w:t>
      </w:r>
    </w:p>
    <w:p>
      <w:pPr>
        <w:spacing w:after="0" w:line="9" w:lineRule="exact"/>
        <w:rPr>
          <w:sz w:val="20"/>
          <w:szCs w:val="20"/>
          <w:color w:val="auto"/>
        </w:rPr>
      </w:pPr>
    </w:p>
    <w:p>
      <w:pPr>
        <w:ind w:right="4699"/>
        <w:spacing w:after="0" w:line="250" w:lineRule="auto"/>
        <w:rPr>
          <w:sz w:val="20"/>
          <w:szCs w:val="20"/>
          <w:color w:val="auto"/>
        </w:rPr>
      </w:pPr>
      <w:r>
        <w:rPr>
          <w:rFonts w:ascii="Arial" w:cs="Arial" w:eastAsia="Arial" w:hAnsi="Arial"/>
          <w:sz w:val="18"/>
          <w:szCs w:val="18"/>
          <w:color w:val="auto"/>
        </w:rPr>
        <w:t>HAITONG INTERNATIONAL ASSET MANAGEMENT (HK) LIMITED Haitong Securities Co.,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HZBANK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Kaisheng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Zhengxin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Haoze Zhiyuan Asset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Forever Capital Management (Beijing)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EVERGRANDE LIFE ASSURANCE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Focusbridge Investments Limited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HONY HORIZON Fund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Hongde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Hongyun Private Equity Fund Management (Hainan)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Huachuang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Huafu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Baoxiao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(Shanghai)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Huaxi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Huaxi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Wealth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60045"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60045" cy="231775"/>
                    </a:xfrm>
                    <a:prstGeom prst="rect">
                      <a:avLst/>
                    </a:prstGeom>
                    <a:noFill/>
                  </pic:spPr>
                </pic:pic>
              </a:graphicData>
            </a:graphic>
          </wp:anchor>
        </w:drawing>
        <w:t>China Asset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Future Capital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Horizon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Jintrust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Qianhai Securities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Springs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Fund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Principal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Financial Asset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Parallel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Winfast Investment Holding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Shagang Group Investment Holding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Kaiyuan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KGI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Capvision Partners (Shanghai)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Longwin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Marco Polo Pure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Royal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Huaxin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Ningbo Baichong Quan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Ningbo Meishan Free Trade Port Haojun Investment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Ping An Bank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CloudAlpha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Oakwise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Rui Yuan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Cephei Capital Management (Tianjin)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Cybernaut Investment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Xiamen Zhonglue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Shandong Jiaxin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SHANXI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Banyan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Bodu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Chongyun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CongRong Investment Management Co., Ltd.,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Fangwu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Fengcang Equity Investment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60045"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60045" cy="231775"/>
                    </a:xfrm>
                    <a:prstGeom prst="rect">
                      <a:avLst/>
                    </a:prstGeom>
                    <a:noFill/>
                  </pic:spPr>
                </pic:pic>
              </a:graphicData>
            </a:graphic>
          </wp:anchor>
        </w:drawing>
        <w:t>Shanghai Goomoo Investment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Cubetrade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Guotai Junan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Guozan Private Equity Fund Management Partnership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Haitong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Granview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Jiashi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Jianlong Fund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Jinen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Eureka Investment Partner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Kandao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Smilestone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Level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Miyuan Investment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Minghe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Muchasset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S-land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Niuhu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Panjing Investment Center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Pawoof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Postone Asset Management Partnership Enterprise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Shanghai Pudong Development Bank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Cosea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Shanghai Qinchen Private Fund Management Partnership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Shanghai Autumn Light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Life Insurance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Ruiyi Investment Development Center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Shangguo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SWS RESEARCH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Shiyi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Tinnyinvestment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Wolonggang Assets Management Co.,Ltd.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Yulei Enterprise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Shagnhai Zhongyu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Chongyang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Shanghai Zhuliu Asset Management Partnership Enterprise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Shanghai Zhuanze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Zige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Zongyi Holding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6004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60045" cy="231775"/>
                    </a:xfrm>
                    <a:prstGeom prst="rect">
                      <a:avLst/>
                    </a:prstGeom>
                    <a:noFill/>
                  </pic:spPr>
                </pic:pic>
              </a:graphicData>
            </a:graphic>
          </wp:anchor>
        </w:drawing>
        <w:t>China International Fund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Shenzhen Chengyi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Gohedge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Qianhai Julong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REDSHIELD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Jinyou Chuangzhi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Maixing Investment Management Center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Mingda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Shenzhen Qianhai Tangrong Capital Investment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Shenzhen Qianhai Xingu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Xindeying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Kwt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Shenzhen Yuanwangjiao Investment Management Enterprise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Shenzhen Xinran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Zoomtrend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BOCOM Schroder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Shoutai Jinxin (Shanghai)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Pension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Tianhong Innovation Assets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TIANMENG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TIANMENG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Unified Securities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Wuhan Meiyang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Dongcai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Southwest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Brookbull Investment Management (Beijing)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JU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Xinlianhe Investment Holdings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Xuan Yuan Investment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Minan Property and Casualty Insurance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Yimi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SINOPAC SECURITIES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Yuyang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6004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360045" cy="231775"/>
                    </a:xfrm>
                    <a:prstGeom prst="rect">
                      <a:avLst/>
                    </a:prstGeom>
                    <a:noFill/>
                  </pic:spPr>
                </pic:pic>
              </a:graphicData>
            </a:graphic>
          </wp:anchor>
        </w:drawing>
        <w:t>Yuhui Capital Management (Beijing)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Winfor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Pinnacle Equity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Yuanxin (Zhuhai)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Chang’an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 Wall Wealth Insurance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Changjiang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Zheshang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Zhengzhou Zhizi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PICC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Galaxy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Zhonghai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BOB-Cardif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United Insurance Group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 Ou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Zhongsheng Chenjia (Shenzhen)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Zhongtai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CITIC-Prudential Fund Management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Prudential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International (China)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Samsung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and Capital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CHINA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Re Asset Management Co., Ltd.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i w:val="1"/>
          <w:iCs w:val="1"/>
          <w:color w:val="auto"/>
        </w:rPr>
        <w:t>The following information is provided in connection with the furnishing of the above Record of May 2023 Investor Relation Activity of ACM Research (Shanghai), Inc. (“ACMSH”) (the “Record”) pursuant to the Current Report on Form 8-K reporting requirements of ACM Research,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TEBO is a trademark of ACM Research, Inc. For convenience, this trademark appears in the Record without ™ symbols, but that practice does not mean that ACM Research, Inc. will not assert, to the fullest extent under applicable law, its rights to the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60045"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360045" cy="231775"/>
                    </a:xfrm>
                    <a:prstGeom prst="rect">
                      <a:avLst/>
                    </a:prstGeom>
                    <a:noFill/>
                  </pic:spPr>
                </pic:pic>
              </a:graphicData>
            </a:graphic>
          </wp:anchor>
        </w:drawing>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104"/>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upperLetter"/>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2023-06-08T16:36:16Z</dcterms:created>
  <dcterms:modified xsi:type="dcterms:W3CDTF">2023-06-08T16:36:16Z</dcterms:modified>
</cp:coreProperties>
</file>