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7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SCHEDULE 13G</w:t>
      </w:r>
    </w:p>
    <w:p>
      <w:pPr>
        <w:spacing w:after="0" w:line="206" w:lineRule="exact"/>
        <w:rPr>
          <w:sz w:val="24"/>
          <w:szCs w:val="24"/>
          <w:color w:val="auto"/>
        </w:rPr>
      </w:pPr>
    </w:p>
    <w:p>
      <w:pPr>
        <w:ind w:left="25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(Amendment No.__)*</w:t>
      </w:r>
    </w:p>
    <w:p>
      <w:pPr>
        <w:spacing w:after="0" w:line="188"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3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 w:lineRule="exact"/>
        <w:rPr>
          <w:sz w:val="24"/>
          <w:szCs w:val="24"/>
          <w:color w:val="auto"/>
        </w:rPr>
      </w:pPr>
    </w:p>
    <w:p>
      <w:pPr>
        <w:ind w:left="3800"/>
        <w:spacing w:after="0"/>
        <w:rPr>
          <w:sz w:val="20"/>
          <w:szCs w:val="20"/>
          <w:color w:val="auto"/>
        </w:rPr>
      </w:pPr>
      <w:r>
        <w:rPr>
          <w:rFonts w:ascii="Arial" w:cs="Arial" w:eastAsia="Arial" w:hAnsi="Arial"/>
          <w:sz w:val="22"/>
          <w:szCs w:val="22"/>
          <w:color w:val="auto"/>
        </w:rPr>
        <w:t>(Name of Issuer)</w:t>
      </w:r>
    </w:p>
    <w:p>
      <w:pPr>
        <w:spacing w:after="0" w:line="175"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Ordinary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3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 w:lineRule="exact"/>
        <w:rPr>
          <w:sz w:val="24"/>
          <w:szCs w:val="24"/>
          <w:color w:val="auto"/>
        </w:rPr>
      </w:pPr>
    </w:p>
    <w:p>
      <w:pPr>
        <w:ind w:left="3320"/>
        <w:spacing w:after="0"/>
        <w:rPr>
          <w:sz w:val="20"/>
          <w:szCs w:val="20"/>
          <w:color w:val="auto"/>
        </w:rPr>
      </w:pPr>
      <w:r>
        <w:rPr>
          <w:rFonts w:ascii="Arial" w:cs="Arial" w:eastAsia="Arial" w:hAnsi="Arial"/>
          <w:sz w:val="22"/>
          <w:szCs w:val="22"/>
          <w:color w:val="auto"/>
        </w:rPr>
        <w:t>(Title of Class of Securities)</w:t>
      </w:r>
    </w:p>
    <w:p>
      <w:pPr>
        <w:spacing w:after="0" w:line="175"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3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 w:lineRule="exact"/>
        <w:rPr>
          <w:sz w:val="24"/>
          <w:szCs w:val="24"/>
          <w:color w:val="auto"/>
        </w:rPr>
      </w:pPr>
    </w:p>
    <w:p>
      <w:pPr>
        <w:ind w:left="3780"/>
        <w:spacing w:after="0"/>
        <w:rPr>
          <w:sz w:val="20"/>
          <w:szCs w:val="20"/>
          <w:color w:val="auto"/>
        </w:rPr>
      </w:pPr>
      <w:r>
        <w:rPr>
          <w:rFonts w:ascii="Arial" w:cs="Arial" w:eastAsia="Arial" w:hAnsi="Arial"/>
          <w:sz w:val="22"/>
          <w:szCs w:val="22"/>
          <w:color w:val="auto"/>
        </w:rPr>
        <w:t>(CUSIP Number)</w:t>
      </w:r>
    </w:p>
    <w:p>
      <w:pPr>
        <w:spacing w:after="0" w:line="175" w:lineRule="exact"/>
        <w:rPr>
          <w:sz w:val="24"/>
          <w:szCs w:val="24"/>
          <w:color w:val="auto"/>
        </w:rPr>
      </w:pPr>
    </w:p>
    <w:p>
      <w:pPr>
        <w:ind w:left="3060"/>
        <w:spacing w:after="0"/>
        <w:rPr>
          <w:sz w:val="20"/>
          <w:szCs w:val="20"/>
          <w:color w:val="auto"/>
        </w:rPr>
      </w:pPr>
      <w:r>
        <w:rPr>
          <w:rFonts w:ascii="Arial" w:cs="Arial" w:eastAsia="Arial" w:hAnsi="Arial"/>
          <w:sz w:val="22"/>
          <w:szCs w:val="22"/>
          <w:color w:val="auto"/>
        </w:rPr>
        <w:t>Yiheng Capital Management, L.P.</w:t>
      </w:r>
    </w:p>
    <w:p>
      <w:pPr>
        <w:ind w:left="3100"/>
        <w:spacing w:after="0" w:line="238" w:lineRule="auto"/>
        <w:rPr>
          <w:sz w:val="20"/>
          <w:szCs w:val="20"/>
          <w:color w:val="auto"/>
        </w:rPr>
      </w:pPr>
      <w:r>
        <w:rPr>
          <w:rFonts w:ascii="Arial" w:cs="Arial" w:eastAsia="Arial" w:hAnsi="Arial"/>
          <w:sz w:val="22"/>
          <w:szCs w:val="22"/>
          <w:color w:val="auto"/>
        </w:rPr>
        <w:t>101 California Street, Suite 2880</w:t>
      </w:r>
    </w:p>
    <w:p>
      <w:pPr>
        <w:ind w:left="3420"/>
        <w:spacing w:after="0" w:line="230" w:lineRule="auto"/>
        <w:rPr>
          <w:sz w:val="20"/>
          <w:szCs w:val="20"/>
          <w:color w:val="auto"/>
        </w:rPr>
      </w:pPr>
      <w:r>
        <w:rPr>
          <w:rFonts w:ascii="Arial" w:cs="Arial" w:eastAsia="Arial" w:hAnsi="Arial"/>
          <w:sz w:val="22"/>
          <w:szCs w:val="22"/>
          <w:color w:val="auto"/>
        </w:rPr>
        <w:t>San Francisco, CA 94111</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22"/>
          <w:szCs w:val="22"/>
          <w:color w:val="auto"/>
        </w:rPr>
        <w:t>415-582-6360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743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jc w:val="center"/>
        <w:ind w:right="1079"/>
        <w:spacing w:after="0" w:line="233"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079"/>
        <w:spacing w:after="0"/>
        <w:rPr>
          <w:sz w:val="20"/>
          <w:szCs w:val="20"/>
          <w:color w:val="auto"/>
        </w:rPr>
      </w:pPr>
      <w:r>
        <w:rPr>
          <w:rFonts w:ascii="Arial" w:cs="Arial" w:eastAsia="Arial" w:hAnsi="Arial"/>
          <w:sz w:val="22"/>
          <w:szCs w:val="22"/>
          <w:color w:val="auto"/>
        </w:rPr>
        <w:t>Authorized to Receive Notices and Communications)</w:t>
      </w:r>
    </w:p>
    <w:p>
      <w:pPr>
        <w:spacing w:after="0" w:line="175" w:lineRule="exact"/>
        <w:rPr>
          <w:sz w:val="24"/>
          <w:szCs w:val="24"/>
          <w:color w:val="auto"/>
        </w:rPr>
      </w:pPr>
    </w:p>
    <w:p>
      <w:pPr>
        <w:jc w:val="center"/>
        <w:ind w:right="1079"/>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3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 w:lineRule="exact"/>
        <w:rPr>
          <w:sz w:val="24"/>
          <w:szCs w:val="24"/>
          <w:color w:val="auto"/>
        </w:rPr>
      </w:pPr>
    </w:p>
    <w:p>
      <w:pPr>
        <w:jc w:val="center"/>
        <w:ind w:right="1079"/>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ind w:left="180" w:hanging="172"/>
        <w:spacing w:after="0" w:line="238"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22"/>
          <w:szCs w:val="22"/>
          <w:color w:val="auto"/>
        </w:rPr>
        <w:t>Rule 13d-1(b)</w:t>
      </w:r>
    </w:p>
    <w:p>
      <w:pPr>
        <w:jc w:val="both"/>
        <w:ind w:right="8679" w:firstLine="8"/>
        <w:spacing w:after="0" w:line="250" w:lineRule="exact"/>
        <w:tabs>
          <w:tab w:leader="none" w:pos="175" w:val="left"/>
        </w:tabs>
        <w:numPr>
          <w:ilvl w:val="0"/>
          <w:numId w:val="1"/>
        </w:numPr>
        <w:rPr>
          <w:rFonts w:ascii="Arial" w:cs="Arial" w:eastAsia="Arial" w:hAnsi="Arial"/>
          <w:sz w:val="13"/>
          <w:szCs w:val="13"/>
          <w:color w:val="auto"/>
        </w:rPr>
      </w:pPr>
      <w:r>
        <w:rPr>
          <w:rFonts w:ascii="Arial" w:cs="Arial" w:eastAsia="Arial" w:hAnsi="Arial"/>
          <w:sz w:val="20"/>
          <w:szCs w:val="20"/>
          <w:color w:val="auto"/>
        </w:rPr>
        <w:t xml:space="preserve">Rule 13d-1(c) </w:t>
      </w:r>
      <w:r>
        <w:rPr>
          <w:rFonts w:ascii="MS PGothic" w:cs="MS PGothic" w:eastAsia="MS PGothic" w:hAnsi="MS PGothic"/>
          <w:sz w:val="12"/>
          <w:szCs w:val="12"/>
          <w:color w:val="auto"/>
        </w:rPr>
        <w:t>☐</w:t>
      </w:r>
      <w:r>
        <w:rPr>
          <w:rFonts w:ascii="Arial" w:cs="Arial" w:eastAsia="Arial" w:hAnsi="Arial"/>
          <w:sz w:val="20"/>
          <w:szCs w:val="20"/>
          <w:color w:val="auto"/>
        </w:rPr>
        <w:t xml:space="preserve"> Rule 13d-1(d)</w:t>
      </w:r>
    </w:p>
    <w:p>
      <w:pPr>
        <w:spacing w:after="0" w:line="240" w:lineRule="exact"/>
        <w:rPr>
          <w:sz w:val="24"/>
          <w:szCs w:val="24"/>
          <w:color w:val="auto"/>
        </w:rPr>
      </w:pPr>
    </w:p>
    <w:p>
      <w:pPr>
        <w:ind w:right="1099" w:firstLine="8"/>
        <w:spacing w:after="0" w:line="198" w:lineRule="auto"/>
        <w:tabs>
          <w:tab w:leader="none" w:pos="144" w:val="left"/>
        </w:tabs>
        <w:numPr>
          <w:ilvl w:val="0"/>
          <w:numId w:val="2"/>
        </w:numPr>
        <w:rPr>
          <w:rFonts w:ascii="Arial" w:cs="Arial" w:eastAsia="Arial" w:hAnsi="Arial"/>
          <w:sz w:val="36"/>
          <w:szCs w:val="36"/>
          <w:color w:val="auto"/>
          <w:vertAlign w:val="superscript"/>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right="1319"/>
        <w:spacing w:after="0" w:line="238" w:lineRule="auto"/>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220" w:right="1440" w:bottom="1440" w:gutter="0" w:footer="0" w:header="0"/>
        </w:sectPr>
      </w:pPr>
    </w:p>
    <w:bookmarkStart w:id="1" w:name="page2"/>
    <w:bookmarkEnd w:id="1"/>
    <w:p>
      <w:pPr>
        <w:spacing w:after="0"/>
        <w:tabs>
          <w:tab w:leader="none" w:pos="4480" w:val="left"/>
          <w:tab w:leader="none" w:pos="78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5743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377" w:lineRule="exact"/>
        <w:rPr>
          <w:sz w:val="20"/>
          <w:szCs w:val="20"/>
          <w:color w:val="auto"/>
        </w:rPr>
      </w:pPr>
    </w:p>
    <w:p>
      <w:pPr>
        <w:ind w:left="580" w:right="7059" w:hanging="410"/>
        <w:spacing w:after="0" w:line="432"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NAMES OF REPORTING PERSONS Yiheng Capital Partners, L.P.</w:t>
      </w:r>
    </w:p>
    <w:p>
      <w:pPr>
        <w:ind w:left="580" w:right="5079" w:hanging="410"/>
        <w:spacing w:after="0" w:line="266"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920" w:hanging="345"/>
        <w:spacing w:after="0" w:line="184" w:lineRule="exact"/>
        <w:tabs>
          <w:tab w:leader="none" w:pos="920" w:val="left"/>
        </w:tabs>
        <w:numPr>
          <w:ilvl w:val="1"/>
          <w:numId w:val="3"/>
        </w:numPr>
        <w:rPr>
          <w:rFonts w:ascii="Arial" w:cs="Arial" w:eastAsia="Arial" w:hAnsi="Arial"/>
          <w:sz w:val="16"/>
          <w:szCs w:val="16"/>
          <w:color w:val="auto"/>
        </w:rPr>
      </w:pPr>
      <w:r>
        <w:rPr>
          <w:rFonts w:ascii="MS PGothic" w:cs="MS PGothic" w:eastAsia="MS PGothic" w:hAnsi="MS PGothic"/>
          <w:sz w:val="13"/>
          <w:szCs w:val="13"/>
          <w:color w:val="auto"/>
        </w:rPr>
        <w:t>☐</w:t>
      </w:r>
    </w:p>
    <w:p>
      <w:pPr>
        <w:spacing w:after="0" w:line="29" w:lineRule="exact"/>
        <w:rPr>
          <w:rFonts w:ascii="Arial" w:cs="Arial" w:eastAsia="Arial" w:hAnsi="Arial"/>
          <w:sz w:val="16"/>
          <w:szCs w:val="16"/>
          <w:color w:val="auto"/>
        </w:rPr>
      </w:pPr>
    </w:p>
    <w:p>
      <w:pPr>
        <w:ind w:left="920" w:hanging="345"/>
        <w:spacing w:after="0"/>
        <w:tabs>
          <w:tab w:leader="none" w:pos="920" w:val="left"/>
        </w:tabs>
        <w:numPr>
          <w:ilvl w:val="1"/>
          <w:numId w:val="3"/>
        </w:numPr>
        <w:rPr>
          <w:rFonts w:ascii="Arial" w:cs="Arial" w:eastAsia="Arial" w:hAnsi="Arial"/>
          <w:sz w:val="16"/>
          <w:szCs w:val="16"/>
          <w:color w:val="auto"/>
        </w:rPr>
      </w:pPr>
      <w:r>
        <w:rPr>
          <w:rFonts w:ascii="Arial" w:cs="Arial" w:eastAsia="Arial" w:hAnsi="Arial"/>
          <w:sz w:val="13"/>
          <w:szCs w:val="13"/>
          <w:color w:val="auto"/>
        </w:rPr>
        <w:t>x</w:t>
      </w:r>
    </w:p>
    <w:p>
      <w:pPr>
        <w:spacing w:after="0" w:line="17" w:lineRule="exact"/>
        <w:rPr>
          <w:rFonts w:ascii="Arial" w:cs="Arial" w:eastAsia="Arial" w:hAnsi="Arial"/>
          <w:sz w:val="16"/>
          <w:szCs w:val="16"/>
          <w:color w:val="auto"/>
        </w:rPr>
      </w:pPr>
    </w:p>
    <w:p>
      <w:pPr>
        <w:ind w:left="580" w:hanging="41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34" w:lineRule="exact"/>
        <w:rPr>
          <w:rFonts w:ascii="Arial" w:cs="Arial" w:eastAsia="Arial" w:hAnsi="Arial"/>
          <w:sz w:val="16"/>
          <w:szCs w:val="16"/>
          <w:color w:val="auto"/>
        </w:rPr>
      </w:pPr>
    </w:p>
    <w:p>
      <w:pPr>
        <w:ind w:left="580" w:right="6259" w:hanging="410"/>
        <w:spacing w:after="0" w:line="55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-1332865</wp:posOffset>
            </wp:positionV>
            <wp:extent cx="5743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5743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5743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5743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71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20"/>
        </w:trPr>
        <w:tc>
          <w:tcPr>
            <w:tcW w:w="1480" w:type="dxa"/>
            <w:vAlign w:val="bottom"/>
          </w:tcPr>
          <w:p>
            <w:pPr>
              <w:jc w:val="center"/>
              <w:ind w:right="259"/>
              <w:spacing w:after="0"/>
              <w:rPr>
                <w:sz w:val="20"/>
                <w:szCs w:val="20"/>
                <w:color w:val="auto"/>
              </w:rPr>
            </w:pPr>
            <w:r>
              <w:rPr>
                <w:rFonts w:ascii="Arial" w:cs="Arial" w:eastAsia="Arial" w:hAnsi="Arial"/>
                <w:sz w:val="16"/>
                <w:szCs w:val="16"/>
                <w:color w:val="auto"/>
                <w:w w:val="97"/>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8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vMerge w:val="continue"/>
          </w:tcPr>
          <w:p>
            <w:pPr>
              <w:spacing w:after="0"/>
              <w:rPr>
                <w:sz w:val="8"/>
                <w:szCs w:val="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6.</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rPr>
              <w:t>BENEFICIALLY</w:t>
            </w:r>
          </w:p>
        </w:tc>
        <w:tc>
          <w:tcPr>
            <w:tcW w:w="320" w:type="dxa"/>
            <w:vAlign w:val="bottom"/>
            <w:vMerge w:val="continue"/>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Arial" w:cs="Arial" w:eastAsia="Arial" w:hAnsi="Arial"/>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1,415,100</w:t>
            </w:r>
          </w:p>
        </w:tc>
        <w:tc>
          <w:tcPr>
            <w:tcW w:w="0" w:type="dxa"/>
            <w:vAlign w:val="bottom"/>
          </w:tcPr>
          <w:p>
            <w:pPr>
              <w:spacing w:after="0"/>
              <w:rPr>
                <w:sz w:val="1"/>
                <w:szCs w:val="1"/>
                <w:color w:val="auto"/>
              </w:rPr>
            </w:pPr>
          </w:p>
        </w:tc>
      </w:tr>
      <w:tr>
        <w:trPr>
          <w:trHeight w:val="101"/>
        </w:trPr>
        <w:tc>
          <w:tcPr>
            <w:tcW w:w="148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EACH</w:t>
            </w:r>
          </w:p>
        </w:tc>
        <w:tc>
          <w:tcPr>
            <w:tcW w:w="3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7.</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REPORTING</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1500" w:type="dxa"/>
            <w:vAlign w:val="bottom"/>
          </w:tcPr>
          <w:p>
            <w:pPr>
              <w:spacing w:after="0"/>
              <w:rPr>
                <w:sz w:val="20"/>
                <w:szCs w:val="20"/>
                <w:color w:val="auto"/>
              </w:rPr>
            </w:pPr>
            <w:r>
              <w:rPr>
                <w:rFonts w:ascii="Arial" w:cs="Arial" w:eastAsia="Arial" w:hAnsi="Arial"/>
                <w:sz w:val="16"/>
                <w:szCs w:val="16"/>
                <w:color w:val="auto"/>
              </w:rPr>
              <w:t>PERSON WITH</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3810</wp:posOffset>
            </wp:positionV>
            <wp:extent cx="4757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ind w:left="2000" w:right="5859" w:hanging="386"/>
        <w:spacing w:after="0" w:line="405" w:lineRule="auto"/>
        <w:tabs>
          <w:tab w:leader="none" w:pos="200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1,415,100</w:t>
      </w:r>
    </w:p>
    <w:p>
      <w:pPr>
        <w:ind w:left="580" w:right="3659" w:hanging="410"/>
        <w:spacing w:after="0" w:line="405"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1,415,100</w:t>
      </w:r>
    </w:p>
    <w:p>
      <w:pPr>
        <w:ind w:left="580" w:right="3579" w:hanging="491"/>
        <w:spacing w:after="0" w:line="207" w:lineRule="exact"/>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55" w:lineRule="exact"/>
        <w:rPr>
          <w:rFonts w:ascii="Arial" w:cs="Arial" w:eastAsia="Arial" w:hAnsi="Arial"/>
          <w:sz w:val="16"/>
          <w:szCs w:val="16"/>
          <w:color w:val="auto"/>
        </w:rPr>
      </w:pPr>
    </w:p>
    <w:p>
      <w:pPr>
        <w:ind w:left="580" w:right="5019" w:hanging="485"/>
        <w:spacing w:after="0" w:line="405"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 OF CLASS REPRESENTED BY AMOUNT IN ROW (9) 8.20%</w:t>
      </w:r>
    </w:p>
    <w:p>
      <w:pPr>
        <w:ind w:left="580" w:hanging="491"/>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-1652905</wp:posOffset>
            </wp:positionV>
            <wp:extent cx="57435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-1258570</wp:posOffset>
            </wp:positionV>
            <wp:extent cx="5743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5743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5743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5743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ectPr>
          <w:pgSz w:w="11900" w:h="16838" w:orient="portrait"/>
          <w:cols w:equalWidth="0" w:num="1">
            <w:col w:w="10139"/>
          </w:cols>
          <w:pgMar w:left="320" w:top="967" w:right="1440" w:bottom="1440" w:gutter="0" w:footer="0" w:header="0"/>
        </w:sectPr>
      </w:pPr>
    </w:p>
    <w:bookmarkStart w:id="2" w:name="page3"/>
    <w:bookmarkEnd w:id="2"/>
    <w:p>
      <w:pPr>
        <w:spacing w:after="0"/>
        <w:tabs>
          <w:tab w:leader="none" w:pos="4480" w:val="left"/>
          <w:tab w:leader="none" w:pos="78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5743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377" w:lineRule="exact"/>
        <w:rPr>
          <w:sz w:val="20"/>
          <w:szCs w:val="20"/>
          <w:color w:val="auto"/>
        </w:rPr>
      </w:pPr>
    </w:p>
    <w:p>
      <w:pPr>
        <w:ind w:left="580" w:right="7059" w:hanging="410"/>
        <w:spacing w:after="0" w:line="405"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Yiheng Capital, LLC</w:t>
      </w:r>
    </w:p>
    <w:p>
      <w:pPr>
        <w:ind w:left="580" w:right="5079" w:hanging="410"/>
        <w:spacing w:after="0" w:line="266"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920" w:hanging="345"/>
        <w:spacing w:after="0" w:line="184" w:lineRule="exact"/>
        <w:tabs>
          <w:tab w:leader="none" w:pos="920" w:val="left"/>
        </w:tabs>
        <w:numPr>
          <w:ilvl w:val="1"/>
          <w:numId w:val="6"/>
        </w:numPr>
        <w:rPr>
          <w:rFonts w:ascii="Arial" w:cs="Arial" w:eastAsia="Arial" w:hAnsi="Arial"/>
          <w:sz w:val="16"/>
          <w:szCs w:val="16"/>
          <w:color w:val="auto"/>
        </w:rPr>
      </w:pPr>
      <w:r>
        <w:rPr>
          <w:rFonts w:ascii="MS PGothic" w:cs="MS PGothic" w:eastAsia="MS PGothic" w:hAnsi="MS PGothic"/>
          <w:sz w:val="13"/>
          <w:szCs w:val="13"/>
          <w:color w:val="auto"/>
        </w:rPr>
        <w:t>☐</w:t>
      </w:r>
    </w:p>
    <w:p>
      <w:pPr>
        <w:spacing w:after="0" w:line="29" w:lineRule="exact"/>
        <w:rPr>
          <w:rFonts w:ascii="Arial" w:cs="Arial" w:eastAsia="Arial" w:hAnsi="Arial"/>
          <w:sz w:val="16"/>
          <w:szCs w:val="16"/>
          <w:color w:val="auto"/>
        </w:rPr>
      </w:pPr>
    </w:p>
    <w:p>
      <w:pPr>
        <w:ind w:left="920" w:hanging="345"/>
        <w:spacing w:after="0"/>
        <w:tabs>
          <w:tab w:leader="none" w:pos="920" w:val="left"/>
        </w:tabs>
        <w:numPr>
          <w:ilvl w:val="1"/>
          <w:numId w:val="6"/>
        </w:numPr>
        <w:rPr>
          <w:rFonts w:ascii="Arial" w:cs="Arial" w:eastAsia="Arial" w:hAnsi="Arial"/>
          <w:sz w:val="16"/>
          <w:szCs w:val="16"/>
          <w:color w:val="auto"/>
        </w:rPr>
      </w:pPr>
      <w:r>
        <w:rPr>
          <w:rFonts w:ascii="Arial" w:cs="Arial" w:eastAsia="Arial" w:hAnsi="Arial"/>
          <w:sz w:val="13"/>
          <w:szCs w:val="13"/>
          <w:color w:val="auto"/>
        </w:rPr>
        <w:t>x</w:t>
      </w:r>
    </w:p>
    <w:p>
      <w:pPr>
        <w:spacing w:after="0" w:line="17" w:lineRule="exact"/>
        <w:rPr>
          <w:rFonts w:ascii="Arial" w:cs="Arial" w:eastAsia="Arial" w:hAnsi="Arial"/>
          <w:sz w:val="16"/>
          <w:szCs w:val="16"/>
          <w:color w:val="auto"/>
        </w:rPr>
      </w:pPr>
    </w:p>
    <w:p>
      <w:pPr>
        <w:ind w:left="580" w:hanging="410"/>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34" w:lineRule="exact"/>
        <w:rPr>
          <w:rFonts w:ascii="Arial" w:cs="Arial" w:eastAsia="Arial" w:hAnsi="Arial"/>
          <w:sz w:val="16"/>
          <w:szCs w:val="16"/>
          <w:color w:val="auto"/>
        </w:rPr>
      </w:pPr>
    </w:p>
    <w:p>
      <w:pPr>
        <w:ind w:left="580" w:right="6259" w:hanging="410"/>
        <w:spacing w:after="0" w:line="557"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-1332865</wp:posOffset>
            </wp:positionV>
            <wp:extent cx="5743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57435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5743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5743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71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20"/>
        </w:trPr>
        <w:tc>
          <w:tcPr>
            <w:tcW w:w="1480" w:type="dxa"/>
            <w:vAlign w:val="bottom"/>
          </w:tcPr>
          <w:p>
            <w:pPr>
              <w:jc w:val="center"/>
              <w:ind w:right="259"/>
              <w:spacing w:after="0"/>
              <w:rPr>
                <w:sz w:val="20"/>
                <w:szCs w:val="20"/>
                <w:color w:val="auto"/>
              </w:rPr>
            </w:pPr>
            <w:r>
              <w:rPr>
                <w:rFonts w:ascii="Arial" w:cs="Arial" w:eastAsia="Arial" w:hAnsi="Arial"/>
                <w:sz w:val="16"/>
                <w:szCs w:val="16"/>
                <w:color w:val="auto"/>
                <w:w w:val="97"/>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8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vMerge w:val="continue"/>
          </w:tcPr>
          <w:p>
            <w:pPr>
              <w:spacing w:after="0"/>
              <w:rPr>
                <w:sz w:val="8"/>
                <w:szCs w:val="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6.</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rPr>
              <w:t>BENEFICIALLY</w:t>
            </w:r>
          </w:p>
        </w:tc>
        <w:tc>
          <w:tcPr>
            <w:tcW w:w="320" w:type="dxa"/>
            <w:vAlign w:val="bottom"/>
            <w:vMerge w:val="continue"/>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Arial" w:cs="Arial" w:eastAsia="Arial" w:hAnsi="Arial"/>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1,415,100</w:t>
            </w:r>
          </w:p>
        </w:tc>
        <w:tc>
          <w:tcPr>
            <w:tcW w:w="0" w:type="dxa"/>
            <w:vAlign w:val="bottom"/>
          </w:tcPr>
          <w:p>
            <w:pPr>
              <w:spacing w:after="0"/>
              <w:rPr>
                <w:sz w:val="1"/>
                <w:szCs w:val="1"/>
                <w:color w:val="auto"/>
              </w:rPr>
            </w:pPr>
          </w:p>
        </w:tc>
      </w:tr>
      <w:tr>
        <w:trPr>
          <w:trHeight w:val="101"/>
        </w:trPr>
        <w:tc>
          <w:tcPr>
            <w:tcW w:w="148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EACH</w:t>
            </w:r>
          </w:p>
        </w:tc>
        <w:tc>
          <w:tcPr>
            <w:tcW w:w="3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7.</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REPORTING</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1500" w:type="dxa"/>
            <w:vAlign w:val="bottom"/>
          </w:tcPr>
          <w:p>
            <w:pPr>
              <w:spacing w:after="0"/>
              <w:rPr>
                <w:sz w:val="20"/>
                <w:szCs w:val="20"/>
                <w:color w:val="auto"/>
              </w:rPr>
            </w:pPr>
            <w:r>
              <w:rPr>
                <w:rFonts w:ascii="Arial" w:cs="Arial" w:eastAsia="Arial" w:hAnsi="Arial"/>
                <w:sz w:val="16"/>
                <w:szCs w:val="16"/>
                <w:color w:val="auto"/>
              </w:rPr>
              <w:t>PERSON WITH</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3810</wp:posOffset>
            </wp:positionV>
            <wp:extent cx="47574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ind w:left="2000" w:right="5859" w:hanging="386"/>
        <w:spacing w:after="0" w:line="405" w:lineRule="auto"/>
        <w:tabs>
          <w:tab w:leader="none" w:pos="2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SHARED DISPOSITIVE POWER 1,415,100</w:t>
      </w:r>
    </w:p>
    <w:p>
      <w:pPr>
        <w:ind w:left="580" w:right="3659" w:hanging="410"/>
        <w:spacing w:after="0" w:line="405"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1,415,100</w:t>
      </w:r>
    </w:p>
    <w:p>
      <w:pPr>
        <w:ind w:left="580" w:right="3579" w:hanging="491"/>
        <w:spacing w:after="0" w:line="207" w:lineRule="exact"/>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55" w:lineRule="exact"/>
        <w:rPr>
          <w:rFonts w:ascii="Arial" w:cs="Arial" w:eastAsia="Arial" w:hAnsi="Arial"/>
          <w:sz w:val="16"/>
          <w:szCs w:val="16"/>
          <w:color w:val="auto"/>
        </w:rPr>
      </w:pPr>
    </w:p>
    <w:p>
      <w:pPr>
        <w:ind w:left="580" w:right="5019" w:hanging="485"/>
        <w:spacing w:after="0" w:line="405"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 OF CLASS REPRESENTED BY AMOUNT IN ROW (9) 8.20%</w:t>
      </w:r>
    </w:p>
    <w:p>
      <w:pPr>
        <w:ind w:left="580" w:hanging="491"/>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-1652905</wp:posOffset>
            </wp:positionV>
            <wp:extent cx="5743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-1258570</wp:posOffset>
            </wp:positionV>
            <wp:extent cx="5743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5743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57435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5743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ectPr>
          <w:pgSz w:w="11900" w:h="16838" w:orient="portrait"/>
          <w:cols w:equalWidth="0" w:num="1">
            <w:col w:w="10139"/>
          </w:cols>
          <w:pgMar w:left="320" w:top="967" w:right="1440" w:bottom="1440" w:gutter="0" w:footer="0" w:header="0"/>
        </w:sectPr>
      </w:pPr>
    </w:p>
    <w:bookmarkStart w:id="3" w:name="page4"/>
    <w:bookmarkEnd w:id="3"/>
    <w:p>
      <w:pPr>
        <w:spacing w:after="0"/>
        <w:tabs>
          <w:tab w:leader="none" w:pos="4480" w:val="left"/>
          <w:tab w:leader="none" w:pos="78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5743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377" w:lineRule="exact"/>
        <w:rPr>
          <w:sz w:val="20"/>
          <w:szCs w:val="20"/>
          <w:color w:val="auto"/>
        </w:rPr>
      </w:pPr>
    </w:p>
    <w:p>
      <w:pPr>
        <w:ind w:left="580" w:right="7059" w:hanging="410"/>
        <w:spacing w:after="0" w:line="432" w:lineRule="auto"/>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NAMES OF REPORTING PERSONS Yiheng Capital Management, LP</w:t>
      </w:r>
    </w:p>
    <w:p>
      <w:pPr>
        <w:ind w:left="580" w:right="5079" w:hanging="410"/>
        <w:spacing w:after="0" w:line="266"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920" w:hanging="345"/>
        <w:spacing w:after="0" w:line="184" w:lineRule="exact"/>
        <w:tabs>
          <w:tab w:leader="none" w:pos="920" w:val="left"/>
        </w:tabs>
        <w:numPr>
          <w:ilvl w:val="1"/>
          <w:numId w:val="9"/>
        </w:numPr>
        <w:rPr>
          <w:rFonts w:ascii="Arial" w:cs="Arial" w:eastAsia="Arial" w:hAnsi="Arial"/>
          <w:sz w:val="16"/>
          <w:szCs w:val="16"/>
          <w:color w:val="auto"/>
        </w:rPr>
      </w:pPr>
      <w:r>
        <w:rPr>
          <w:rFonts w:ascii="MS PGothic" w:cs="MS PGothic" w:eastAsia="MS PGothic" w:hAnsi="MS PGothic"/>
          <w:sz w:val="13"/>
          <w:szCs w:val="13"/>
          <w:color w:val="auto"/>
        </w:rPr>
        <w:t>☐</w:t>
      </w:r>
    </w:p>
    <w:p>
      <w:pPr>
        <w:spacing w:after="0" w:line="29" w:lineRule="exact"/>
        <w:rPr>
          <w:rFonts w:ascii="Arial" w:cs="Arial" w:eastAsia="Arial" w:hAnsi="Arial"/>
          <w:sz w:val="16"/>
          <w:szCs w:val="16"/>
          <w:color w:val="auto"/>
        </w:rPr>
      </w:pPr>
    </w:p>
    <w:p>
      <w:pPr>
        <w:ind w:left="920" w:hanging="345"/>
        <w:spacing w:after="0"/>
        <w:tabs>
          <w:tab w:leader="none" w:pos="920" w:val="left"/>
        </w:tabs>
        <w:numPr>
          <w:ilvl w:val="1"/>
          <w:numId w:val="9"/>
        </w:numPr>
        <w:rPr>
          <w:rFonts w:ascii="Arial" w:cs="Arial" w:eastAsia="Arial" w:hAnsi="Arial"/>
          <w:sz w:val="16"/>
          <w:szCs w:val="16"/>
          <w:color w:val="auto"/>
        </w:rPr>
      </w:pPr>
      <w:r>
        <w:rPr>
          <w:rFonts w:ascii="Arial" w:cs="Arial" w:eastAsia="Arial" w:hAnsi="Arial"/>
          <w:sz w:val="13"/>
          <w:szCs w:val="13"/>
          <w:color w:val="auto"/>
        </w:rPr>
        <w:t>x</w:t>
      </w:r>
    </w:p>
    <w:p>
      <w:pPr>
        <w:spacing w:after="0" w:line="17" w:lineRule="exact"/>
        <w:rPr>
          <w:rFonts w:ascii="Arial" w:cs="Arial" w:eastAsia="Arial" w:hAnsi="Arial"/>
          <w:sz w:val="16"/>
          <w:szCs w:val="16"/>
          <w:color w:val="auto"/>
        </w:rPr>
      </w:pPr>
    </w:p>
    <w:p>
      <w:pPr>
        <w:ind w:left="580" w:hanging="410"/>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34" w:lineRule="exact"/>
        <w:rPr>
          <w:rFonts w:ascii="Arial" w:cs="Arial" w:eastAsia="Arial" w:hAnsi="Arial"/>
          <w:sz w:val="16"/>
          <w:szCs w:val="16"/>
          <w:color w:val="auto"/>
        </w:rPr>
      </w:pPr>
    </w:p>
    <w:p>
      <w:pPr>
        <w:ind w:left="580" w:right="6259" w:hanging="410"/>
        <w:spacing w:after="0" w:line="557"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-1332865</wp:posOffset>
            </wp:positionV>
            <wp:extent cx="5743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5743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57435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57435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71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20"/>
        </w:trPr>
        <w:tc>
          <w:tcPr>
            <w:tcW w:w="1480" w:type="dxa"/>
            <w:vAlign w:val="bottom"/>
          </w:tcPr>
          <w:p>
            <w:pPr>
              <w:jc w:val="center"/>
              <w:ind w:right="259"/>
              <w:spacing w:after="0"/>
              <w:rPr>
                <w:sz w:val="20"/>
                <w:szCs w:val="20"/>
                <w:color w:val="auto"/>
              </w:rPr>
            </w:pPr>
            <w:r>
              <w:rPr>
                <w:rFonts w:ascii="Arial" w:cs="Arial" w:eastAsia="Arial" w:hAnsi="Arial"/>
                <w:sz w:val="16"/>
                <w:szCs w:val="16"/>
                <w:color w:val="auto"/>
                <w:w w:val="97"/>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8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vMerge w:val="continue"/>
          </w:tcPr>
          <w:p>
            <w:pPr>
              <w:spacing w:after="0"/>
              <w:rPr>
                <w:sz w:val="8"/>
                <w:szCs w:val="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6.</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rPr>
              <w:t>BENEFICIALLY</w:t>
            </w:r>
          </w:p>
        </w:tc>
        <w:tc>
          <w:tcPr>
            <w:tcW w:w="320" w:type="dxa"/>
            <w:vAlign w:val="bottom"/>
            <w:vMerge w:val="continue"/>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Arial" w:cs="Arial" w:eastAsia="Arial" w:hAnsi="Arial"/>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1,415,100</w:t>
            </w:r>
          </w:p>
        </w:tc>
        <w:tc>
          <w:tcPr>
            <w:tcW w:w="0" w:type="dxa"/>
            <w:vAlign w:val="bottom"/>
          </w:tcPr>
          <w:p>
            <w:pPr>
              <w:spacing w:after="0"/>
              <w:rPr>
                <w:sz w:val="1"/>
                <w:szCs w:val="1"/>
                <w:color w:val="auto"/>
              </w:rPr>
            </w:pPr>
          </w:p>
        </w:tc>
      </w:tr>
      <w:tr>
        <w:trPr>
          <w:trHeight w:val="101"/>
        </w:trPr>
        <w:tc>
          <w:tcPr>
            <w:tcW w:w="148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EACH</w:t>
            </w:r>
          </w:p>
        </w:tc>
        <w:tc>
          <w:tcPr>
            <w:tcW w:w="3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7.</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REPORTING</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1500" w:type="dxa"/>
            <w:vAlign w:val="bottom"/>
          </w:tcPr>
          <w:p>
            <w:pPr>
              <w:spacing w:after="0"/>
              <w:rPr>
                <w:sz w:val="20"/>
                <w:szCs w:val="20"/>
                <w:color w:val="auto"/>
              </w:rPr>
            </w:pPr>
            <w:r>
              <w:rPr>
                <w:rFonts w:ascii="Arial" w:cs="Arial" w:eastAsia="Arial" w:hAnsi="Arial"/>
                <w:sz w:val="16"/>
                <w:szCs w:val="16"/>
                <w:color w:val="auto"/>
              </w:rPr>
              <w:t>PERSON WITH</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3810</wp:posOffset>
            </wp:positionV>
            <wp:extent cx="47574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ind w:left="2000" w:right="5859" w:hanging="386"/>
        <w:spacing w:after="0" w:line="405" w:lineRule="auto"/>
        <w:tabs>
          <w:tab w:leader="none" w:pos="2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SHARED DISPOSITIVE POWER 1,415,100</w:t>
      </w:r>
    </w:p>
    <w:p>
      <w:pPr>
        <w:ind w:left="580" w:right="3659" w:hanging="410"/>
        <w:spacing w:after="0" w:line="405"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1,415,100</w:t>
      </w:r>
    </w:p>
    <w:p>
      <w:pPr>
        <w:ind w:left="580" w:right="3579" w:hanging="491"/>
        <w:spacing w:after="0" w:line="207" w:lineRule="exact"/>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55" w:lineRule="exact"/>
        <w:rPr>
          <w:rFonts w:ascii="Arial" w:cs="Arial" w:eastAsia="Arial" w:hAnsi="Arial"/>
          <w:sz w:val="16"/>
          <w:szCs w:val="16"/>
          <w:color w:val="auto"/>
        </w:rPr>
      </w:pPr>
    </w:p>
    <w:p>
      <w:pPr>
        <w:ind w:left="580" w:right="5019" w:hanging="485"/>
        <w:spacing w:after="0" w:line="405"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PERCENT OF CLASS REPRESENTED BY AMOUNT IN ROW (9) 8.20%</w:t>
      </w:r>
    </w:p>
    <w:p>
      <w:pPr>
        <w:ind w:left="580" w:hanging="491"/>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-1652905</wp:posOffset>
            </wp:positionV>
            <wp:extent cx="5743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-1258570</wp:posOffset>
            </wp:positionV>
            <wp:extent cx="5743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5743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5743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5743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ectPr>
          <w:pgSz w:w="11900" w:h="16838" w:orient="portrait"/>
          <w:cols w:equalWidth="0" w:num="1">
            <w:col w:w="10139"/>
          </w:cols>
          <w:pgMar w:left="320" w:top="751" w:right="1440" w:bottom="1440" w:gutter="0" w:footer="0" w:header="0"/>
        </w:sectPr>
      </w:pPr>
    </w:p>
    <w:bookmarkStart w:id="4" w:name="page5"/>
    <w:bookmarkEnd w:id="4"/>
    <w:p>
      <w:pPr>
        <w:spacing w:after="0"/>
        <w:tabs>
          <w:tab w:leader="none" w:pos="4480" w:val="left"/>
          <w:tab w:leader="none" w:pos="78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5743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377" w:lineRule="exact"/>
        <w:rPr>
          <w:sz w:val="20"/>
          <w:szCs w:val="20"/>
          <w:color w:val="auto"/>
        </w:rPr>
      </w:pPr>
    </w:p>
    <w:p>
      <w:pPr>
        <w:ind w:left="580" w:right="7059" w:hanging="410"/>
        <w:spacing w:after="0" w:line="405"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NAMES OF REPORTING PERSONS Yuanshan Guo</w:t>
      </w:r>
    </w:p>
    <w:p>
      <w:pPr>
        <w:ind w:left="580" w:right="5079" w:hanging="410"/>
        <w:spacing w:after="0" w:line="266"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920" w:hanging="345"/>
        <w:spacing w:after="0" w:line="184" w:lineRule="exact"/>
        <w:tabs>
          <w:tab w:leader="none" w:pos="920" w:val="left"/>
        </w:tabs>
        <w:numPr>
          <w:ilvl w:val="1"/>
          <w:numId w:val="12"/>
        </w:numPr>
        <w:rPr>
          <w:rFonts w:ascii="Arial" w:cs="Arial" w:eastAsia="Arial" w:hAnsi="Arial"/>
          <w:sz w:val="16"/>
          <w:szCs w:val="16"/>
          <w:color w:val="auto"/>
        </w:rPr>
      </w:pPr>
      <w:r>
        <w:rPr>
          <w:rFonts w:ascii="MS PGothic" w:cs="MS PGothic" w:eastAsia="MS PGothic" w:hAnsi="MS PGothic"/>
          <w:sz w:val="13"/>
          <w:szCs w:val="13"/>
          <w:color w:val="auto"/>
        </w:rPr>
        <w:t>☐</w:t>
      </w:r>
    </w:p>
    <w:p>
      <w:pPr>
        <w:spacing w:after="0" w:line="29" w:lineRule="exact"/>
        <w:rPr>
          <w:rFonts w:ascii="Arial" w:cs="Arial" w:eastAsia="Arial" w:hAnsi="Arial"/>
          <w:sz w:val="16"/>
          <w:szCs w:val="16"/>
          <w:color w:val="auto"/>
        </w:rPr>
      </w:pPr>
    </w:p>
    <w:p>
      <w:pPr>
        <w:ind w:left="920" w:hanging="345"/>
        <w:spacing w:after="0"/>
        <w:tabs>
          <w:tab w:leader="none" w:pos="920" w:val="left"/>
        </w:tabs>
        <w:numPr>
          <w:ilvl w:val="1"/>
          <w:numId w:val="12"/>
        </w:numPr>
        <w:rPr>
          <w:rFonts w:ascii="Arial" w:cs="Arial" w:eastAsia="Arial" w:hAnsi="Arial"/>
          <w:sz w:val="16"/>
          <w:szCs w:val="16"/>
          <w:color w:val="auto"/>
        </w:rPr>
      </w:pPr>
      <w:r>
        <w:rPr>
          <w:rFonts w:ascii="Arial" w:cs="Arial" w:eastAsia="Arial" w:hAnsi="Arial"/>
          <w:sz w:val="13"/>
          <w:szCs w:val="13"/>
          <w:color w:val="auto"/>
        </w:rPr>
        <w:t>x</w:t>
      </w:r>
    </w:p>
    <w:p>
      <w:pPr>
        <w:spacing w:after="0" w:line="17" w:lineRule="exact"/>
        <w:rPr>
          <w:rFonts w:ascii="Arial" w:cs="Arial" w:eastAsia="Arial" w:hAnsi="Arial"/>
          <w:sz w:val="16"/>
          <w:szCs w:val="16"/>
          <w:color w:val="auto"/>
        </w:rPr>
      </w:pPr>
    </w:p>
    <w:p>
      <w:pPr>
        <w:ind w:left="580" w:hanging="410"/>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34" w:lineRule="exact"/>
        <w:rPr>
          <w:rFonts w:ascii="Arial" w:cs="Arial" w:eastAsia="Arial" w:hAnsi="Arial"/>
          <w:sz w:val="16"/>
          <w:szCs w:val="16"/>
          <w:color w:val="auto"/>
        </w:rPr>
      </w:pPr>
    </w:p>
    <w:p>
      <w:pPr>
        <w:ind w:left="580" w:right="6259" w:hanging="410"/>
        <w:spacing w:after="0" w:line="557"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-1332865</wp:posOffset>
            </wp:positionV>
            <wp:extent cx="5743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5743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57435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5743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71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20"/>
        </w:trPr>
        <w:tc>
          <w:tcPr>
            <w:tcW w:w="1480" w:type="dxa"/>
            <w:vAlign w:val="bottom"/>
          </w:tcPr>
          <w:p>
            <w:pPr>
              <w:jc w:val="center"/>
              <w:ind w:right="259"/>
              <w:spacing w:after="0"/>
              <w:rPr>
                <w:sz w:val="20"/>
                <w:szCs w:val="20"/>
                <w:color w:val="auto"/>
              </w:rPr>
            </w:pPr>
            <w:r>
              <w:rPr>
                <w:rFonts w:ascii="Arial" w:cs="Arial" w:eastAsia="Arial" w:hAnsi="Arial"/>
                <w:sz w:val="16"/>
                <w:szCs w:val="16"/>
                <w:color w:val="auto"/>
                <w:w w:val="97"/>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8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vMerge w:val="continue"/>
          </w:tcPr>
          <w:p>
            <w:pPr>
              <w:spacing w:after="0"/>
              <w:rPr>
                <w:sz w:val="8"/>
                <w:szCs w:val="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6.</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rPr>
              <w:t>BENEFICIALLY</w:t>
            </w:r>
          </w:p>
        </w:tc>
        <w:tc>
          <w:tcPr>
            <w:tcW w:w="320" w:type="dxa"/>
            <w:vAlign w:val="bottom"/>
            <w:vMerge w:val="continue"/>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Arial" w:cs="Arial" w:eastAsia="Arial" w:hAnsi="Arial"/>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1,415,100</w:t>
            </w:r>
          </w:p>
        </w:tc>
        <w:tc>
          <w:tcPr>
            <w:tcW w:w="0" w:type="dxa"/>
            <w:vAlign w:val="bottom"/>
          </w:tcPr>
          <w:p>
            <w:pPr>
              <w:spacing w:after="0"/>
              <w:rPr>
                <w:sz w:val="1"/>
                <w:szCs w:val="1"/>
                <w:color w:val="auto"/>
              </w:rPr>
            </w:pPr>
          </w:p>
        </w:tc>
      </w:tr>
      <w:tr>
        <w:trPr>
          <w:trHeight w:val="101"/>
        </w:trPr>
        <w:tc>
          <w:tcPr>
            <w:tcW w:w="148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EACH</w:t>
            </w:r>
          </w:p>
        </w:tc>
        <w:tc>
          <w:tcPr>
            <w:tcW w:w="3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7.</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REPORTING</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1500" w:type="dxa"/>
            <w:vAlign w:val="bottom"/>
          </w:tcPr>
          <w:p>
            <w:pPr>
              <w:spacing w:after="0"/>
              <w:rPr>
                <w:sz w:val="20"/>
                <w:szCs w:val="20"/>
                <w:color w:val="auto"/>
              </w:rPr>
            </w:pPr>
            <w:r>
              <w:rPr>
                <w:rFonts w:ascii="Arial" w:cs="Arial" w:eastAsia="Arial" w:hAnsi="Arial"/>
                <w:sz w:val="16"/>
                <w:szCs w:val="16"/>
                <w:color w:val="auto"/>
              </w:rPr>
              <w:t>PERSON WITH</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3810</wp:posOffset>
            </wp:positionV>
            <wp:extent cx="47574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ind w:left="2000" w:right="5859" w:hanging="386"/>
        <w:spacing w:after="0" w:line="405" w:lineRule="auto"/>
        <w:tabs>
          <w:tab w:leader="none" w:pos="20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SHARED DISPOSITIVE POWER 1,415,100</w:t>
      </w:r>
    </w:p>
    <w:p>
      <w:pPr>
        <w:ind w:left="580" w:right="3659" w:hanging="410"/>
        <w:spacing w:after="0" w:line="405"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1,415,100</w:t>
      </w:r>
    </w:p>
    <w:p>
      <w:pPr>
        <w:ind w:left="580" w:right="3579" w:hanging="491"/>
        <w:spacing w:after="0" w:line="207" w:lineRule="exact"/>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55" w:lineRule="exact"/>
        <w:rPr>
          <w:rFonts w:ascii="Arial" w:cs="Arial" w:eastAsia="Arial" w:hAnsi="Arial"/>
          <w:sz w:val="16"/>
          <w:szCs w:val="16"/>
          <w:color w:val="auto"/>
        </w:rPr>
      </w:pPr>
    </w:p>
    <w:p>
      <w:pPr>
        <w:ind w:left="580" w:right="5019" w:hanging="485"/>
        <w:spacing w:after="0" w:line="405"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PERCENT OF CLASS REPRESENTED BY AMOUNT IN ROW (9) 8.20%</w:t>
      </w:r>
    </w:p>
    <w:p>
      <w:pPr>
        <w:ind w:left="580" w:right="6159" w:hanging="491"/>
        <w:spacing w:after="0" w:line="557"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TYPE OF REPORTING PERSON (see instructions)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-1821180</wp:posOffset>
            </wp:positionV>
            <wp:extent cx="5743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-1426845</wp:posOffset>
            </wp:positionV>
            <wp:extent cx="57435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-938530</wp:posOffset>
            </wp:positionV>
            <wp:extent cx="5743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57435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5743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ectPr>
          <w:pgSz w:w="11900" w:h="16838" w:orient="portrait"/>
          <w:cols w:equalWidth="0" w:num="1">
            <w:col w:w="10139"/>
          </w:cols>
          <w:pgMar w:left="320" w:top="751" w:right="1440" w:bottom="1440" w:gutter="0" w:footer="0" w:header="0"/>
        </w:sectPr>
      </w:pPr>
    </w:p>
    <w:bookmarkStart w:id="5" w:name="page6"/>
    <w:bookmarkEnd w:id="5"/>
    <w:p>
      <w:pPr>
        <w:spacing w:after="0"/>
        <w:tabs>
          <w:tab w:leader="none" w:pos="4480" w:val="left"/>
          <w:tab w:leader="none" w:pos="78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6 of 7 Pages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20" w:lineRule="exact"/>
        <w:rPr>
          <w:sz w:val="20"/>
          <w:szCs w:val="20"/>
          <w:color w:val="auto"/>
        </w:rPr>
      </w:pPr>
    </w:p>
    <w:p>
      <w:pPr>
        <w:ind w:left="740" w:right="8079" w:hanging="368"/>
        <w:spacing w:after="0" w:line="375" w:lineRule="auto"/>
        <w:tabs>
          <w:tab w:leader="none" w:pos="74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Name of Issuer </w:t>
      </w:r>
      <w:r>
        <w:rPr>
          <w:rFonts w:ascii="Arial" w:cs="Arial" w:eastAsia="Arial" w:hAnsi="Arial"/>
          <w:sz w:val="14"/>
          <w:szCs w:val="14"/>
          <w:color w:val="auto"/>
        </w:rPr>
        <w:t>ACM Research, Inc.</w:t>
      </w:r>
    </w:p>
    <w:p>
      <w:pPr>
        <w:spacing w:after="0" w:line="23" w:lineRule="exact"/>
        <w:rPr>
          <w:rFonts w:ascii="Arial" w:cs="Arial" w:eastAsia="Arial" w:hAnsi="Arial"/>
          <w:sz w:val="14"/>
          <w:szCs w:val="14"/>
          <w:b w:val="1"/>
          <w:bCs w:val="1"/>
          <w:color w:val="auto"/>
        </w:rPr>
      </w:pPr>
    </w:p>
    <w:p>
      <w:pPr>
        <w:ind w:left="740" w:right="6159" w:hanging="368"/>
        <w:spacing w:after="0" w:line="375" w:lineRule="auto"/>
        <w:tabs>
          <w:tab w:leader="none" w:pos="74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Address of Issuer’s Principal Executive Offices </w:t>
      </w:r>
      <w:r>
        <w:rPr>
          <w:rFonts w:ascii="Arial" w:cs="Arial" w:eastAsia="Arial" w:hAnsi="Arial"/>
          <w:sz w:val="14"/>
          <w:szCs w:val="14"/>
          <w:color w:val="auto"/>
        </w:rPr>
        <w:t>42307 Osgood Road, Suite I, Fremont, CA 9453</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20"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Name of Person Filing</w:t>
      </w:r>
    </w:p>
    <w:p>
      <w:pPr>
        <w:spacing w:after="0" w:line="26" w:lineRule="exact"/>
        <w:rPr>
          <w:rFonts w:ascii="Arial" w:cs="Arial" w:eastAsia="Arial" w:hAnsi="Arial"/>
          <w:sz w:val="16"/>
          <w:szCs w:val="16"/>
          <w:b w:val="1"/>
          <w:bCs w:val="1"/>
          <w:color w:val="auto"/>
        </w:rPr>
      </w:pPr>
    </w:p>
    <w:p>
      <w:pPr>
        <w:jc w:val="both"/>
        <w:ind w:left="740" w:right="1159"/>
        <w:spacing w:after="0" w:line="332" w:lineRule="auto"/>
        <w:rPr>
          <w:rFonts w:ascii="Arial" w:cs="Arial" w:eastAsia="Arial" w:hAnsi="Arial"/>
          <w:sz w:val="16"/>
          <w:szCs w:val="16"/>
          <w:b w:val="1"/>
          <w:bCs w:val="1"/>
          <w:color w:val="auto"/>
        </w:rPr>
      </w:pPr>
      <w:r>
        <w:rPr>
          <w:rFonts w:ascii="Arial" w:cs="Arial" w:eastAsia="Arial" w:hAnsi="Arial"/>
          <w:sz w:val="14"/>
          <w:szCs w:val="14"/>
          <w:color w:val="auto"/>
        </w:rPr>
        <w:t>This Statement is being filed by Yiheng Capital Management, LP, a Delaware limited partnership (the “Investment Manager”), Yiheng Capital Partners, L.P., a Delaware limited partnership (the “Partnership”), and Yuanshan Guo, the managing member of the Investment Manager (“Mr. Guo” and, together with the Investment Manager and Partnership, the “Reporting Persons”).</w:t>
      </w:r>
    </w:p>
    <w:p>
      <w:pPr>
        <w:spacing w:after="0" w:line="97" w:lineRule="exact"/>
        <w:rPr>
          <w:rFonts w:ascii="Arial" w:cs="Arial" w:eastAsia="Arial" w:hAnsi="Arial"/>
          <w:sz w:val="16"/>
          <w:szCs w:val="16"/>
          <w:b w:val="1"/>
          <w:bCs w:val="1"/>
          <w:color w:val="auto"/>
        </w:rPr>
      </w:pPr>
    </w:p>
    <w:p>
      <w:pPr>
        <w:ind w:left="740" w:right="1139"/>
        <w:spacing w:after="0" w:line="271" w:lineRule="auto"/>
        <w:rPr>
          <w:rFonts w:ascii="Arial" w:cs="Arial" w:eastAsia="Arial" w:hAnsi="Arial"/>
          <w:sz w:val="16"/>
          <w:szCs w:val="16"/>
          <w:b w:val="1"/>
          <w:bCs w:val="1"/>
          <w:color w:val="auto"/>
        </w:rPr>
      </w:pPr>
      <w:r>
        <w:rPr>
          <w:rFonts w:ascii="Arial" w:cs="Arial" w:eastAsia="Arial" w:hAnsi="Arial"/>
          <w:sz w:val="16"/>
          <w:szCs w:val="16"/>
          <w:color w:val="auto"/>
        </w:rPr>
        <w:t>The Reporting Persons are filing this Schedule 13G jointly, but not as members of a group, and each disclaims membership in a group. Each also disclaims beneficial ownership of the securities reported herein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such securities.</w:t>
      </w:r>
    </w:p>
    <w:p>
      <w:pPr>
        <w:spacing w:after="0" w:line="135" w:lineRule="exact"/>
        <w:rPr>
          <w:rFonts w:ascii="Arial" w:cs="Arial" w:eastAsia="Arial" w:hAnsi="Arial"/>
          <w:sz w:val="16"/>
          <w:szCs w:val="16"/>
          <w:b w:val="1"/>
          <w:bCs w:val="1"/>
          <w:color w:val="auto"/>
        </w:rPr>
      </w:pPr>
    </w:p>
    <w:p>
      <w:pPr>
        <w:ind w:left="740" w:right="1159"/>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This Statement relates to the Ordinary shares, par value $0.01 per share held for the account of the Partnership. The Investment Manager serves as investment manager to the Partnership. Mr. Guo is the managing member of the Investment Manager. In such capacity, Mr. Guo and the Investment Manager may be deemed to have voting and dispositive power with respect to the Ordinary shares, par value $0.01 per share held for the Partnership.</w:t>
      </w:r>
    </w:p>
    <w:p>
      <w:pPr>
        <w:spacing w:after="0" w:line="90" w:lineRule="exact"/>
        <w:rPr>
          <w:rFonts w:ascii="Arial" w:cs="Arial" w:eastAsia="Arial" w:hAnsi="Arial"/>
          <w:sz w:val="16"/>
          <w:szCs w:val="16"/>
          <w:b w:val="1"/>
          <w:bCs w:val="1"/>
          <w:color w:val="auto"/>
        </w:rPr>
      </w:pPr>
    </w:p>
    <w:p>
      <w:pPr>
        <w:ind w:left="740" w:hanging="368"/>
        <w:spacing w:after="0"/>
        <w:tabs>
          <w:tab w:leader="none" w:pos="7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Address of the Principal Office or, if none, residence</w:t>
      </w:r>
    </w:p>
    <w:p>
      <w:pPr>
        <w:spacing w:after="0" w:line="26" w:lineRule="exact"/>
        <w:rPr>
          <w:rFonts w:ascii="Arial" w:cs="Arial" w:eastAsia="Arial" w:hAnsi="Arial"/>
          <w:sz w:val="16"/>
          <w:szCs w:val="16"/>
          <w:b w:val="1"/>
          <w:bCs w:val="1"/>
          <w:color w:val="auto"/>
        </w:rPr>
      </w:pPr>
    </w:p>
    <w:p>
      <w:pPr>
        <w:ind w:left="740"/>
        <w:spacing w:after="0"/>
        <w:rPr>
          <w:rFonts w:ascii="Arial" w:cs="Arial" w:eastAsia="Arial" w:hAnsi="Arial"/>
          <w:sz w:val="16"/>
          <w:szCs w:val="16"/>
          <w:b w:val="1"/>
          <w:bCs w:val="1"/>
          <w:color w:val="auto"/>
        </w:rPr>
      </w:pPr>
      <w:r>
        <w:rPr>
          <w:rFonts w:ascii="Arial" w:cs="Arial" w:eastAsia="Arial" w:hAnsi="Arial"/>
          <w:sz w:val="16"/>
          <w:szCs w:val="16"/>
          <w:color w:val="auto"/>
        </w:rPr>
        <w:t>The principal office of each Reporting Person is 101 California Street, Suite 2880, San Francisco, CA 94111</w:t>
      </w:r>
    </w:p>
    <w:p>
      <w:pPr>
        <w:spacing w:after="0" w:line="132" w:lineRule="exact"/>
        <w:rPr>
          <w:rFonts w:ascii="Arial" w:cs="Arial" w:eastAsia="Arial" w:hAnsi="Arial"/>
          <w:sz w:val="16"/>
          <w:szCs w:val="16"/>
          <w:b w:val="1"/>
          <w:bCs w:val="1"/>
          <w:color w:val="auto"/>
        </w:rPr>
      </w:pPr>
    </w:p>
    <w:p>
      <w:pPr>
        <w:ind w:left="740" w:hanging="368"/>
        <w:spacing w:after="0"/>
        <w:tabs>
          <w:tab w:leader="none" w:pos="7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Citizenship</w:t>
      </w:r>
    </w:p>
    <w:p>
      <w:pPr>
        <w:spacing w:after="0" w:line="26" w:lineRule="exact"/>
        <w:rPr>
          <w:rFonts w:ascii="Arial" w:cs="Arial" w:eastAsia="Arial" w:hAnsi="Arial"/>
          <w:sz w:val="16"/>
          <w:szCs w:val="16"/>
          <w:b w:val="1"/>
          <w:bCs w:val="1"/>
          <w:color w:val="auto"/>
        </w:rPr>
      </w:pPr>
    </w:p>
    <w:p>
      <w:pPr>
        <w:ind w:left="740" w:right="5579"/>
        <w:spacing w:after="0" w:line="301" w:lineRule="auto"/>
        <w:rPr>
          <w:rFonts w:ascii="Arial" w:cs="Arial" w:eastAsia="Arial" w:hAnsi="Arial"/>
          <w:sz w:val="16"/>
          <w:szCs w:val="16"/>
          <w:b w:val="1"/>
          <w:bCs w:val="1"/>
          <w:color w:val="auto"/>
        </w:rPr>
      </w:pPr>
      <w:r>
        <w:rPr>
          <w:rFonts w:ascii="Arial" w:cs="Arial" w:eastAsia="Arial" w:hAnsi="Arial"/>
          <w:sz w:val="14"/>
          <w:szCs w:val="14"/>
          <w:color w:val="auto"/>
        </w:rPr>
        <w:t>The Investment Manager is a Delaware limited partnership The Partnership is a Delaware limited partnership</w:t>
      </w:r>
    </w:p>
    <w:p>
      <w:pPr>
        <w:spacing w:after="0" w:line="1" w:lineRule="exact"/>
        <w:rPr>
          <w:rFonts w:ascii="Arial" w:cs="Arial" w:eastAsia="Arial" w:hAnsi="Arial"/>
          <w:sz w:val="16"/>
          <w:szCs w:val="16"/>
          <w:b w:val="1"/>
          <w:bCs w:val="1"/>
          <w:color w:val="auto"/>
        </w:rPr>
      </w:pPr>
    </w:p>
    <w:p>
      <w:pPr>
        <w:ind w:left="740"/>
        <w:spacing w:after="0"/>
        <w:rPr>
          <w:rFonts w:ascii="Arial" w:cs="Arial" w:eastAsia="Arial" w:hAnsi="Arial"/>
          <w:sz w:val="16"/>
          <w:szCs w:val="16"/>
          <w:b w:val="1"/>
          <w:bCs w:val="1"/>
          <w:color w:val="auto"/>
        </w:rPr>
      </w:pPr>
      <w:r>
        <w:rPr>
          <w:rFonts w:ascii="Arial" w:cs="Arial" w:eastAsia="Arial" w:hAnsi="Arial"/>
          <w:sz w:val="16"/>
          <w:szCs w:val="16"/>
          <w:color w:val="auto"/>
        </w:rPr>
        <w:t>Mr. Guo is a citizen of the United States of America.</w:t>
      </w:r>
    </w:p>
    <w:p>
      <w:pPr>
        <w:spacing w:after="0" w:line="132" w:lineRule="exact"/>
        <w:rPr>
          <w:rFonts w:ascii="Arial" w:cs="Arial" w:eastAsia="Arial" w:hAnsi="Arial"/>
          <w:sz w:val="16"/>
          <w:szCs w:val="16"/>
          <w:b w:val="1"/>
          <w:bCs w:val="1"/>
          <w:color w:val="auto"/>
        </w:rPr>
      </w:pPr>
    </w:p>
    <w:p>
      <w:pPr>
        <w:ind w:left="740" w:hanging="368"/>
        <w:spacing w:after="0"/>
        <w:tabs>
          <w:tab w:leader="none" w:pos="7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Title of Class of Securities</w:t>
      </w:r>
    </w:p>
    <w:p>
      <w:pPr>
        <w:spacing w:after="0" w:line="26" w:lineRule="exact"/>
        <w:rPr>
          <w:rFonts w:ascii="Arial" w:cs="Arial" w:eastAsia="Arial" w:hAnsi="Arial"/>
          <w:sz w:val="16"/>
          <w:szCs w:val="16"/>
          <w:b w:val="1"/>
          <w:bCs w:val="1"/>
          <w:color w:val="auto"/>
        </w:rPr>
      </w:pPr>
    </w:p>
    <w:p>
      <w:pPr>
        <w:ind w:left="740"/>
        <w:spacing w:after="0"/>
        <w:rPr>
          <w:rFonts w:ascii="Arial" w:cs="Arial" w:eastAsia="Arial" w:hAnsi="Arial"/>
          <w:sz w:val="16"/>
          <w:szCs w:val="16"/>
          <w:b w:val="1"/>
          <w:bCs w:val="1"/>
          <w:color w:val="auto"/>
        </w:rPr>
      </w:pPr>
      <w:r>
        <w:rPr>
          <w:rFonts w:ascii="Arial" w:cs="Arial" w:eastAsia="Arial" w:hAnsi="Arial"/>
          <w:sz w:val="16"/>
          <w:szCs w:val="16"/>
          <w:color w:val="auto"/>
        </w:rPr>
        <w:t>Ordinary shares, par value $0.01 per share</w:t>
      </w:r>
    </w:p>
    <w:p>
      <w:pPr>
        <w:spacing w:after="0" w:line="132" w:lineRule="exact"/>
        <w:rPr>
          <w:rFonts w:ascii="Arial" w:cs="Arial" w:eastAsia="Arial" w:hAnsi="Arial"/>
          <w:sz w:val="16"/>
          <w:szCs w:val="16"/>
          <w:b w:val="1"/>
          <w:bCs w:val="1"/>
          <w:color w:val="auto"/>
        </w:rPr>
      </w:pPr>
    </w:p>
    <w:p>
      <w:pPr>
        <w:ind w:left="740" w:right="8299" w:hanging="368"/>
        <w:spacing w:after="0" w:line="334" w:lineRule="auto"/>
        <w:tabs>
          <w:tab w:leader="none" w:pos="74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CUSIP Number </w:t>
      </w:r>
      <w:r>
        <w:rPr>
          <w:rFonts w:ascii="Arial" w:cs="Arial" w:eastAsia="Arial" w:hAnsi="Arial"/>
          <w:sz w:val="15"/>
          <w:szCs w:val="15"/>
          <w:color w:val="auto"/>
        </w:rPr>
        <w:t>00108J109</w:t>
      </w:r>
    </w:p>
    <w:p>
      <w:pPr>
        <w:spacing w:after="0" w:line="249" w:lineRule="exact"/>
        <w:rPr>
          <w:sz w:val="20"/>
          <w:szCs w:val="20"/>
          <w:color w:val="auto"/>
        </w:rPr>
      </w:pPr>
    </w:p>
    <w:p>
      <w:pPr>
        <w:ind w:right="1199"/>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232"/>
        </w:trPr>
        <w:tc>
          <w:tcPr>
            <w:tcW w:w="260" w:type="dxa"/>
            <w:vAlign w:val="bottom"/>
          </w:tcPr>
          <w:p>
            <w:pPr>
              <w:spacing w:after="0"/>
              <w:rPr>
                <w:sz w:val="20"/>
                <w:szCs w:val="20"/>
                <w:color w:val="auto"/>
              </w:rPr>
            </w:pPr>
            <w:r>
              <w:rPr>
                <w:rFonts w:ascii="Arial" w:cs="Arial" w:eastAsia="Arial" w:hAnsi="Arial"/>
                <w:sz w:val="16"/>
                <w:szCs w:val="16"/>
                <w:color w:val="auto"/>
              </w:rPr>
              <w:t>(a)</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Broker or dealer registered under section 15 of the Act (15 U.S.C. 78o).</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(b)</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Bank as defined in section 3(a)(6) of the Act (15 U.S.C. 78c).</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(c)</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Insurance company as defined in section 3(a)(19) of the Act (15 U.S.C. 78c).</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(d)</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Investment company registered under section 8 of the Investment Company Act of 1940 (15 U.S.C. 80a-8).</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(e)</w:t>
            </w:r>
          </w:p>
        </w:tc>
        <w:tc>
          <w:tcPr>
            <w:tcW w:w="340" w:type="dxa"/>
            <w:vAlign w:val="bottom"/>
          </w:tcPr>
          <w:p>
            <w:pPr>
              <w:ind w:left="100"/>
              <w:spacing w:after="0"/>
              <w:rPr>
                <w:sz w:val="20"/>
                <w:szCs w:val="20"/>
                <w:color w:val="auto"/>
              </w:rPr>
            </w:pPr>
            <w:r>
              <w:rPr>
                <w:rFonts w:ascii="Arial" w:cs="Arial" w:eastAsia="Arial" w:hAnsi="Arial"/>
                <w:sz w:val="13"/>
                <w:szCs w:val="13"/>
                <w:color w:val="auto"/>
              </w:rPr>
              <w:t>x</w:t>
            </w:r>
          </w:p>
        </w:tc>
        <w:tc>
          <w:tcPr>
            <w:tcW w:w="7760" w:type="dxa"/>
            <w:vAlign w:val="bottom"/>
          </w:tcPr>
          <w:p>
            <w:pPr>
              <w:ind w:left="120"/>
              <w:spacing w:after="0"/>
              <w:rPr>
                <w:sz w:val="20"/>
                <w:szCs w:val="20"/>
                <w:color w:val="auto"/>
              </w:rPr>
            </w:pPr>
            <w:r>
              <w:rPr>
                <w:rFonts w:ascii="Arial" w:cs="Arial" w:eastAsia="Arial" w:hAnsi="Arial"/>
                <w:sz w:val="16"/>
                <w:szCs w:val="16"/>
                <w:color w:val="auto"/>
              </w:rPr>
              <w:t>An investment adviser in accordance with §240.13d-1(b)(1)(ii)(E);</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(f)</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An employee benefit plan or endowment fund in accordance with §240.13d-1(b)(1)(ii)(F);</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(g)</w:t>
            </w:r>
          </w:p>
        </w:tc>
        <w:tc>
          <w:tcPr>
            <w:tcW w:w="340" w:type="dxa"/>
            <w:vAlign w:val="bottom"/>
          </w:tcPr>
          <w:p>
            <w:pPr>
              <w:ind w:left="100"/>
              <w:spacing w:after="0"/>
              <w:rPr>
                <w:sz w:val="20"/>
                <w:szCs w:val="20"/>
                <w:color w:val="auto"/>
              </w:rPr>
            </w:pPr>
            <w:r>
              <w:rPr>
                <w:rFonts w:ascii="Arial" w:cs="Arial" w:eastAsia="Arial" w:hAnsi="Arial"/>
                <w:sz w:val="13"/>
                <w:szCs w:val="13"/>
                <w:color w:val="auto"/>
              </w:rPr>
              <w:t>x</w:t>
            </w:r>
          </w:p>
        </w:tc>
        <w:tc>
          <w:tcPr>
            <w:tcW w:w="7760" w:type="dxa"/>
            <w:vAlign w:val="bottom"/>
          </w:tcPr>
          <w:p>
            <w:pPr>
              <w:ind w:left="120"/>
              <w:spacing w:after="0"/>
              <w:rPr>
                <w:sz w:val="20"/>
                <w:szCs w:val="20"/>
                <w:color w:val="auto"/>
              </w:rPr>
            </w:pPr>
            <w:r>
              <w:rPr>
                <w:rFonts w:ascii="Arial" w:cs="Arial" w:eastAsia="Arial" w:hAnsi="Arial"/>
                <w:sz w:val="16"/>
                <w:szCs w:val="16"/>
                <w:color w:val="auto"/>
              </w:rPr>
              <w:t>A parent holding company or control person in accordance with §240.13d-1(b)(1)(ii)(G);</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(h)</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A savings associations as defined in Section 3(b) of the Federal Deposit Insurance Act (12 U.S.C. 1813);</w:t>
            </w:r>
          </w:p>
        </w:tc>
      </w:tr>
      <w:tr>
        <w:trPr>
          <w:trHeight w:val="320"/>
        </w:trPr>
        <w:tc>
          <w:tcPr>
            <w:tcW w:w="260" w:type="dxa"/>
            <w:vAlign w:val="bottom"/>
          </w:tcPr>
          <w:p>
            <w:pPr>
              <w:spacing w:after="0"/>
              <w:rPr>
                <w:sz w:val="20"/>
                <w:szCs w:val="20"/>
                <w:color w:val="auto"/>
              </w:rPr>
            </w:pPr>
            <w:r>
              <w:rPr>
                <w:rFonts w:ascii="Arial" w:cs="Arial" w:eastAsia="Arial" w:hAnsi="Arial"/>
                <w:sz w:val="16"/>
                <w:szCs w:val="16"/>
                <w:color w:val="auto"/>
              </w:rPr>
              <w:t>(i)</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w w:val="92"/>
              </w:rPr>
              <w:t>A church plan that is excluded from the definition of an investment company under section 3(c)(14) of the Investment</w:t>
            </w:r>
          </w:p>
        </w:tc>
      </w:tr>
      <w:tr>
        <w:trPr>
          <w:trHeight w:val="206"/>
        </w:trPr>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Company Act of 1940 (15 U.S.C. 80a-3);</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(j)</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Group, in accordance with §240.13d-1(b)(1)(ii)(J).</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ind w:right="1759"/>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183" w:lineRule="exact"/>
        <w:rPr>
          <w:sz w:val="20"/>
          <w:szCs w:val="20"/>
          <w:color w:val="auto"/>
        </w:rPr>
      </w:pPr>
    </w:p>
    <w:p>
      <w:pPr>
        <w:ind w:left="920" w:hanging="548"/>
        <w:spacing w:after="0"/>
        <w:tabs>
          <w:tab w:leader="none" w:pos="9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Amount beneficially owned by Reporting Persons:  </w:t>
      </w:r>
      <w:r>
        <w:rPr>
          <w:rFonts w:ascii="Arial" w:cs="Arial" w:eastAsia="Arial" w:hAnsi="Arial"/>
          <w:sz w:val="16"/>
          <w:szCs w:val="16"/>
          <w:color w:val="auto"/>
        </w:rPr>
        <w:t>1,415,100</w:t>
      </w:r>
    </w:p>
    <w:p>
      <w:pPr>
        <w:spacing w:after="0" w:line="140" w:lineRule="exact"/>
        <w:rPr>
          <w:rFonts w:ascii="Arial" w:cs="Arial" w:eastAsia="Arial" w:hAnsi="Arial"/>
          <w:sz w:val="16"/>
          <w:szCs w:val="16"/>
          <w:b w:val="1"/>
          <w:bCs w:val="1"/>
          <w:color w:val="auto"/>
        </w:rPr>
      </w:pPr>
    </w:p>
    <w:p>
      <w:pPr>
        <w:ind w:left="920" w:hanging="548"/>
        <w:spacing w:after="0"/>
        <w:tabs>
          <w:tab w:leader="none" w:pos="9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Percent of class:  </w:t>
      </w:r>
      <w:r>
        <w:rPr>
          <w:rFonts w:ascii="Arial" w:cs="Arial" w:eastAsia="Arial" w:hAnsi="Arial"/>
          <w:sz w:val="16"/>
          <w:szCs w:val="16"/>
          <w:color w:val="auto"/>
        </w:rPr>
        <w:t>8.20%</w:t>
      </w:r>
    </w:p>
    <w:p>
      <w:pPr>
        <w:spacing w:after="0" w:line="140" w:lineRule="exact"/>
        <w:rPr>
          <w:rFonts w:ascii="Arial" w:cs="Arial" w:eastAsia="Arial" w:hAnsi="Arial"/>
          <w:sz w:val="16"/>
          <w:szCs w:val="16"/>
          <w:b w:val="1"/>
          <w:bCs w:val="1"/>
          <w:color w:val="auto"/>
        </w:rPr>
      </w:pPr>
    </w:p>
    <w:p>
      <w:pPr>
        <w:ind w:left="920" w:hanging="548"/>
        <w:spacing w:after="0"/>
        <w:tabs>
          <w:tab w:leader="none" w:pos="9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Number of shares as to which the Reporting Persons have:</w:t>
      </w:r>
    </w:p>
    <w:p>
      <w:pPr>
        <w:spacing w:after="0" w:line="140" w:lineRule="exact"/>
        <w:rPr>
          <w:rFonts w:ascii="Arial" w:cs="Arial" w:eastAsia="Arial" w:hAnsi="Arial"/>
          <w:sz w:val="16"/>
          <w:szCs w:val="16"/>
          <w:b w:val="1"/>
          <w:bCs w:val="1"/>
          <w:color w:val="auto"/>
        </w:rPr>
      </w:pPr>
    </w:p>
    <w:p>
      <w:pPr>
        <w:ind w:left="1280" w:hanging="354"/>
        <w:spacing w:after="0"/>
        <w:tabs>
          <w:tab w:leader="none" w:pos="1280" w:val="left"/>
        </w:tabs>
        <w:numPr>
          <w:ilvl w:val="1"/>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0.</w:t>
      </w:r>
    </w:p>
    <w:p>
      <w:pPr>
        <w:sectPr>
          <w:pgSz w:w="11900" w:h="16838" w:orient="portrait"/>
          <w:cols w:equalWidth="0" w:num="1">
            <w:col w:w="10139"/>
          </w:cols>
          <w:pgMar w:left="320" w:top="967" w:right="1440" w:bottom="0" w:gutter="0" w:footer="0" w:header="0"/>
        </w:sectPr>
      </w:pPr>
    </w:p>
    <w:bookmarkStart w:id="6" w:name="page7"/>
    <w:bookmarkEnd w:id="6"/>
    <w:p>
      <w:pPr>
        <w:ind w:left="1280" w:hanging="354"/>
        <w:spacing w:after="0"/>
        <w:tabs>
          <w:tab w:leader="none" w:pos="12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1,415,100 .</w:t>
      </w:r>
    </w:p>
    <w:p>
      <w:pPr>
        <w:spacing w:after="0" w:line="140" w:lineRule="exact"/>
        <w:rPr>
          <w:rFonts w:ascii="Arial" w:cs="Arial" w:eastAsia="Arial" w:hAnsi="Arial"/>
          <w:sz w:val="16"/>
          <w:szCs w:val="16"/>
          <w:b w:val="1"/>
          <w:bCs w:val="1"/>
          <w:color w:val="auto"/>
        </w:rPr>
      </w:pPr>
    </w:p>
    <w:p>
      <w:pPr>
        <w:ind w:left="1280" w:hanging="354"/>
        <w:spacing w:after="0"/>
        <w:tabs>
          <w:tab w:leader="none" w:pos="12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0.</w:t>
      </w:r>
    </w:p>
    <w:p>
      <w:pPr>
        <w:spacing w:after="0" w:line="140" w:lineRule="exact"/>
        <w:rPr>
          <w:rFonts w:ascii="Arial" w:cs="Arial" w:eastAsia="Arial" w:hAnsi="Arial"/>
          <w:sz w:val="16"/>
          <w:szCs w:val="16"/>
          <w:b w:val="1"/>
          <w:bCs w:val="1"/>
          <w:color w:val="auto"/>
        </w:rPr>
      </w:pPr>
    </w:p>
    <w:p>
      <w:pPr>
        <w:ind w:left="1280" w:hanging="354"/>
        <w:spacing w:after="0"/>
        <w:tabs>
          <w:tab w:leader="none" w:pos="12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1,415,100 .</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ind w:right="1119"/>
        <w:spacing w:after="0" w:line="259"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2"/>
          <w:szCs w:val="12"/>
          <w:color w:val="auto"/>
        </w:rPr>
        <w:t>☐</w:t>
      </w:r>
      <w:r>
        <w:rPr>
          <w:rFonts w:ascii="Arial" w:cs="Arial" w:eastAsia="Arial" w:hAnsi="Arial"/>
          <w:sz w:val="19"/>
          <w:szCs w:val="19"/>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192" w:lineRule="exact"/>
        <w:rPr>
          <w:sz w:val="20"/>
          <w:szCs w:val="20"/>
          <w:color w:val="auto"/>
        </w:rPr>
      </w:pPr>
    </w:p>
    <w:p>
      <w:pPr>
        <w:ind w:right="1479"/>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24" w:lineRule="exact"/>
        <w:rPr>
          <w:sz w:val="20"/>
          <w:szCs w:val="20"/>
          <w:color w:val="auto"/>
        </w:rPr>
      </w:pPr>
    </w:p>
    <w:p>
      <w:pPr>
        <w:jc w:val="both"/>
        <w:ind w:right="1179"/>
        <w:spacing w:after="0" w:line="27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139"/>
          </w:cols>
          <w:pgMar w:left="320" w:top="126" w:right="1440" w:bottom="1440" w:gutter="0" w:footer="0" w:header="0"/>
        </w:sectPr>
      </w:pPr>
    </w:p>
    <w:bookmarkStart w:id="7" w:name="page8"/>
    <w:bookmarkEnd w:id="7"/>
    <w:p>
      <w:pPr>
        <w:spacing w:after="0"/>
        <w:tabs>
          <w:tab w:leader="none" w:pos="4480" w:val="left"/>
          <w:tab w:leader="none" w:pos="78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59" w:firstLine="243"/>
        <w:spacing w:after="0" w:line="260" w:lineRule="auto"/>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46"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02/14/2022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17780</wp:posOffset>
            </wp:positionV>
            <wp:extent cx="2297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Date</w:t>
      </w:r>
    </w:p>
    <w:p>
      <w:pPr>
        <w:spacing w:after="0" w:line="248"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/s/ Yuanshan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17780</wp:posOffset>
            </wp:positionV>
            <wp:extent cx="22974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2"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Signature</w:t>
      </w:r>
    </w:p>
    <w:p>
      <w:pPr>
        <w:spacing w:after="0" w:line="248"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Yuanshan Guo /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17780</wp:posOffset>
            </wp:positionV>
            <wp:extent cx="22974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Name/Title</w:t>
      </w:r>
    </w:p>
    <w:sectPr>
      <w:pgSz w:w="11900" w:h="16838" w:orient="portrait"/>
      <w:cols w:equalWidth="0" w:num="1">
        <w:col w:w="10139"/>
      </w:cols>
      <w:pgMar w:left="320" w:top="9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lvl w:ilvl="1">
      <w:lvlJc w:val="left"/>
      <w:lvlText w:val="(%2)"/>
      <w:numFmt w:val="lowerLetter"/>
      <w:start w:val="1"/>
    </w:lvl>
  </w:abstractNum>
  <w:abstractNum w:abstractNumId="3">
    <w:nsid w:val="1F16E9E8"/>
    <w:multiLevelType w:val="hybridMultilevel"/>
    <w:lvl w:ilvl="0">
      <w:lvlJc w:val="left"/>
      <w:lvlText w:val="%1"/>
      <w:numFmt w:val="decimal"/>
      <w:start w:val="1"/>
    </w:lvl>
    <w:lvl w:ilvl="1">
      <w:lvlJc w:val="left"/>
      <w:lvlText w:val="%2."/>
      <w:numFmt w:val="decimal"/>
      <w:start w:val="8"/>
    </w:lvl>
  </w:abstractNum>
  <w:abstractNum w:abstractNumId="4">
    <w:nsid w:val="1190CDE7"/>
    <w:multiLevelType w:val="hybridMultilevel"/>
    <w:lvl w:ilvl="0">
      <w:lvlJc w:val="left"/>
      <w:lvlText w:val="%1."/>
      <w:numFmt w:val="decimal"/>
      <w:start w:val="9"/>
    </w:lvl>
    <w:lvl w:ilvl="1">
      <w:lvlJc w:val="left"/>
      <w:lvlText w:val="%2"/>
      <w:numFmt w:val="decimal"/>
      <w:start w:val="1"/>
    </w:lvl>
  </w:abstractNum>
  <w:abstractNum w:abstractNumId="5">
    <w:nsid w:val="66EF438D"/>
    <w:multiLevelType w:val="hybridMultilevel"/>
    <w:lvl w:ilvl="0">
      <w:lvlJc w:val="left"/>
      <w:lvlText w:val="%1."/>
      <w:numFmt w:val="decimal"/>
      <w:start w:val="1"/>
    </w:lvl>
    <w:lvl w:ilvl="1">
      <w:lvlJc w:val="left"/>
      <w:lvlText w:val="(%2)"/>
      <w:numFmt w:val="lowerLetter"/>
      <w:start w:val="1"/>
    </w:lvl>
  </w:abstractNum>
  <w:abstractNum w:abstractNumId="6">
    <w:nsid w:val="140E0F76"/>
    <w:multiLevelType w:val="hybridMultilevel"/>
    <w:lvl w:ilvl="0">
      <w:lvlJc w:val="left"/>
      <w:lvlText w:val="%1"/>
      <w:numFmt w:val="decimal"/>
      <w:start w:val="1"/>
    </w:lvl>
    <w:lvl w:ilvl="1">
      <w:lvlJc w:val="left"/>
      <w:lvlText w:val="%2."/>
      <w:numFmt w:val="decimal"/>
      <w:start w:val="8"/>
    </w:lvl>
  </w:abstractNum>
  <w:abstractNum w:abstractNumId="7">
    <w:nsid w:val="3352255A"/>
    <w:multiLevelType w:val="hybridMultilevel"/>
    <w:lvl w:ilvl="0">
      <w:lvlJc w:val="left"/>
      <w:lvlText w:val="%1."/>
      <w:numFmt w:val="decimal"/>
      <w:start w:val="9"/>
    </w:lvl>
    <w:lvl w:ilvl="1">
      <w:lvlJc w:val="left"/>
      <w:lvlText w:val="%2"/>
      <w:numFmt w:val="decimal"/>
      <w:start w:val="1"/>
    </w:lvl>
  </w:abstractNum>
  <w:abstractNum w:abstractNumId="8">
    <w:nsid w:val="109CF92E"/>
    <w:multiLevelType w:val="hybridMultilevel"/>
    <w:lvl w:ilvl="0">
      <w:lvlJc w:val="left"/>
      <w:lvlText w:val="%1."/>
      <w:numFmt w:val="decimal"/>
      <w:start w:val="1"/>
    </w:lvl>
    <w:lvl w:ilvl="1">
      <w:lvlJc w:val="left"/>
      <w:lvlText w:val="(%2)"/>
      <w:numFmt w:val="lowerLetter"/>
      <w:start w:val="1"/>
    </w:lvl>
  </w:abstractNum>
  <w:abstractNum w:abstractNumId="9">
    <w:nsid w:val="DED7263"/>
    <w:multiLevelType w:val="hybridMultilevel"/>
    <w:lvl w:ilvl="0">
      <w:lvlJc w:val="left"/>
      <w:lvlText w:val="%1"/>
      <w:numFmt w:val="decimal"/>
      <w:start w:val="1"/>
    </w:lvl>
    <w:lvl w:ilvl="1">
      <w:lvlJc w:val="left"/>
      <w:lvlText w:val="%2."/>
      <w:numFmt w:val="decimal"/>
      <w:start w:val="8"/>
    </w:lvl>
  </w:abstractNum>
  <w:abstractNum w:abstractNumId="10">
    <w:nsid w:val="7FDCC233"/>
    <w:multiLevelType w:val="hybridMultilevel"/>
    <w:lvl w:ilvl="0">
      <w:lvlJc w:val="left"/>
      <w:lvlText w:val="%1."/>
      <w:numFmt w:val="decimal"/>
      <w:start w:val="9"/>
    </w:lvl>
    <w:lvl w:ilvl="1">
      <w:lvlJc w:val="left"/>
      <w:lvlText w:val="%2"/>
      <w:numFmt w:val="decimal"/>
      <w:start w:val="1"/>
    </w:lvl>
  </w:abstractNum>
  <w:abstractNum w:abstractNumId="11">
    <w:nsid w:val="1BEFD79F"/>
    <w:multiLevelType w:val="hybridMultilevel"/>
    <w:lvl w:ilvl="0">
      <w:lvlJc w:val="left"/>
      <w:lvlText w:val="%1."/>
      <w:numFmt w:val="decimal"/>
      <w:start w:val="1"/>
    </w:lvl>
    <w:lvl w:ilvl="1">
      <w:lvlJc w:val="left"/>
      <w:lvlText w:val="(%2)"/>
      <w:numFmt w:val="lowerLetter"/>
      <w:start w:val="1"/>
    </w:lvl>
  </w:abstractNum>
  <w:abstractNum w:abstractNumId="12">
    <w:nsid w:val="41A7C4C9"/>
    <w:multiLevelType w:val="hybridMultilevel"/>
    <w:lvl w:ilvl="0">
      <w:lvlJc w:val="left"/>
      <w:lvlText w:val="%1"/>
      <w:numFmt w:val="decimal"/>
      <w:start w:val="1"/>
    </w:lvl>
    <w:lvl w:ilvl="1">
      <w:lvlJc w:val="left"/>
      <w:lvlText w:val="%2."/>
      <w:numFmt w:val="decimal"/>
      <w:start w:val="8"/>
    </w:lvl>
  </w:abstractNum>
  <w:abstractNum w:abstractNumId="13">
    <w:nsid w:val="6B68079A"/>
    <w:multiLevelType w:val="hybridMultilevel"/>
    <w:lvl w:ilvl="0">
      <w:lvlJc w:val="left"/>
      <w:lvlText w:val="%1."/>
      <w:numFmt w:val="decimal"/>
      <w:start w:val="9"/>
    </w:lvl>
    <w:lvl w:ilvl="1">
      <w:lvlJc w:val="left"/>
      <w:lvlText w:val="%2"/>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lvl w:ilvl="1">
      <w:lvlJc w:val="left"/>
      <w:lvlText w:val="(%2)"/>
      <w:numFmt w:val="lowerLetter"/>
      <w:start w:val="9"/>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2022-02-14T15:49:09Z</dcterms:created>
  <dcterms:modified xsi:type="dcterms:W3CDTF">2022-02-14T15:49:09Z</dcterms:modified>
</cp:coreProperties>
</file>