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Liu Tracy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ACM Research, Inc.</w:t>
              </w:r>
            </w:hyperlink>
            <w:r>
              <w:rPr/>
              <w:t xml:space="preserve"> [ </w:t>
            </w:r>
            <w:r>
              <w:rPr>
                <w:rFonts w:ascii="Times;serif" w:hAnsi="Times;serif"/>
                <w:color w:val="0000FF"/>
                <w:sz w:val="24"/>
                <w:shd w:fill="FFFFFF" w:val="clear"/>
              </w:rPr>
              <w:t>ACMR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155,772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32,216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47.06</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123,556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12,784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48.19</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110,772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125,772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47.81</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114,149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48.25</w:t>
            </w:r>
            <w:r>
              <w:rPr>
                <w:rFonts w:ascii="Times;serif" w:hAnsi="Times;serif"/>
                <w:color w:val="008000"/>
                <w:position w:val="7"/>
                <w:sz w:val="16"/>
                <w:sz w:val="20"/>
                <w:shd w:fill="FFFFFF" w:val="clear"/>
              </w:rPr>
              <w:t>(5)</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110,772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12/27/2026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12/27/2026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December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$46.67 to $47.51,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(3), (4), and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$47.70 to $48.50,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$47.13 to $48.12,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$48.13 to $48.44,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is fully vested and exercisable.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 Attorney-in-Fact for Tracy Liu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1299" TargetMode="External"/><Relationship Id="rId5" Type="http://schemas.openxmlformats.org/officeDocument/2006/relationships/hyperlink" Target="http://www.sec.gov/cgi-bin/browse-edgar?action=getcompany&amp;CIK=00016800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849</Words>
  <Characters>4426</Characters>
  <CharactersWithSpaces>5161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