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27,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22"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00" w:space="720"/>
            <w:col w:w="3060"/>
          </w:cols>
          <w:pgMar w:left="320" w:top="522"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2"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84"/>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28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27, 2023, we issued a press release entitled “ACM Research Announces Preliminary Unaudited Revenue Range for Third Quarter 2023.” The full text of the press release is furnished as Exhibit 99.1 hereto and is incorporated herein by reference</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220"/>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of ACM Research, Inc. dated October 27, 2023</w:t>
      </w:r>
    </w:p>
    <w:p>
      <w:pPr>
        <w:spacing w:after="0" w:line="225"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Announces Preliminary Unaudited Revenue Range for Third Quarter 2023</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FREMONT, Calif., Oct. 27, 2023 (GLOBE NEWSWIRE) -- </w:t>
      </w:r>
      <w:r>
        <w:rPr>
          <w:rFonts w:ascii="Arial" w:cs="Arial" w:eastAsia="Arial" w:hAnsi="Arial"/>
          <w:sz w:val="18"/>
          <w:szCs w:val="18"/>
          <w:u w:val="single" w:color="auto"/>
          <w:color w:val="auto"/>
        </w:rPr>
        <w:t>ACM Research, Inc.</w:t>
      </w:r>
      <w:r>
        <w:rPr>
          <w:rFonts w:ascii="Arial" w:cs="Arial" w:eastAsia="Arial" w:hAnsi="Arial"/>
          <w:sz w:val="18"/>
          <w:szCs w:val="18"/>
          <w:b w:val="1"/>
          <w:bCs w:val="1"/>
          <w:color w:val="auto"/>
        </w:rPr>
        <w:t xml:space="preserve"> </w:t>
      </w:r>
      <w:r>
        <w:rPr>
          <w:rFonts w:ascii="Arial" w:cs="Arial" w:eastAsia="Arial" w:hAnsi="Arial"/>
          <w:sz w:val="18"/>
          <w:szCs w:val="18"/>
          <w:color w:val="auto"/>
        </w:rPr>
        <w:t>(“ACM”) (NASDAQ: ACMR), a leading supplier of wafer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for semiconductor and advanced wafer-level packaging applications, today announced that its preliminary unaudited revenue for the third quarter of 2023 is expected to be in the range of $165 million to $168 million. Actual unaudited third quarter 2023 results are subject to the completion of ACM’s quarter end closing procedures and review by ACM’s independent registered public accounting firm. ACM will discuss its full financial results for the third quarter of 2023 and its revenue outlook for the remainder of the year on its earnings call on Tuesday, November 7, 2023, at 8 a.m. Eastern Time (9 p.m. China Time).</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Today’s release of ACM’s third quarter 2023 preliminary unaudited expected revenue range coincides with the release of unaudited financial results by ACM Research (Shanghai), Inc., ACM’s principal operating subsidiary (ACM Shanghai), to the Shanghai Stock Exchange website [link to China Disclosure]. ACM currently owns an 82.1% equity interest in ACM Shanghai, and a substantial majority of ACM’s consolidated revenue and net income is contributed by ACM Shanghai. The stand-alone financial results of ACM Shanghai are reported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Arial" w:cs="Arial" w:eastAsia="Arial" w:hAnsi="Arial"/>
          <w:sz w:val="18"/>
          <w:szCs w:val="18"/>
          <w:u w:val="single" w:color="auto"/>
          <w:color w:val="auto"/>
        </w:rPr>
        <w:t>www.acmrcsh.com</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79" w:lineRule="exact"/>
        <w:rPr>
          <w:sz w:val="20"/>
          <w:szCs w:val="20"/>
          <w:color w:val="auto"/>
        </w:rPr>
      </w:pPr>
    </w:p>
    <w:p>
      <w:pPr>
        <w:ind w:firstLine="8"/>
        <w:spacing w:after="0" w:line="308" w:lineRule="auto"/>
        <w:tabs>
          <w:tab w:leader="none" w:pos="205" w:val="left"/>
        </w:tabs>
        <w:numPr>
          <w:ilvl w:val="0"/>
          <w:numId w:val="2"/>
        </w:numPr>
        <w:rPr>
          <w:rFonts w:ascii="Arial" w:cs="Arial" w:eastAsia="Arial" w:hAnsi="Arial"/>
          <w:sz w:val="17"/>
          <w:szCs w:val="17"/>
          <w:color w:val="auto"/>
        </w:rPr>
      </w:pPr>
      <w:r>
        <w:rPr>
          <w:rFonts w:ascii="Arial" w:cs="Arial" w:eastAsia="Arial" w:hAnsi="Arial"/>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8960" w:type="dxa"/>
            <w:vAlign w:val="bottom"/>
          </w:tcPr>
          <w:p>
            <w:pPr>
              <w:ind w:left="480"/>
              <w:spacing w:after="0"/>
              <w:rPr>
                <w:sz w:val="20"/>
                <w:szCs w:val="20"/>
                <w:color w:val="auto"/>
              </w:rPr>
            </w:pPr>
            <w:r>
              <w:rPr>
                <w:rFonts w:ascii="Arial" w:cs="Arial" w:eastAsia="Arial" w:hAnsi="Arial"/>
                <w:sz w:val="18"/>
                <w:szCs w:val="18"/>
                <w:color w:val="auto"/>
              </w:rPr>
              <w:t>The Blueshirt Group</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Yujia Zhai</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+1 (860) 214-0809</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960" w:type="dxa"/>
            <w:vAlign w:val="bottom"/>
          </w:tcPr>
          <w:p>
            <w:pPr>
              <w:ind w:left="480"/>
              <w:spacing w:after="0"/>
              <w:rPr>
                <w:sz w:val="20"/>
                <w:szCs w:val="20"/>
                <w:color w:val="auto"/>
              </w:rPr>
            </w:pPr>
            <w:r>
              <w:rPr>
                <w:rFonts w:ascii="Arial" w:cs="Arial" w:eastAsia="Arial" w:hAnsi="Arial"/>
                <w:sz w:val="18"/>
                <w:szCs w:val="18"/>
                <w:i w:val="1"/>
                <w:iCs w:val="1"/>
                <w:color w:val="auto"/>
              </w:rPr>
              <w:t>yujia@blueshirtgroup.com</w:t>
            </w:r>
          </w:p>
        </w:tc>
      </w:tr>
      <w:tr>
        <w:trPr>
          <w:trHeight w:val="392"/>
        </w:trPr>
        <w:tc>
          <w:tcPr>
            <w:tcW w:w="34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8960" w:type="dxa"/>
            <w:vAlign w:val="bottom"/>
          </w:tcPr>
          <w:p>
            <w:pPr>
              <w:ind w:left="480"/>
              <w:spacing w:after="0"/>
              <w:rPr>
                <w:sz w:val="20"/>
                <w:szCs w:val="20"/>
                <w:color w:val="auto"/>
              </w:rPr>
            </w:pPr>
            <w:r>
              <w:rPr>
                <w:rFonts w:ascii="Arial" w:cs="Arial" w:eastAsia="Arial" w:hAnsi="Arial"/>
                <w:sz w:val="18"/>
                <w:szCs w:val="18"/>
                <w:color w:val="auto"/>
              </w:rPr>
              <w:t>The Blueshirt Group Asia</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Gary Dvorchak, CFA</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+86 (138) 1079-1480</w:t>
            </w:r>
          </w:p>
        </w:tc>
      </w:tr>
      <w:tr>
        <w:trPr>
          <w:trHeight w:val="533"/>
        </w:trPr>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2023-10-27T06:54:30Z</dcterms:created>
  <dcterms:modified xsi:type="dcterms:W3CDTF">2023-10-27T06:54:30Z</dcterms:modified>
</cp:coreProperties>
</file>