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7, 2018</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ACM Research,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001-38273</w:t>
            </w:r>
          </w:p>
        </w:tc>
        <w:tc>
          <w:tcPr>
            <w:tcW w:w="1660" w:type="dxa"/>
            <w:vAlign w:val="bottom"/>
          </w:tcPr>
          <w:p>
            <w:pPr>
              <w:jc w:val="center"/>
              <w:ind w:left="292"/>
              <w:spacing w:after="0"/>
              <w:rPr>
                <w:sz w:val="20"/>
                <w:szCs w:val="20"/>
                <w:color w:val="auto"/>
              </w:rPr>
            </w:pPr>
            <w:r>
              <w:rPr>
                <w:rFonts w:ascii="Arial" w:cs="Arial" w:eastAsia="Arial" w:hAnsi="Arial"/>
                <w:sz w:val="18"/>
                <w:szCs w:val="18"/>
                <w:b w:val="1"/>
                <w:bCs w:val="1"/>
                <w:color w:val="auto"/>
                <w:w w:val="87"/>
              </w:rPr>
              <w:t>94-3290283</w:t>
            </w:r>
          </w:p>
        </w:tc>
      </w:tr>
      <w:tr>
        <w:trPr>
          <w:trHeight w:val="216"/>
        </w:trPr>
        <w:tc>
          <w:tcPr>
            <w:tcW w:w="2360" w:type="dxa"/>
            <w:vAlign w:val="bottom"/>
          </w:tcPr>
          <w:p>
            <w:pPr>
              <w:jc w:val="center"/>
              <w:ind w:right="72"/>
              <w:spacing w:after="0"/>
              <w:rPr>
                <w:sz w:val="20"/>
                <w:szCs w:val="20"/>
                <w:color w:val="auto"/>
              </w:rPr>
            </w:pPr>
            <w:r>
              <w:rPr>
                <w:rFonts w:ascii="Arial" w:cs="Arial" w:eastAsia="Arial" w:hAnsi="Arial"/>
                <w:sz w:val="18"/>
                <w:szCs w:val="18"/>
                <w:i w:val="1"/>
                <w:iCs w:val="1"/>
                <w:color w:val="auto"/>
                <w:w w:val="90"/>
              </w:rPr>
              <w:t>(State or Other Jurisdiction of</w:t>
            </w:r>
          </w:p>
        </w:tc>
        <w:tc>
          <w:tcPr>
            <w:tcW w:w="5340" w:type="dxa"/>
            <w:vAlign w:val="bottom"/>
          </w:tcPr>
          <w:p>
            <w:pPr>
              <w:jc w:val="center"/>
              <w:ind w:right="172"/>
              <w:spacing w:after="0"/>
              <w:rPr>
                <w:sz w:val="20"/>
                <w:szCs w:val="20"/>
                <w:color w:val="auto"/>
              </w:rPr>
            </w:pPr>
            <w:r>
              <w:rPr>
                <w:rFonts w:ascii="Arial" w:cs="Arial" w:eastAsia="Arial" w:hAnsi="Arial"/>
                <w:sz w:val="18"/>
                <w:szCs w:val="18"/>
                <w:i w:val="1"/>
                <w:iCs w:val="1"/>
                <w:color w:val="auto"/>
                <w:w w:val="89"/>
              </w:rPr>
              <w:t>(Commission File Number)</w:t>
            </w:r>
          </w:p>
        </w:tc>
        <w:tc>
          <w:tcPr>
            <w:tcW w:w="1660" w:type="dxa"/>
            <w:vAlign w:val="bottom"/>
          </w:tcPr>
          <w:p>
            <w:pPr>
              <w:jc w:val="center"/>
              <w:ind w:left="29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2360" w:type="dxa"/>
            <w:vAlign w:val="bottom"/>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340" w:type="dxa"/>
            <w:vAlign w:val="bottom"/>
          </w:tcPr>
          <w:p>
            <w:pPr>
              <w:spacing w:after="0"/>
              <w:rPr>
                <w:sz w:val="19"/>
                <w:szCs w:val="19"/>
                <w:color w:val="auto"/>
              </w:rPr>
            </w:pPr>
          </w:p>
        </w:tc>
        <w:tc>
          <w:tcPr>
            <w:tcW w:w="1660" w:type="dxa"/>
            <w:vAlign w:val="bottom"/>
          </w:tcPr>
          <w:p>
            <w:pPr>
              <w:jc w:val="center"/>
              <w:ind w:left="272"/>
              <w:spacing w:after="0"/>
              <w:rPr>
                <w:sz w:val="20"/>
                <w:szCs w:val="20"/>
                <w:color w:val="auto"/>
              </w:rPr>
            </w:pPr>
            <w:r>
              <w:rPr>
                <w:rFonts w:ascii="Arial" w:cs="Arial" w:eastAsia="Arial" w:hAnsi="Arial"/>
                <w:sz w:val="18"/>
                <w:szCs w:val="18"/>
                <w:i w:val="1"/>
                <w:iCs w:val="1"/>
                <w:color w:val="auto"/>
                <w:w w:val="92"/>
              </w:rPr>
              <w:t>Identification No.)</w:t>
            </w:r>
          </w:p>
        </w:tc>
      </w:tr>
      <w:tr>
        <w:trPr>
          <w:trHeight w:val="358"/>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42307 Osgood Road, Suite I, Fremont, California 94539</w:t>
            </w:r>
          </w:p>
        </w:tc>
        <w:tc>
          <w:tcPr>
            <w:tcW w:w="166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9"/>
              </w:rPr>
              <w:t>(Address of principal executive offices) (Zip code)</w:t>
            </w:r>
          </w:p>
        </w:tc>
        <w:tc>
          <w:tcPr>
            <w:tcW w:w="1660" w:type="dxa"/>
            <w:vAlign w:val="bottom"/>
          </w:tcPr>
          <w:p>
            <w:pPr>
              <w:spacing w:after="0"/>
              <w:rPr>
                <w:sz w:val="19"/>
                <w:szCs w:val="19"/>
                <w:color w:val="auto"/>
              </w:rPr>
            </w:pPr>
          </w:p>
        </w:tc>
      </w:tr>
      <w:tr>
        <w:trPr>
          <w:trHeight w:val="365"/>
        </w:trPr>
        <w:tc>
          <w:tcPr>
            <w:tcW w:w="2360" w:type="dxa"/>
            <w:vAlign w:val="bottom"/>
          </w:tcPr>
          <w:p>
            <w:pPr>
              <w:spacing w:after="0"/>
              <w:rPr>
                <w:sz w:val="24"/>
                <w:szCs w:val="24"/>
                <w:color w:val="auto"/>
              </w:rPr>
            </w:pPr>
          </w:p>
        </w:tc>
        <w:tc>
          <w:tcPr>
            <w:tcW w:w="5340" w:type="dxa"/>
            <w:vAlign w:val="bottom"/>
          </w:tcPr>
          <w:p>
            <w:pPr>
              <w:jc w:val="center"/>
              <w:ind w:right="132"/>
              <w:spacing w:after="0"/>
              <w:rPr>
                <w:sz w:val="20"/>
                <w:szCs w:val="20"/>
                <w:color w:val="auto"/>
              </w:rPr>
            </w:pPr>
            <w:r>
              <w:rPr>
                <w:rFonts w:ascii="Arial" w:cs="Arial" w:eastAsia="Arial" w:hAnsi="Arial"/>
                <w:sz w:val="18"/>
                <w:szCs w:val="18"/>
                <w:i w:val="1"/>
                <w:iCs w:val="1"/>
                <w:color w:val="auto"/>
                <w:w w:val="88"/>
              </w:rPr>
              <w:t xml:space="preserve">Registrant’s telephone number, including area code: </w:t>
            </w:r>
            <w:r>
              <w:rPr>
                <w:rFonts w:ascii="Arial" w:cs="Arial" w:eastAsia="Arial" w:hAnsi="Arial"/>
                <w:sz w:val="18"/>
                <w:szCs w:val="18"/>
                <w:b w:val="1"/>
                <w:bCs w:val="1"/>
                <w:color w:val="auto"/>
                <w:w w:val="88"/>
              </w:rPr>
              <w:t>(510) 445-3700</w:t>
            </w:r>
          </w:p>
        </w:tc>
        <w:tc>
          <w:tcPr>
            <w:tcW w:w="1660" w:type="dxa"/>
            <w:vAlign w:val="bottom"/>
          </w:tcPr>
          <w:p>
            <w:pPr>
              <w:spacing w:after="0"/>
              <w:rPr>
                <w:sz w:val="24"/>
                <w:szCs w:val="24"/>
                <w:color w:val="auto"/>
              </w:rPr>
            </w:pPr>
          </w:p>
        </w:tc>
      </w:tr>
    </w:tbl>
    <w:p>
      <w:pPr>
        <w:spacing w:after="0" w:line="1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42" w:lineRule="exact"/>
        <w:rPr>
          <w:rFonts w:ascii="MS PGothic" w:cs="MS PGothic" w:eastAsia="MS PGothic" w:hAnsi="MS PGothic"/>
          <w:sz w:val="22"/>
          <w:szCs w:val="22"/>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right="740"/>
        <w:spacing w:after="0" w:line="229"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(§240.12b-2 of this chapter). Emerging growth company </w:t>
      </w:r>
      <w:r>
        <w:rPr>
          <w:rFonts w:ascii="MS PGothic" w:cs="MS PGothic" w:eastAsia="MS PGothic" w:hAnsi="MS PGothic"/>
          <w:sz w:val="18"/>
          <w:szCs w:val="18"/>
          <w:color w:val="auto"/>
        </w:rPr>
        <w:t>☑</w:t>
      </w:r>
    </w:p>
    <w:p>
      <w:pPr>
        <w:spacing w:after="0" w:line="124" w:lineRule="exact"/>
        <w:rPr>
          <w:sz w:val="24"/>
          <w:szCs w:val="24"/>
          <w:color w:val="auto"/>
        </w:rPr>
      </w:pPr>
    </w:p>
    <w:p>
      <w:pPr>
        <w:ind w:right="42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right="100" w:firstLine="486"/>
        <w:spacing w:after="0" w:line="268" w:lineRule="auto"/>
        <w:rPr>
          <w:sz w:val="20"/>
          <w:szCs w:val="20"/>
          <w:color w:val="auto"/>
        </w:rPr>
      </w:pPr>
      <w:r>
        <w:rPr>
          <w:rFonts w:ascii="Arial" w:cs="Arial" w:eastAsia="Arial" w:hAnsi="Arial"/>
          <w:sz w:val="18"/>
          <w:szCs w:val="18"/>
          <w:color w:val="auto"/>
        </w:rPr>
        <w:t>On November 7, 2018, we issued a press release announcing financial results for the third quarter of 2018. The full text of the press release is furnished as Exhibit 99.01 hereto and is incorporated herein by reference.</w:t>
      </w:r>
    </w:p>
    <w:p>
      <w:pPr>
        <w:spacing w:after="0" w:line="186" w:lineRule="exact"/>
        <w:rPr>
          <w:sz w:val="20"/>
          <w:szCs w:val="20"/>
          <w:color w:val="auto"/>
        </w:rPr>
      </w:pPr>
    </w:p>
    <w:p>
      <w:pPr>
        <w:ind w:right="260" w:firstLine="486"/>
        <w:spacing w:after="0" w:line="306" w:lineRule="auto"/>
        <w:rPr>
          <w:sz w:val="20"/>
          <w:szCs w:val="20"/>
          <w:color w:val="auto"/>
        </w:rPr>
      </w:pPr>
      <w:r>
        <w:rPr>
          <w:rFonts w:ascii="Arial" w:cs="Arial" w:eastAsia="Arial" w:hAnsi="Arial"/>
          <w:sz w:val="16"/>
          <w:szCs w:val="16"/>
          <w:color w:val="auto"/>
        </w:rPr>
        <w:t>The information contained herein,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20" w:type="dxa"/>
            <w:vAlign w:val="bottom"/>
            <w:gridSpan w:val="3"/>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w w:val="96"/>
              </w:rPr>
              <w:t>(d) Exhibits.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441"/>
        </w:trPr>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Exhibit Number</w:t>
            </w:r>
          </w:p>
        </w:tc>
        <w:tc>
          <w:tcPr>
            <w:tcW w:w="680" w:type="dxa"/>
            <w:vAlign w:val="bottom"/>
          </w:tcPr>
          <w:p>
            <w:pPr>
              <w:spacing w:after="0"/>
              <w:rPr>
                <w:sz w:val="24"/>
                <w:szCs w:val="24"/>
                <w:color w:val="auto"/>
              </w:rPr>
            </w:pPr>
          </w:p>
        </w:tc>
        <w:tc>
          <w:tcPr>
            <w:tcW w:w="8320" w:type="dxa"/>
            <w:vAlign w:val="bottom"/>
            <w:tcBorders>
              <w:bottom w:val="single" w:sz="8" w:color="auto"/>
            </w:tcBorders>
          </w:tcPr>
          <w:p>
            <w:pPr>
              <w:ind w:left="372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940" w:type="dxa"/>
            <w:vAlign w:val="bottom"/>
          </w:tcPr>
          <w:p>
            <w:pPr>
              <w:spacing w:after="0"/>
              <w:rPr>
                <w:sz w:val="15"/>
                <w:szCs w:val="15"/>
                <w:color w:val="auto"/>
              </w:rPr>
            </w:pPr>
          </w:p>
        </w:tc>
        <w:tc>
          <w:tcPr>
            <w:tcW w:w="1480" w:type="dxa"/>
            <w:vAlign w:val="bottom"/>
            <w:gridSpan w:val="3"/>
          </w:tcPr>
          <w:p>
            <w:pPr>
              <w:jc w:val="center"/>
              <w:ind w:right="912"/>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01</w:t>
              </w:r>
            </w:hyperlink>
          </w:p>
        </w:tc>
        <w:tc>
          <w:tcPr>
            <w:tcW w:w="680" w:type="dxa"/>
            <w:vAlign w:val="bottom"/>
          </w:tcPr>
          <w:p>
            <w:pPr>
              <w:spacing w:after="0"/>
              <w:rPr>
                <w:sz w:val="15"/>
                <w:szCs w:val="15"/>
                <w:color w:val="auto"/>
              </w:rPr>
            </w:pPr>
          </w:p>
        </w:tc>
        <w:tc>
          <w:tcPr>
            <w:tcW w:w="8320" w:type="dxa"/>
            <w:vAlign w:val="bottom"/>
          </w:tcPr>
          <w:p>
            <w:pPr>
              <w:spacing w:after="0" w:line="176" w:lineRule="exact"/>
              <w:rPr>
                <w:sz w:val="20"/>
                <w:szCs w:val="20"/>
                <w:color w:val="auto"/>
              </w:rPr>
            </w:pPr>
            <w:r>
              <w:rPr>
                <w:rFonts w:ascii="Arial" w:cs="Arial" w:eastAsia="Arial" w:hAnsi="Arial"/>
                <w:sz w:val="18"/>
                <w:szCs w:val="18"/>
                <w:color w:val="auto"/>
              </w:rPr>
              <w:t>Press Release of ACM Research, Inc. dated November 7, 2018</w:t>
            </w:r>
          </w:p>
        </w:tc>
      </w:tr>
      <w:tr>
        <w:trPr>
          <w:trHeight w:val="885"/>
        </w:trPr>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jc w:val="center"/>
        <w:ind w:left="32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filed on its behalf by the undersigned hereunto duly authorized.</w:t>
      </w:r>
    </w:p>
    <w:p>
      <w:pPr>
        <w:spacing w:after="0" w:line="1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ACM R</w:t>
      </w:r>
      <w:r>
        <w:rPr>
          <w:rFonts w:ascii="Arial" w:cs="Arial" w:eastAsia="Arial" w:hAnsi="Arial"/>
          <w:sz w:val="12"/>
          <w:szCs w:val="12"/>
          <w:color w:val="auto"/>
        </w:rPr>
        <w:t>ESEARCH</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6"/>
          <w:szCs w:val="16"/>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1242060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57"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92646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64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Third Quarter 2018 Results</w:t>
      </w:r>
    </w:p>
    <w:p>
      <w:pPr>
        <w:spacing w:after="0" w:line="16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FREMONT, California, November 7, 2018 (Globe Newswire) – ACM Research, Inc. (“ACM” or the “Company”) (NASDAQ:ACMR), a provider of single-wafer wet cleaning equipment used by manufacturers of advanced semiconductors, today reported financial results for its third fiscal quarter ended September 30, 2018.</w:t>
      </w:r>
    </w:p>
    <w:p>
      <w:pPr>
        <w:spacing w:after="0" w:line="7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ACM Research’s President and Chief Executive Officer Dr. David Wang commented, “Our business momentum continued in the third quarter. We delivered strong financial results, with revenue more than tripling from the third quarter of 2017. Strength was driven by solid demand and great execution, with additional contribution from customer acceptance on an important evaluation tool. Operating highlights included significant delivery of first-tools, which contributed to record total shipments for the quarter, the launch of the “Ultra-C” Tahoe product, and the start of production at our second factory in Shanghai.”</w:t>
      </w:r>
    </w:p>
    <w:p>
      <w:pPr>
        <w:spacing w:after="0" w:line="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Dr. Wang continued, “We are excited by our business prospects, and remain committed to gaining additional market share by increasing our business with leading and emerging global IC manufacturers. For 2018, we have once again raised our full-year revenue guidance, which represents more than 100% growth versus last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Operating Highlights</w:t>
      </w:r>
    </w:p>
    <w:p>
      <w:pPr>
        <w:spacing w:after="0" w:line="158" w:lineRule="exact"/>
        <w:rPr>
          <w:sz w:val="20"/>
          <w:szCs w:val="20"/>
          <w:color w:val="auto"/>
        </w:rPr>
      </w:pPr>
    </w:p>
    <w:p>
      <w:pPr>
        <w:jc w:val="both"/>
        <w:ind w:left="340" w:hanging="332"/>
        <w:spacing w:after="0" w:line="30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Record Total Shipments. </w:t>
      </w:r>
      <w:r>
        <w:rPr>
          <w:rFonts w:ascii="Arial" w:cs="Arial" w:eastAsia="Arial" w:hAnsi="Arial"/>
          <w:sz w:val="16"/>
          <w:szCs w:val="16"/>
          <w:color w:val="auto"/>
        </w:rPr>
        <w:t>Total shipments for the third quarter were approximately $32 million, an increase from approximately $11 million in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2017, and approximately $21 million in the second quarter of 2018. Quarterly shipments include deliveries for revenue in the quarter, and deliveries of first-tool systems awaiting customer acceptance for potential revenue in future quarters. ACM views first-tool deliveries as an important indicator of progress in moving customers from the qualified pipeline to a more comprehensive evaluation phase.</w:t>
      </w:r>
    </w:p>
    <w:p>
      <w:pPr>
        <w:spacing w:after="0" w:line="89" w:lineRule="exact"/>
        <w:rPr>
          <w:rFonts w:ascii="Arial" w:cs="Arial" w:eastAsia="Arial" w:hAnsi="Arial"/>
          <w:sz w:val="16"/>
          <w:szCs w:val="16"/>
          <w:color w:val="auto"/>
        </w:rPr>
      </w:pPr>
    </w:p>
    <w:p>
      <w:pPr>
        <w:jc w:val="both"/>
        <w:ind w:left="340" w:hanging="332"/>
        <w:spacing w:after="0" w:line="310"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Newest Addition from ACM’s Innovation Pipeline, the Ultra-C Tahoe. </w:t>
      </w:r>
      <w:r>
        <w:rPr>
          <w:rFonts w:ascii="Arial" w:cs="Arial" w:eastAsia="Arial" w:hAnsi="Arial"/>
          <w:sz w:val="16"/>
          <w:szCs w:val="16"/>
          <w:color w:val="auto"/>
        </w:rPr>
        <w:t>In August 2018, ACM announced the Ultra-C Tahoe, a new addition to its line of</w:t>
      </w:r>
      <w:r>
        <w:rPr>
          <w:rFonts w:ascii="Arial" w:cs="Arial" w:eastAsia="Arial" w:hAnsi="Arial"/>
          <w:sz w:val="16"/>
          <w:szCs w:val="16"/>
          <w:b w:val="1"/>
          <w:bCs w:val="1"/>
          <w:color w:val="auto"/>
        </w:rPr>
        <w:t xml:space="preserve"> </w:t>
      </w:r>
      <w:r>
        <w:rPr>
          <w:rFonts w:ascii="Arial" w:cs="Arial" w:eastAsia="Arial" w:hAnsi="Arial"/>
          <w:sz w:val="16"/>
          <w:szCs w:val="16"/>
          <w:color w:val="auto"/>
        </w:rPr>
        <w:t>advanced single-wafer cleaning tools. The Ultra-C Tahoe tool incorporates innovative and patented technology to deliver high cleaning performance, but uses 10% or less of the sulfuric acid typically consumed by conventional high temperature single wafer cleaning tools.</w:t>
      </w:r>
    </w:p>
    <w:p>
      <w:pPr>
        <w:spacing w:after="0" w:line="83"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New Production Facility. </w:t>
      </w:r>
      <w:r>
        <w:rPr>
          <w:rFonts w:ascii="Arial" w:cs="Arial" w:eastAsia="Arial" w:hAnsi="Arial"/>
          <w:sz w:val="18"/>
          <w:szCs w:val="18"/>
          <w:color w:val="auto"/>
        </w:rPr>
        <w:t>On September 28, 2018, ACM held an opening ceremony to mark the completion of its new production facility. The new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in the Pudong region of Shanghai, is approximately 20 kilometers from the Company's Shanghai headquarters. The new factory adds 50,000 square feet of available floor space to the 36,000 square feet of existing floor space at ACM’s initial facility.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9"/>
        </w:trPr>
        <w:tc>
          <w:tcPr>
            <w:tcW w:w="1500" w:type="dxa"/>
            <w:vAlign w:val="bottom"/>
            <w:tcBorders>
              <w:top w:val="single" w:sz="8" w:color="auto"/>
            </w:tcBorders>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8"/>
                <w:szCs w:val="18"/>
                <w:b w:val="1"/>
                <w:bCs w:val="1"/>
                <w:color w:val="auto"/>
                <w:w w:val="88"/>
              </w:rPr>
              <w:t>Three Months Ended September 30,</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5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GAAP</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Non-GAAP(1)</w:t>
            </w:r>
          </w:p>
        </w:tc>
      </w:tr>
      <w:tr>
        <w:trPr>
          <w:trHeight w:val="250"/>
        </w:trPr>
        <w:tc>
          <w:tcPr>
            <w:tcW w:w="15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540"/>
              <w:spacing w:after="0"/>
              <w:rPr>
                <w:sz w:val="20"/>
                <w:szCs w:val="20"/>
                <w:color w:val="auto"/>
              </w:rPr>
            </w:pPr>
            <w:r>
              <w:rPr>
                <w:rFonts w:ascii="Arial" w:cs="Arial" w:eastAsia="Arial" w:hAnsi="Arial"/>
                <w:sz w:val="18"/>
                <w:szCs w:val="18"/>
                <w:i w:val="1"/>
                <w:iCs w:val="1"/>
                <w:color w:val="auto"/>
                <w:w w:val="90"/>
              </w:rPr>
              <w:t>(dollars 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margin(2)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(967)</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Net income (loss) attributable to ACM Research, Inc.(2)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3,853</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4,264</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(612)</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(0.11)</w:t>
            </w:r>
          </w:p>
        </w:tc>
      </w:tr>
      <w:tr>
        <w:trPr>
          <w:trHeight w:val="460"/>
        </w:trPr>
        <w:tc>
          <w:tcPr>
            <w:tcW w:w="15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8"/>
                <w:szCs w:val="18"/>
                <w:b w:val="1"/>
                <w:bCs w:val="1"/>
                <w:color w:val="auto"/>
                <w:w w:val="88"/>
              </w:rPr>
              <w:t>Nine Months Ended September 30,</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5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GAAP</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Non-GAAP(1)</w:t>
            </w:r>
          </w:p>
        </w:tc>
      </w:tr>
      <w:tr>
        <w:trPr>
          <w:trHeight w:val="250"/>
        </w:trPr>
        <w:tc>
          <w:tcPr>
            <w:tcW w:w="15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5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5"/>
          </w:tcPr>
          <w:p>
            <w:pPr>
              <w:jc w:val="center"/>
              <w:ind w:right="540"/>
              <w:spacing w:after="0"/>
              <w:rPr>
                <w:sz w:val="20"/>
                <w:szCs w:val="20"/>
                <w:color w:val="auto"/>
              </w:rPr>
            </w:pPr>
            <w:r>
              <w:rPr>
                <w:rFonts w:ascii="Arial" w:cs="Arial" w:eastAsia="Arial" w:hAnsi="Arial"/>
                <w:sz w:val="18"/>
                <w:szCs w:val="18"/>
                <w:i w:val="1"/>
                <w:iCs w:val="1"/>
                <w:color w:val="auto"/>
                <w:w w:val="90"/>
              </w:rPr>
              <w:t>(dollars 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Gross margin(2)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operations(2)</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(1,073)</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Net income (loss) attributable to ACM Research, Inc.(2)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4,288</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(3,702)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7,059</w:t>
            </w:r>
          </w:p>
        </w:tc>
        <w:tc>
          <w:tcPr>
            <w:tcW w:w="2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(1,710)</w:t>
            </w: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EPS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(0.72)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(0.33)</w:t>
            </w:r>
          </w:p>
        </w:tc>
      </w:tr>
    </w:tbl>
    <w:p>
      <w:pPr>
        <w:spacing w:after="0" w:line="201" w:lineRule="exact"/>
        <w:rPr>
          <w:sz w:val="20"/>
          <w:szCs w:val="20"/>
          <w:color w:val="auto"/>
        </w:rPr>
      </w:pPr>
    </w:p>
    <w:p>
      <w:pPr>
        <w:ind w:left="660" w:right="4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financial measures exclude stock-based compensation.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All figures refer to the third quarter of 2018, unless noted otherwise. All comparisons are with the third quarter of 2017, unless otherwise noted.</w:t>
      </w:r>
    </w:p>
    <w:p>
      <w:pPr>
        <w:spacing w:after="0" w:line="175" w:lineRule="exact"/>
        <w:rPr>
          <w:sz w:val="20"/>
          <w:szCs w:val="20"/>
          <w:color w:val="auto"/>
        </w:rPr>
      </w:pPr>
    </w:p>
    <w:p>
      <w:pPr>
        <w:ind w:left="340" w:hanging="332"/>
        <w:spacing w:after="0" w:line="275"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increased 374% to $23.2 million, due to increased volume of tools shipped for revenue, higher price associated with these tools,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acceptance achieved during the quarter.</w:t>
      </w:r>
    </w:p>
    <w:p>
      <w:pPr>
        <w:spacing w:after="0" w:line="106" w:lineRule="exact"/>
        <w:rPr>
          <w:rFonts w:ascii="Arial" w:cs="Arial" w:eastAsia="Arial" w:hAnsi="Arial"/>
          <w:sz w:val="18"/>
          <w:szCs w:val="18"/>
          <w:b w:val="1"/>
          <w:bCs w:val="1"/>
          <w:color w:val="auto"/>
        </w:rPr>
      </w:pPr>
    </w:p>
    <w:p>
      <w:pPr>
        <w:jc w:val="both"/>
        <w:ind w:left="34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44.4%, compared to 45.0% in the third quarter of 2017. Gross margin was within the range of 40.0% to 45.0% set forth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business model. The Company expects gross margin to vary from period to period due to a variety of factors, such as sales volume and product mix.</w:t>
      </w:r>
    </w:p>
    <w:p>
      <w:pPr>
        <w:spacing w:after="0" w:line="118" w:lineRule="exact"/>
        <w:rPr>
          <w:rFonts w:ascii="Arial" w:cs="Arial" w:eastAsia="Arial" w:hAnsi="Arial"/>
          <w:sz w:val="18"/>
          <w:szCs w:val="18"/>
          <w:color w:val="auto"/>
        </w:rPr>
      </w:pPr>
    </w:p>
    <w:p>
      <w:pPr>
        <w:ind w:left="340" w:hanging="332"/>
        <w:spacing w:after="0" w:line="339"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were $6.9 million, an increase of 96%. Non-GAAP operating expenses which removes stock-based compensation, was $6.5 million, up</w:t>
      </w:r>
      <w:r>
        <w:rPr>
          <w:rFonts w:ascii="Arial" w:cs="Arial" w:eastAsia="Arial" w:hAnsi="Arial"/>
          <w:sz w:val="16"/>
          <w:szCs w:val="16"/>
          <w:b w:val="1"/>
          <w:bCs w:val="1"/>
          <w:color w:val="auto"/>
        </w:rPr>
        <w:t xml:space="preserve"> </w:t>
      </w:r>
      <w:r>
        <w:rPr>
          <w:rFonts w:ascii="Arial" w:cs="Arial" w:eastAsia="Arial" w:hAnsi="Arial"/>
          <w:sz w:val="16"/>
          <w:szCs w:val="16"/>
          <w:color w:val="auto"/>
        </w:rPr>
        <w:t>105%. Non-GAAP operating expenses as a percent of revenue decreased to 28%, versus 65% in the third quarter of 2017.</w:t>
      </w:r>
    </w:p>
    <w:p>
      <w:pPr>
        <w:spacing w:after="0" w:line="60"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attributable to ACM Research, Inc. was $3.9 million, compared to a net loss attributable to ACM Research, Inc. of $1.0 million in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2017. Non-GAAP net income attributable to ACM Research, Inc. was $4.3 million, versus a non-GAAP net loss attributable to ACM Research, Inc. of $0.6 million in the third quarter of 2017.</w:t>
      </w:r>
    </w:p>
    <w:p>
      <w:pPr>
        <w:spacing w:after="0" w:line="11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and equivalents at quarter-end were $18.2 million, up from $17.4 million at the end of the second quarter of 2018.</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raised its full year 2018 revenue guidance to $74 million, an increase of $4 million from the Company’s previous 2018 revenue 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conference call to discuss results will be held on Thursday, November 8, 2018 at 8:00 a.m. Eastern Time (9:00 p.m. China Time). Dial-in details for the call are as follows. Please reference conference ID 9572579.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Phone Number</w:t>
            </w:r>
          </w:p>
        </w:tc>
        <w:tc>
          <w:tcPr>
            <w:tcW w:w="1360" w:type="dxa"/>
            <w:vAlign w:val="bottom"/>
          </w:tcPr>
          <w:p>
            <w:pPr>
              <w:spacing w:after="0"/>
              <w:rPr>
                <w:sz w:val="20"/>
                <w:szCs w:val="20"/>
                <w:color w:val="auto"/>
              </w:rPr>
            </w:pPr>
            <w:r>
              <w:rPr>
                <w:rFonts w:ascii="Arial" w:cs="Arial" w:eastAsia="Arial" w:hAnsi="Arial"/>
                <w:sz w:val="18"/>
                <w:szCs w:val="18"/>
                <w:b w:val="1"/>
                <w:bCs w:val="1"/>
                <w:color w:val="auto"/>
                <w:w w:val="89"/>
              </w:rPr>
              <w:t>Toll-Free Number</w:t>
            </w:r>
          </w:p>
        </w:tc>
      </w:tr>
      <w:tr>
        <w:trPr>
          <w:trHeight w:val="20"/>
        </w:trPr>
        <w:tc>
          <w:tcPr>
            <w:tcW w:w="19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28"/>
        </w:trPr>
        <w:tc>
          <w:tcPr>
            <w:tcW w:w="1960" w:type="dxa"/>
            <w:vAlign w:val="bottom"/>
          </w:tcPr>
          <w:p>
            <w:pPr>
              <w:spacing w:after="0"/>
              <w:rPr>
                <w:sz w:val="20"/>
                <w:szCs w:val="20"/>
                <w:color w:val="auto"/>
              </w:rPr>
            </w:pPr>
            <w:r>
              <w:rPr>
                <w:rFonts w:ascii="Arial" w:cs="Arial" w:eastAsia="Arial" w:hAnsi="Arial"/>
                <w:sz w:val="18"/>
                <w:szCs w:val="18"/>
                <w:color w:val="auto"/>
              </w:rPr>
              <w:t>United States</w:t>
            </w:r>
          </w:p>
        </w:tc>
        <w:tc>
          <w:tcPr>
            <w:tcW w:w="2760" w:type="dxa"/>
            <w:vAlign w:val="bottom"/>
            <w:gridSpan w:val="2"/>
          </w:tcPr>
          <w:p>
            <w:pPr>
              <w:spacing w:after="0"/>
              <w:rPr>
                <w:sz w:val="20"/>
                <w:szCs w:val="20"/>
                <w:color w:val="auto"/>
              </w:rPr>
            </w:pPr>
            <w:r>
              <w:rPr>
                <w:rFonts w:ascii="Arial" w:cs="Arial" w:eastAsia="Arial" w:hAnsi="Arial"/>
                <w:sz w:val="18"/>
                <w:szCs w:val="18"/>
                <w:color w:val="auto"/>
              </w:rPr>
              <w:t>+1 (845) 675-0437</w:t>
            </w:r>
          </w:p>
        </w:tc>
        <w:tc>
          <w:tcPr>
            <w:tcW w:w="1360" w:type="dxa"/>
            <w:vAlign w:val="bottom"/>
          </w:tcPr>
          <w:p>
            <w:pPr>
              <w:spacing w:after="0"/>
              <w:rPr>
                <w:sz w:val="20"/>
                <w:szCs w:val="20"/>
                <w:color w:val="auto"/>
              </w:rPr>
            </w:pPr>
            <w:r>
              <w:rPr>
                <w:rFonts w:ascii="Arial" w:cs="Arial" w:eastAsia="Arial" w:hAnsi="Arial"/>
                <w:sz w:val="18"/>
                <w:szCs w:val="18"/>
                <w:color w:val="auto"/>
                <w:w w:val="90"/>
              </w:rPr>
              <w:t>+1 (866) 519-4004</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Hong Kong</w:t>
            </w:r>
          </w:p>
        </w:tc>
        <w:tc>
          <w:tcPr>
            <w:tcW w:w="2760" w:type="dxa"/>
            <w:vAlign w:val="bottom"/>
            <w:gridSpan w:val="2"/>
          </w:tcPr>
          <w:p>
            <w:pPr>
              <w:spacing w:after="0"/>
              <w:rPr>
                <w:sz w:val="20"/>
                <w:szCs w:val="20"/>
                <w:color w:val="auto"/>
              </w:rPr>
            </w:pPr>
            <w:r>
              <w:rPr>
                <w:rFonts w:ascii="Arial" w:cs="Arial" w:eastAsia="Arial" w:hAnsi="Arial"/>
                <w:sz w:val="18"/>
                <w:szCs w:val="18"/>
                <w:color w:val="auto"/>
              </w:rPr>
              <w:t>+852 3018 6771</w:t>
            </w:r>
          </w:p>
        </w:tc>
        <w:tc>
          <w:tcPr>
            <w:tcW w:w="1360" w:type="dxa"/>
            <w:vAlign w:val="bottom"/>
          </w:tcPr>
          <w:p>
            <w:pPr>
              <w:spacing w:after="0"/>
              <w:rPr>
                <w:sz w:val="20"/>
                <w:szCs w:val="20"/>
                <w:color w:val="auto"/>
              </w:rPr>
            </w:pPr>
            <w:r>
              <w:rPr>
                <w:rFonts w:ascii="Arial" w:cs="Arial" w:eastAsia="Arial" w:hAnsi="Arial"/>
                <w:sz w:val="18"/>
                <w:szCs w:val="18"/>
                <w:color w:val="auto"/>
                <w:w w:val="95"/>
              </w:rPr>
              <w:t>+852 8009 06601</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Mainland China</w:t>
            </w:r>
          </w:p>
        </w:tc>
        <w:tc>
          <w:tcPr>
            <w:tcW w:w="2760" w:type="dxa"/>
            <w:vAlign w:val="bottom"/>
            <w:gridSpan w:val="2"/>
          </w:tcPr>
          <w:p>
            <w:pPr>
              <w:spacing w:after="0"/>
              <w:rPr>
                <w:sz w:val="20"/>
                <w:szCs w:val="20"/>
                <w:color w:val="auto"/>
              </w:rPr>
            </w:pPr>
            <w:r>
              <w:rPr>
                <w:rFonts w:ascii="Arial" w:cs="Arial" w:eastAsia="Arial" w:hAnsi="Arial"/>
                <w:sz w:val="18"/>
                <w:szCs w:val="18"/>
                <w:color w:val="auto"/>
              </w:rPr>
              <w:t>+86 (800) 819 0121</w:t>
            </w:r>
          </w:p>
        </w:tc>
        <w:tc>
          <w:tcPr>
            <w:tcW w:w="13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+86 (400) 620 8038</w:t>
            </w:r>
          </w:p>
        </w:tc>
        <w:tc>
          <w:tcPr>
            <w:tcW w:w="1360" w:type="dxa"/>
            <w:vAlign w:val="bottom"/>
          </w:tcPr>
          <w:p>
            <w:pPr>
              <w:spacing w:after="0"/>
              <w:rPr>
                <w:sz w:val="18"/>
                <w:szCs w:val="18"/>
                <w:color w:val="auto"/>
              </w:rPr>
            </w:pP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Other International</w:t>
            </w:r>
          </w:p>
        </w:tc>
        <w:tc>
          <w:tcPr>
            <w:tcW w:w="1120" w:type="dxa"/>
            <w:vAlign w:val="bottom"/>
          </w:tcPr>
          <w:p>
            <w:pPr>
              <w:ind w:left="40"/>
              <w:spacing w:after="0"/>
              <w:rPr>
                <w:sz w:val="20"/>
                <w:szCs w:val="20"/>
                <w:color w:val="auto"/>
              </w:rPr>
            </w:pPr>
            <w:r>
              <w:rPr>
                <w:rFonts w:ascii="Arial" w:cs="Arial" w:eastAsia="Arial" w:hAnsi="Arial"/>
                <w:sz w:val="18"/>
                <w:szCs w:val="18"/>
                <w:color w:val="auto"/>
                <w:w w:val="87"/>
              </w:rPr>
              <w:t>+65 6713 5090</w:t>
            </w:r>
          </w:p>
        </w:tc>
        <w:tc>
          <w:tcPr>
            <w:tcW w:w="164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142" w:lineRule="exact"/>
        <w:rPr>
          <w:sz w:val="20"/>
          <w:szCs w:val="20"/>
          <w:color w:val="auto"/>
        </w:rPr>
      </w:pPr>
    </w:p>
    <w:p>
      <w:pPr>
        <w:ind w:right="840"/>
        <w:spacing w:after="0" w:line="422" w:lineRule="auto"/>
        <w:rPr>
          <w:sz w:val="20"/>
          <w:szCs w:val="20"/>
          <w:color w:val="auto"/>
        </w:rPr>
      </w:pPr>
      <w:r>
        <w:rPr>
          <w:rFonts w:ascii="Arial" w:cs="Arial" w:eastAsia="Arial" w:hAnsi="Arial"/>
          <w:sz w:val="18"/>
          <w:szCs w:val="18"/>
          <w:color w:val="auto"/>
        </w:rPr>
        <w:t xml:space="preserve">A recording of the webcast will be available on the investor page of the ACM Research website at </w:t>
      </w:r>
      <w:r>
        <w:rPr>
          <w:rFonts w:ascii="Arial" w:cs="Arial" w:eastAsia="Arial" w:hAnsi="Arial"/>
          <w:sz w:val="18"/>
          <w:szCs w:val="18"/>
          <w:u w:val="single" w:color="auto"/>
          <w:color w:val="0563C1"/>
        </w:rPr>
        <w:t>www.acmrcsh.com</w:t>
      </w:r>
      <w:r>
        <w:rPr>
          <w:rFonts w:ascii="Arial" w:cs="Arial" w:eastAsia="Arial" w:hAnsi="Arial"/>
          <w:sz w:val="18"/>
          <w:szCs w:val="18"/>
          <w:color w:val="auto"/>
        </w:rPr>
        <w:t xml:space="preserve"> for one week following the call. </w:t>
      </w:r>
      <w:r>
        <w:rPr>
          <w:rFonts w:ascii="Arial" w:cs="Arial" w:eastAsia="Arial" w:hAnsi="Arial"/>
          <w:sz w:val="18"/>
          <w:szCs w:val="18"/>
          <w:b w:val="1"/>
          <w:bCs w:val="1"/>
          <w:u w:val="single" w:color="auto"/>
          <w:color w:val="auto"/>
        </w:rPr>
        <w:t>Use of Non-GAAP Financial Measures</w:t>
      </w:r>
    </w:p>
    <w:p>
      <w:pPr>
        <w:spacing w:after="0" w:line="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ACM Research presents non-GAAP gross margin, operating income (loss) and net loss as supplemental measures to GAAP financial measures regarding ACM Research’s operational performance. These supplemental measures exclude the impact of stock-based compensation, which ACM Research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9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ACM Research believes these non-GAAP financial measures are useful to investors in assessing its operating performance. ACM Research uses these financial measures internally to evaluate its operating performance and for planning and forecasting of future periods. Financial analysts may focus on and publish both historical results and future projections based on the non-GAAP financial measures. ACM Research also believes it is in the best interests of investors for ACM Research to provide this non-GAAP information.</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ACM Research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 Research’s consolidated financial statements prepared in accordance with GAAP.</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Information presented in the third paragraph of this press release and under the heading “Outlook” above contains forward-looking statements for purposes of the safe harbor provisions of the Private Securities Litigation Reform Act of 1995. Actual results may vary significantly from ACM Research’s expectations based on a number of risks and uncertainties, including but not limited to the following: anticipated customer orders or identified market opportunities may not grow or develop as anticipated; customer orders already received may be postponed or canceled; suppliers may not be able to meet ACM Research’s demands on a timely basis; volatile global economic, market, industry and other conditions could result in sharply lower demand for products containing semiconductors and for the company's products and in disruption of capital and credit markets; ACM Research’s failure to successfully manage its operations; and trade regulations, currency fluctuations, political instability and war may materially adversely affect ACM Research due to its substantial non-U.S. customer and supplier base and its substantial non-U.S. manufacturing operations. ACM Research cannot guarantee any future results, levels of activity, performance or achievements. ACM Research expressly disclaims any obligation to update forward-looking statements after the date of this press release.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164"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ACM Research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49" w:lineRule="exact"/>
        <w:rPr>
          <w:sz w:val="20"/>
          <w:szCs w:val="20"/>
          <w:color w:val="auto"/>
        </w:rPr>
      </w:pPr>
    </w:p>
    <w:p>
      <w:pPr>
        <w:ind w:right="580" w:firstLine="8"/>
        <w:spacing w:after="0" w:line="268" w:lineRule="auto"/>
        <w:tabs>
          <w:tab w:leader="none" w:pos="168" w:val="left"/>
        </w:tabs>
        <w:numPr>
          <w:ilvl w:val="0"/>
          <w:numId w:val="5"/>
        </w:numPr>
        <w:rPr>
          <w:rFonts w:ascii="Arial" w:cs="Arial" w:eastAsia="Arial" w:hAnsi="Arial"/>
          <w:sz w:val="18"/>
          <w:szCs w:val="18"/>
          <w:color w:val="auto"/>
        </w:rPr>
      </w:pPr>
      <w:r>
        <w:rPr>
          <w:rFonts w:ascii="Arial" w:cs="Arial" w:eastAsia="Arial" w:hAnsi="Arial"/>
          <w:sz w:val="18"/>
          <w:szCs w:val="18"/>
          <w:color w:val="auto"/>
        </w:rPr>
        <w:t>ACM Research, Inc. The ACM Research logo is a trademark of ACM Research, Inc. All rights reserved. Any other trademarks are the property of their respective owners.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4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1920" w:type="dxa"/>
            <w:vAlign w:val="bottom"/>
            <w:gridSpan w:val="2"/>
          </w:tcPr>
          <w:p>
            <w:pPr>
              <w:spacing w:after="0"/>
              <w:rPr>
                <w:sz w:val="20"/>
                <w:szCs w:val="20"/>
                <w:color w:val="auto"/>
              </w:rPr>
            </w:pPr>
            <w:r>
              <w:rPr>
                <w:rFonts w:ascii="Arial" w:cs="Arial" w:eastAsia="Arial" w:hAnsi="Arial"/>
                <w:sz w:val="18"/>
                <w:szCs w:val="18"/>
                <w:color w:val="auto"/>
              </w:rPr>
              <w:t>The Blueshirt Group</w:t>
            </w:r>
          </w:p>
        </w:tc>
      </w:tr>
      <w:tr>
        <w:trPr>
          <w:trHeight w:val="228"/>
        </w:trPr>
        <w:tc>
          <w:tcPr>
            <w:tcW w:w="6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Ralph Fong</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r>
      <w:tr>
        <w:trPr>
          <w:trHeight w:val="184"/>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20" w:type="dxa"/>
            <w:vAlign w:val="bottom"/>
            <w:tcBorders>
              <w:bottom w:val="single" w:sz="8" w:color="0563C1"/>
            </w:tcBorders>
            <w:gridSpan w:val="2"/>
          </w:tcPr>
          <w:p>
            <w:pPr>
              <w:spacing w:after="0" w:line="184" w:lineRule="exact"/>
              <w:rPr>
                <w:sz w:val="20"/>
                <w:szCs w:val="20"/>
                <w:color w:val="auto"/>
              </w:rPr>
            </w:pPr>
            <w:r>
              <w:rPr>
                <w:rFonts w:ascii="Arial" w:cs="Arial" w:eastAsia="Arial" w:hAnsi="Arial"/>
                <w:sz w:val="18"/>
                <w:szCs w:val="18"/>
                <w:i w:val="1"/>
                <w:iCs w:val="1"/>
                <w:color w:val="0563C1"/>
                <w:w w:val="89"/>
              </w:rPr>
              <w:t>ralph@blueshirtgroup.com</w:t>
            </w:r>
          </w:p>
        </w:tc>
      </w:tr>
      <w:tr>
        <w:trPr>
          <w:trHeight w:val="412"/>
        </w:trPr>
        <w:tc>
          <w:tcPr>
            <w:tcW w:w="24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1920" w:type="dxa"/>
            <w:vAlign w:val="bottom"/>
            <w:gridSpan w:val="2"/>
          </w:tcPr>
          <w:p>
            <w:pPr>
              <w:spacing w:after="0"/>
              <w:rPr>
                <w:sz w:val="20"/>
                <w:szCs w:val="20"/>
                <w:color w:val="auto"/>
              </w:rPr>
            </w:pPr>
            <w:r>
              <w:rPr>
                <w:rFonts w:ascii="Arial" w:cs="Arial" w:eastAsia="Arial" w:hAnsi="Arial"/>
                <w:sz w:val="18"/>
                <w:szCs w:val="18"/>
                <w:color w:val="auto"/>
                <w:w w:val="94"/>
              </w:rPr>
              <w:t>The Blueshirt Group Asia</w:t>
            </w:r>
          </w:p>
        </w:tc>
      </w:tr>
      <w:tr>
        <w:trPr>
          <w:trHeight w:val="228"/>
        </w:trPr>
        <w:tc>
          <w:tcPr>
            <w:tcW w:w="6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Gary Dvorchak, CFA</w:t>
            </w:r>
          </w:p>
        </w:tc>
      </w:tr>
      <w:tr>
        <w:trPr>
          <w:trHeight w:val="216"/>
        </w:trPr>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r>
      <w:tr>
        <w:trPr>
          <w:trHeight w:val="184"/>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Borders>
              <w:bottom w:val="single" w:sz="8" w:color="0563C1"/>
            </w:tcBorders>
          </w:tcPr>
          <w:p>
            <w:pPr>
              <w:spacing w:after="0" w:line="184" w:lineRule="exact"/>
              <w:rPr>
                <w:sz w:val="20"/>
                <w:szCs w:val="20"/>
                <w:color w:val="auto"/>
              </w:rPr>
            </w:pPr>
            <w:r>
              <w:rPr>
                <w:rFonts w:ascii="Arial" w:cs="Arial" w:eastAsia="Arial" w:hAnsi="Arial"/>
                <w:sz w:val="18"/>
                <w:szCs w:val="18"/>
                <w:i w:val="1"/>
                <w:iCs w:val="1"/>
                <w:color w:val="0563C1"/>
                <w:w w:val="89"/>
              </w:rPr>
              <w:t>gary@blueshirtgroup.com</w:t>
            </w:r>
          </w:p>
        </w:tc>
        <w:tc>
          <w:tcPr>
            <w:tcW w:w="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5"/>
              </w:rPr>
              <w:t>September 30,</w:t>
            </w: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90"/>
              </w:rPr>
              <w:t>(unaudited)</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86"/>
              </w:rPr>
              <w:t>(in thousands, except share and</w:t>
            </w: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i w:val="1"/>
                <w:iCs w:val="1"/>
                <w:color w:val="auto"/>
                <w:w w:val="88"/>
              </w:rPr>
              <w:t>per share data)</w:t>
            </w:r>
          </w:p>
        </w:tc>
      </w:tr>
      <w:tr>
        <w:trPr>
          <w:trHeight w:val="243"/>
        </w:trPr>
        <w:tc>
          <w:tcPr>
            <w:tcW w:w="20" w:type="dxa"/>
            <w:vAlign w:val="bottom"/>
          </w:tcPr>
          <w:p>
            <w:pPr>
              <w:spacing w:after="0"/>
              <w:rPr>
                <w:sz w:val="21"/>
                <w:szCs w:val="21"/>
                <w:color w:val="auto"/>
              </w:rPr>
            </w:pPr>
          </w:p>
        </w:tc>
        <w:tc>
          <w:tcPr>
            <w:tcW w:w="8800" w:type="dxa"/>
            <w:vAlign w:val="bottom"/>
          </w:tcPr>
          <w:p>
            <w:pPr>
              <w:jc w:val="center"/>
              <w:ind w:right="52"/>
              <w:spacing w:after="0"/>
              <w:rPr>
                <w:sz w:val="20"/>
                <w:szCs w:val="20"/>
                <w:color w:val="auto"/>
              </w:rPr>
            </w:pPr>
            <w:r>
              <w:rPr>
                <w:rFonts w:ascii="Arial" w:cs="Arial" w:eastAsia="Arial" w:hAnsi="Arial"/>
                <w:sz w:val="18"/>
                <w:szCs w:val="18"/>
                <w:b w:val="1"/>
                <w:bCs w:val="1"/>
                <w:color w:val="auto"/>
                <w:w w:val="77"/>
              </w:rPr>
              <w:t>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89"/>
              </w:rPr>
              <w:t>Accounts receivable, less allowance for doubtful accounts of $0 as of September 30, 2018 and $0 as of December 31, 2017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affiliates, equity method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89,413</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Liabilities and 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10,163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5,095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Advances from customers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21,817</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 Class A, par value $0.0001: 100,000,000 shares authorized as of September 30, 2018 and December 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87"/>
              </w:rPr>
              <w:t>2017. 14,070,065 shares issued and outstanding as of September 30, 2018 and 12,935,546 shares issued and outstanding as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 December 31, 2017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2"/>
              </w:rPr>
              <w:t>Common stock–Class B, par value $0.0001: 7,303,533 shares authorized as of September 30, 2018 and December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w w:val="87"/>
              </w:rPr>
              <w:t>2017. 1,918,423 shares issued and outstanding as of September 30, 2018 and 2,409,738 shares issued and outstanding as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(9,961)</w:t>
            </w: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49,332</w:t>
            </w:r>
          </w:p>
        </w:tc>
        <w:tc>
          <w:tcPr>
            <w:tcW w:w="2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39,857</w:t>
            </w:r>
          </w:p>
        </w:tc>
        <w:tc>
          <w:tcPr>
            <w:tcW w:w="14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89,413</w:t>
            </w:r>
          </w:p>
        </w:tc>
        <w:tc>
          <w:tcPr>
            <w:tcW w:w="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641"/>
        </w:trPr>
        <w:tc>
          <w:tcPr>
            <w:tcW w:w="20" w:type="dxa"/>
            <w:vAlign w:val="bottom"/>
          </w:tcPr>
          <w:p>
            <w:pPr>
              <w:spacing w:after="0"/>
              <w:rPr>
                <w:sz w:val="24"/>
                <w:szCs w:val="24"/>
                <w:color w:val="auto"/>
              </w:rPr>
            </w:pPr>
          </w:p>
        </w:tc>
        <w:tc>
          <w:tcPr>
            <w:tcW w:w="880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740" w:type="dxa"/>
            <w:vAlign w:val="bottom"/>
            <w:gridSpan w:val="6"/>
          </w:tcPr>
          <w:p>
            <w:pPr>
              <w:jc w:val="center"/>
              <w:ind w:right="260"/>
              <w:spacing w:after="0"/>
              <w:rPr>
                <w:sz w:val="20"/>
                <w:szCs w:val="20"/>
                <w:color w:val="auto"/>
              </w:rPr>
            </w:pPr>
            <w:r>
              <w:rPr>
                <w:rFonts w:ascii="Arial" w:cs="Arial" w:eastAsia="Arial" w:hAnsi="Arial"/>
                <w:sz w:val="15"/>
                <w:szCs w:val="15"/>
                <w:b w:val="1"/>
                <w:bCs w:val="1"/>
                <w:color w:val="auto"/>
                <w:w w:val="89"/>
              </w:rPr>
              <w:t>Three Months Ended September 30,</w:t>
            </w:r>
          </w:p>
        </w:tc>
        <w:tc>
          <w:tcPr>
            <w:tcW w:w="100" w:type="dxa"/>
            <w:vAlign w:val="bottom"/>
          </w:tcPr>
          <w:p>
            <w:pPr>
              <w:spacing w:after="0"/>
              <w:rPr>
                <w:sz w:val="15"/>
                <w:szCs w:val="15"/>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89"/>
              </w:rPr>
              <w:t>Nine Months Ended September 30,</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83"/>
              </w:rPr>
              <w:t>2017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5"/>
                <w:szCs w:val="15"/>
                <w:b w:val="1"/>
                <w:bCs w:val="1"/>
                <w:color w:val="auto"/>
                <w:w w:val="95"/>
              </w:rPr>
              <w:t>2017</w:t>
            </w:r>
          </w:p>
        </w:tc>
        <w:tc>
          <w:tcPr>
            <w:tcW w:w="14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left="533"/>
              <w:spacing w:after="0"/>
              <w:rPr>
                <w:sz w:val="20"/>
                <w:szCs w:val="20"/>
                <w:color w:val="auto"/>
              </w:rPr>
            </w:pPr>
            <w:r>
              <w:rPr>
                <w:rFonts w:ascii="Arial" w:cs="Arial" w:eastAsia="Arial" w:hAnsi="Arial"/>
                <w:sz w:val="18"/>
                <w:szCs w:val="18"/>
                <w:i w:val="1"/>
                <w:iCs w:val="1"/>
                <w:color w:val="auto"/>
                <w:w w:val="91"/>
              </w:rPr>
              <w:t>(Unaudited)</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left="553"/>
              <w:spacing w:after="0"/>
              <w:rPr>
                <w:sz w:val="20"/>
                <w:szCs w:val="20"/>
                <w:color w:val="auto"/>
              </w:rPr>
            </w:pPr>
            <w:r>
              <w:rPr>
                <w:rFonts w:ascii="Arial" w:cs="Arial" w:eastAsia="Arial" w:hAnsi="Arial"/>
                <w:sz w:val="18"/>
                <w:szCs w:val="18"/>
                <w:i w:val="1"/>
                <w:iCs w:val="1"/>
                <w:color w:val="auto"/>
                <w:w w:val="91"/>
              </w:rPr>
              <w:t>(Unaudited)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8"/>
                <w:szCs w:val="18"/>
                <w:i w:val="1"/>
                <w:iCs w:val="1"/>
                <w:color w:val="auto"/>
                <w:w w:val="86"/>
              </w:rPr>
              <w:t>( In thousands, except share and</w:t>
            </w:r>
          </w:p>
        </w:tc>
        <w:tc>
          <w:tcPr>
            <w:tcW w:w="10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i w:val="1"/>
                <w:iCs w:val="1"/>
                <w:color w:val="auto"/>
                <w:w w:val="86"/>
              </w:rPr>
              <w:t>( In thousands, except share and</w:t>
            </w: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3"/>
          </w:tcPr>
          <w:p>
            <w:pPr>
              <w:jc w:val="center"/>
              <w:ind w:left="513"/>
              <w:spacing w:after="0"/>
              <w:rPr>
                <w:sz w:val="20"/>
                <w:szCs w:val="20"/>
                <w:color w:val="auto"/>
              </w:rPr>
            </w:pPr>
            <w:r>
              <w:rPr>
                <w:rFonts w:ascii="Arial" w:cs="Arial" w:eastAsia="Arial" w:hAnsi="Arial"/>
                <w:sz w:val="18"/>
                <w:szCs w:val="18"/>
                <w:i w:val="1"/>
                <w:iCs w:val="1"/>
                <w:color w:val="auto"/>
                <w:w w:val="88"/>
              </w:rPr>
              <w:t>per share data)</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i w:val="1"/>
                <w:iCs w:val="1"/>
                <w:color w:val="auto"/>
                <w:w w:val="88"/>
              </w:rPr>
              <w:t>per share data)</w:t>
            </w: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12,892</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Total operating expenses, net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(3,065)</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(3,766)</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(4,237)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3,853</w:t>
            </w:r>
          </w:p>
        </w:tc>
        <w:tc>
          <w:tcPr>
            <w:tcW w:w="26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4,288</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(3,702)</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4,288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(4,237)</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(3,745)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w w:val="92"/>
              </w:rPr>
              <w:t>Total comprehensive income (loss) attributable to ACM Research,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3,107</w:t>
            </w:r>
          </w:p>
        </w:tc>
        <w:tc>
          <w:tcPr>
            <w:tcW w:w="26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3,211</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(3,398)</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Net income (loss) attributable to ACM Research, Inc. per common share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(0.72)</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9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15,915,864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5,581,637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15,714,310</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5,148,255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20"/>
              <w:spacing w:after="0"/>
              <w:rPr>
                <w:sz w:val="20"/>
                <w:szCs w:val="20"/>
                <w:color w:val="auto"/>
              </w:rPr>
            </w:pPr>
            <w:r>
              <w:rPr>
                <w:rFonts w:ascii="Arial" w:cs="Arial" w:eastAsia="Arial" w:hAnsi="Arial"/>
                <w:sz w:val="18"/>
                <w:szCs w:val="18"/>
                <w:color w:val="auto"/>
              </w:rPr>
              <w:t>Diluted</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18,169,807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5,581,637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17,816,101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5,148,255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2900" w:type="dxa"/>
            <w:vAlign w:val="bottom"/>
            <w:vMerge w:val="restart"/>
          </w:tcPr>
          <w:p>
            <w:pPr>
              <w:jc w:val="right"/>
              <w:ind w:right="172"/>
              <w:spacing w:after="0"/>
              <w:rPr>
                <w:sz w:val="20"/>
                <w:szCs w:val="20"/>
                <w:color w:val="auto"/>
              </w:rPr>
            </w:pPr>
            <w:r>
              <w:rPr>
                <w:rFonts w:ascii="Arial" w:cs="Arial" w:eastAsia="Arial" w:hAnsi="Arial"/>
                <w:sz w:val="18"/>
                <w:szCs w:val="18"/>
                <w:color w:val="auto"/>
              </w:rPr>
              <w:t>-6-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3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5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As described under “Use of Non-GAAP Financial Measures” above, ACM Research presents non-GAAP gross margin, operating income and net income (loss) as supplemental measures to GAAP financial measures, each of which excludes stock-based compensation (“SBC”) from the equivalent GAAP financial line items. The following tables reconcile gross margin, operating income and net income (loss) to the related non-GAAP financial measures: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5"/>
              </w:rPr>
              <w:t>Actual</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58"/>
              <w:spacing w:after="0"/>
              <w:rPr>
                <w:sz w:val="20"/>
                <w:szCs w:val="20"/>
                <w:color w:val="auto"/>
              </w:rPr>
            </w:pPr>
            <w:r>
              <w:rPr>
                <w:rFonts w:ascii="Arial" w:cs="Arial" w:eastAsia="Arial" w:hAnsi="Arial"/>
                <w:sz w:val="15"/>
                <w:szCs w:val="15"/>
                <w:b w:val="1"/>
                <w:bCs w:val="1"/>
                <w:color w:val="auto"/>
                <w:w w:val="90"/>
              </w:rPr>
              <w:t>Adjusted</w:t>
            </w: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Actual</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Adjusted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97"/>
              </w:rPr>
              <w:t>(GAAP)</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(Non-GAAP)</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97"/>
              </w:rPr>
              <w:t>(GAAP)</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(Non-GAAP)</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i w:val="1"/>
                <w:iCs w:val="1"/>
                <w:color w:val="auto"/>
              </w:rPr>
              <w:t>(in</w:t>
            </w:r>
          </w:p>
        </w:tc>
        <w:tc>
          <w:tcPr>
            <w:tcW w:w="1140" w:type="dxa"/>
            <w:vAlign w:val="bottom"/>
            <w:gridSpan w:val="3"/>
          </w:tcPr>
          <w:p>
            <w:pPr>
              <w:jc w:val="right"/>
              <w:ind w:right="455"/>
              <w:spacing w:after="0"/>
              <w:rPr>
                <w:sz w:val="20"/>
                <w:szCs w:val="20"/>
                <w:color w:val="auto"/>
              </w:rPr>
            </w:pPr>
            <w:r>
              <w:rPr>
                <w:rFonts w:ascii="Arial" w:cs="Arial" w:eastAsia="Arial" w:hAnsi="Arial"/>
                <w:sz w:val="16"/>
                <w:szCs w:val="16"/>
                <w:i w:val="1"/>
                <w:iCs w:val="1"/>
                <w:color w:val="auto"/>
                <w:w w:val="73"/>
              </w:rPr>
              <w:t>thousands)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(12,892)</w:t>
            </w:r>
          </w:p>
        </w:tc>
        <w:tc>
          <w:tcPr>
            <w:tcW w:w="180" w:type="dxa"/>
            <w:vAlign w:val="bottom"/>
          </w:tcPr>
          <w:p>
            <w:pPr>
              <w:spacing w:after="0"/>
              <w:rPr>
                <w:sz w:val="18"/>
                <w:szCs w:val="18"/>
                <w:color w:val="auto"/>
              </w:rPr>
            </w:pPr>
          </w:p>
        </w:tc>
        <w:tc>
          <w:tcPr>
            <w:tcW w:w="960" w:type="dxa"/>
            <w:vAlign w:val="bottom"/>
            <w:gridSpan w:val="2"/>
          </w:tcPr>
          <w:p>
            <w:pPr>
              <w:jc w:val="right"/>
              <w:ind w:right="10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8"/>
                <w:szCs w:val="18"/>
                <w:color w:val="auto"/>
              </w:rPr>
              <w:t>(12,867)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(2,692)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(3,187)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(2,264)</w:t>
            </w:r>
          </w:p>
        </w:tc>
        <w:tc>
          <w:tcPr>
            <w:tcW w:w="180" w:type="dxa"/>
            <w:vAlign w:val="bottom"/>
          </w:tcPr>
          <w:p>
            <w:pPr>
              <w:spacing w:after="0"/>
              <w:rPr>
                <w:sz w:val="18"/>
                <w:szCs w:val="18"/>
                <w:color w:val="auto"/>
              </w:rPr>
            </w:pPr>
          </w:p>
        </w:tc>
        <w:tc>
          <w:tcPr>
            <w:tcW w:w="960" w:type="dxa"/>
            <w:vAlign w:val="bottom"/>
            <w:gridSpan w:val="2"/>
          </w:tcPr>
          <w:p>
            <w:pPr>
              <w:jc w:val="right"/>
              <w:ind w:right="10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3,404</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6"/>
              <w:spacing w:after="0"/>
              <w:rPr>
                <w:sz w:val="20"/>
                <w:szCs w:val="20"/>
                <w:color w:val="auto"/>
              </w:rPr>
            </w:pPr>
            <w:r>
              <w:rPr>
                <w:rFonts w:ascii="Arial" w:cs="Arial" w:eastAsia="Arial" w:hAnsi="Arial"/>
                <w:sz w:val="18"/>
                <w:szCs w:val="18"/>
                <w:color w:val="auto"/>
              </w:rPr>
              <w:t>(411)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(1,310)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5"/>
                <w:szCs w:val="15"/>
                <w:b w:val="1"/>
                <w:bCs w:val="1"/>
                <w:color w:val="auto"/>
                <w:w w:val="89"/>
              </w:rPr>
              <w:t>Nine Months Ended September 30,</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5"/>
              </w:rPr>
              <w:t>Actual</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58"/>
              <w:spacing w:after="0"/>
              <w:rPr>
                <w:sz w:val="20"/>
                <w:szCs w:val="20"/>
                <w:color w:val="auto"/>
              </w:rPr>
            </w:pPr>
            <w:r>
              <w:rPr>
                <w:rFonts w:ascii="Arial" w:cs="Arial" w:eastAsia="Arial" w:hAnsi="Arial"/>
                <w:sz w:val="15"/>
                <w:szCs w:val="15"/>
                <w:b w:val="1"/>
                <w:bCs w:val="1"/>
                <w:color w:val="auto"/>
                <w:w w:val="90"/>
              </w:rPr>
              <w:t>Adjusted</w:t>
            </w: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Actual</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Adjusted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97"/>
              </w:rPr>
              <w:t>(GAAP)</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(Non-GAAP)</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97"/>
              </w:rPr>
              <w:t>(GAAP)</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5"/>
                <w:szCs w:val="15"/>
                <w:b w:val="1"/>
                <w:bCs w:val="1"/>
                <w:color w:val="auto"/>
              </w:rPr>
              <w:t>SBC</w:t>
            </w: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(Non-GAAP)</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7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(29,662)</w:t>
            </w:r>
          </w:p>
        </w:tc>
        <w:tc>
          <w:tcPr>
            <w:tcW w:w="180" w:type="dxa"/>
            <w:vAlign w:val="bottom"/>
          </w:tcPr>
          <w:p>
            <w:pPr>
              <w:spacing w:after="0"/>
              <w:rPr>
                <w:sz w:val="18"/>
                <w:szCs w:val="18"/>
                <w:color w:val="auto"/>
              </w:rPr>
            </w:pPr>
          </w:p>
        </w:tc>
        <w:tc>
          <w:tcPr>
            <w:tcW w:w="960" w:type="dxa"/>
            <w:vAlign w:val="bottom"/>
            <w:gridSpan w:val="2"/>
          </w:tcPr>
          <w:p>
            <w:pPr>
              <w:jc w:val="right"/>
              <w:ind w:right="106"/>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8"/>
                <w:szCs w:val="18"/>
                <w:color w:val="auto"/>
              </w:rPr>
              <w:t>(29,618)</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(11,262)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24,133</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(7,651)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(6,224)</w:t>
            </w:r>
          </w:p>
        </w:tc>
        <w:tc>
          <w:tcPr>
            <w:tcW w:w="180" w:type="dxa"/>
            <w:vAlign w:val="bottom"/>
          </w:tcPr>
          <w:p>
            <w:pPr>
              <w:spacing w:after="0"/>
              <w:rPr>
                <w:sz w:val="18"/>
                <w:szCs w:val="18"/>
                <w:color w:val="auto"/>
              </w:rPr>
            </w:pPr>
          </w:p>
        </w:tc>
        <w:tc>
          <w:tcPr>
            <w:tcW w:w="960" w:type="dxa"/>
            <w:vAlign w:val="bottom"/>
            <w:gridSpan w:val="2"/>
          </w:tcPr>
          <w:p>
            <w:pPr>
              <w:jc w:val="right"/>
              <w:ind w:right="106"/>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000" w:type="dxa"/>
            <w:vAlign w:val="bottom"/>
            <w:gridSpan w:val="2"/>
          </w:tcPr>
          <w:p>
            <w:pPr>
              <w:jc w:val="right"/>
              <w:ind w:right="78"/>
              <w:spacing w:after="0"/>
              <w:rPr>
                <w:sz w:val="20"/>
                <w:szCs w:val="20"/>
                <w:color w:val="auto"/>
              </w:rPr>
            </w:pPr>
            <w:r>
              <w:rPr>
                <w:rFonts w:ascii="Arial" w:cs="Arial" w:eastAsia="Arial" w:hAnsi="Arial"/>
                <w:sz w:val="18"/>
                <w:szCs w:val="18"/>
                <w:color w:val="auto"/>
              </w:rPr>
              <w:t>(6,093)</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(3,076)</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(3,831)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3,831</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6"/>
              <w:spacing w:after="0"/>
              <w:rPr>
                <w:sz w:val="20"/>
                <w:szCs w:val="20"/>
                <w:color w:val="auto"/>
              </w:rPr>
            </w:pPr>
            <w:r>
              <w:rPr>
                <w:rFonts w:ascii="Arial" w:cs="Arial" w:eastAsia="Arial" w:hAnsi="Arial"/>
                <w:sz w:val="18"/>
                <w:szCs w:val="18"/>
                <w:color w:val="auto"/>
              </w:rPr>
              <w:t>(2,771)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6,602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(3,065)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(2,771)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7"/>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2019-12-28T18:08:38Z</dcterms:created>
  <dcterms:modified xsi:type="dcterms:W3CDTF">2019-12-28T18:08:38Z</dcterms:modified>
</cp:coreProperties>
</file>