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McKechnie Mark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11/19/2020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11/19/2020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7,500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16.81</w:t>
            </w:r>
          </w:p>
        </w:tc>
        <w:tc>
          <w:tcPr>
            <w:tcW w:w="118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7"/>
                <w:szCs w:val="17"/>
                <w:color w:val="0000FF"/>
              </w:rPr>
              <w:t>7,500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11/19/2020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7,500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74.45</w:t>
            </w: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jc w:val="center"/>
              <w:ind w:left="8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7,500</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16.81</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11/19/2020</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7,500</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04/22/2029</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w w:val="90"/>
              </w:rPr>
              <w:t>22,500</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-3371215</wp:posOffset>
            </wp:positionV>
            <wp:extent cx="7033260" cy="3413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1376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19, 2020, the reporting person exercised a previously issued stock option to purchase 7,500 shares of Class A Common Stock of the Issuer.</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5" w:lineRule="exact"/>
        <w:rPr>
          <w:rFonts w:ascii="Arial" w:cs="Arial" w:eastAsia="Arial" w:hAnsi="Arial"/>
          <w:sz w:val="13"/>
          <w:szCs w:val="13"/>
          <w:color w:val="008000"/>
        </w:rPr>
      </w:pPr>
    </w:p>
    <w:p>
      <w:pPr>
        <w:ind w:left="40" w:right="36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7,500 shares on April 23, 2020, and the remaining 22,500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11/20/2020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40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07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00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2020-11-20T16:32:54Z</dcterms:created>
  <dcterms:modified xsi:type="dcterms:W3CDTF">2020-11-20T16:32:54Z</dcterms:modified>
</cp:coreProperties>
</file>