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692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6923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Wang David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42307 OSGOOD ROAD, SUITE I</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ACM Research,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4"/>
        </w:trPr>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60" w:type="dxa"/>
            <w:vAlign w:val="bottom"/>
          </w:tcPr>
          <w:p>
            <w:pPr>
              <w:ind w:left="160"/>
              <w:spacing w:after="0"/>
              <w:rPr>
                <w:sz w:val="20"/>
                <w:szCs w:val="20"/>
                <w:color w:val="auto"/>
              </w:rPr>
            </w:pPr>
            <w:r>
              <w:rPr>
                <w:rFonts w:ascii="Arial" w:cs="Arial" w:eastAsia="Arial" w:hAnsi="Arial"/>
                <w:sz w:val="18"/>
                <w:szCs w:val="18"/>
                <w:color w:val="0000FF"/>
              </w:rPr>
              <w:t>X</w:t>
            </w:r>
          </w:p>
        </w:tc>
        <w:tc>
          <w:tcPr>
            <w:tcW w:w="1200" w:type="dxa"/>
            <w:vAlign w:val="bottom"/>
          </w:tcPr>
          <w:p>
            <w:pPr>
              <w:ind w:left="4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460" w:type="dxa"/>
            <w:vAlign w:val="bottom"/>
          </w:tcPr>
          <w:p>
            <w:pPr>
              <w:spacing w:after="0"/>
              <w:rPr>
                <w:sz w:val="17"/>
                <w:szCs w:val="17"/>
                <w:color w:val="auto"/>
              </w:rPr>
            </w:pPr>
          </w:p>
        </w:tc>
        <w:tc>
          <w:tcPr>
            <w:tcW w:w="1200" w:type="dxa"/>
            <w:vAlign w:val="bottom"/>
          </w:tcPr>
          <w:p>
            <w:pPr>
              <w:ind w:left="4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460" w:type="dxa"/>
            <w:vAlign w:val="bottom"/>
          </w:tcPr>
          <w:p>
            <w:pPr>
              <w:spacing w:after="0"/>
              <w:rPr>
                <w:sz w:val="9"/>
                <w:szCs w:val="9"/>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56"/>
        </w:trPr>
        <w:tc>
          <w:tcPr>
            <w:tcW w:w="4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20" w:type="dxa"/>
            <w:vAlign w:val="bottom"/>
          </w:tcPr>
          <w:p>
            <w:pPr>
              <w:spacing w:after="0"/>
              <w:rPr>
                <w:sz w:val="22"/>
                <w:szCs w:val="22"/>
                <w:color w:val="auto"/>
              </w:rPr>
            </w:pPr>
          </w:p>
        </w:tc>
        <w:tc>
          <w:tcPr>
            <w:tcW w:w="1700" w:type="dxa"/>
            <w:vAlign w:val="bottom"/>
            <w:gridSpan w:val="2"/>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6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6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Indirect (I)</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6"/>
              </w:rPr>
              <w:t>166,667</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9"/>
              </w:rPr>
              <w:t>1,146,934</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3"/>
              </w:rPr>
              <w:t>By the David Hui Wang and Jing Chen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7"/>
              </w:rPr>
              <w:t>60,000</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18"/>
                <w:szCs w:val="18"/>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Family Irrevocable Trust for Wang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0000FF"/>
              </w:rPr>
              <w:t>Children</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3"/>
              </w:rPr>
              <w:t>By the David Hui Wang and Jing Chen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8"/>
              </w:rPr>
              <w:t>7,334</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18"/>
                <w:szCs w:val="18"/>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Family Irrevocable Trust for Wang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0000FF"/>
              </w:rPr>
              <w:t>Children</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6"/>
              </w:rPr>
              <w:t>206,667</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3"/>
                <w:szCs w:val="23"/>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3"/>
              </w:rPr>
              <w:t>By the Wang-Chen Family Living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7"/>
              </w:rPr>
              <w:t>33,334</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3"/>
                <w:szCs w:val="23"/>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7"/>
              </w:rPr>
              <w:t>By Jing Chen, wife of David H. Wang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jc w:val="center"/>
              <w:ind w:right="116"/>
              <w:spacing w:after="0"/>
              <w:rPr>
                <w:sz w:val="20"/>
                <w:szCs w:val="20"/>
                <w:color w:val="auto"/>
              </w:rPr>
            </w:pPr>
            <w:r>
              <w:rPr>
                <w:rFonts w:ascii="Arial" w:cs="Arial" w:eastAsia="Arial" w:hAnsi="Arial"/>
                <w:sz w:val="18"/>
                <w:szCs w:val="18"/>
                <w:color w:val="0000FF"/>
                <w:w w:val="86"/>
              </w:rPr>
              <w:t>117,334</w:t>
            </w:r>
          </w:p>
        </w:tc>
        <w:tc>
          <w:tcPr>
            <w:tcW w:w="820" w:type="dxa"/>
            <w:vAlign w:val="bottom"/>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3"/>
                <w:szCs w:val="23"/>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4"/>
              </w:rPr>
              <w:t>By Brian Wang, son of David H. Wang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vMerge w:val="restart"/>
          </w:tcPr>
          <w:p>
            <w:pPr>
              <w:jc w:val="center"/>
              <w:ind w:right="116"/>
              <w:spacing w:after="0"/>
              <w:rPr>
                <w:sz w:val="20"/>
                <w:szCs w:val="20"/>
                <w:color w:val="auto"/>
              </w:rPr>
            </w:pPr>
            <w:r>
              <w:rPr>
                <w:rFonts w:ascii="Arial" w:cs="Arial" w:eastAsia="Arial" w:hAnsi="Arial"/>
                <w:sz w:val="18"/>
                <w:szCs w:val="18"/>
                <w:color w:val="0000FF"/>
                <w:w w:val="86"/>
              </w:rPr>
              <w:t>117,334</w:t>
            </w:r>
          </w:p>
        </w:tc>
        <w:tc>
          <w:tcPr>
            <w:tcW w:w="820" w:type="dxa"/>
            <w:vAlign w:val="bottom"/>
            <w:vMerge w:val="restart"/>
          </w:tcPr>
          <w:p>
            <w:pPr>
              <w:jc w:val="center"/>
              <w:ind w:left="361"/>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2"/>
                <w:szCs w:val="22"/>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w w:val="93"/>
              </w:rPr>
              <w:t>By Sophia Wang, daughter of David 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restart"/>
          </w:tcPr>
          <w:p>
            <w:pPr>
              <w:ind w:left="220"/>
              <w:spacing w:after="0"/>
              <w:rPr>
                <w:sz w:val="20"/>
                <w:szCs w:val="20"/>
                <w:color w:val="auto"/>
              </w:rPr>
            </w:pPr>
            <w:r>
              <w:rPr>
                <w:rFonts w:ascii="Arial" w:cs="Arial" w:eastAsia="Arial" w:hAnsi="Arial"/>
                <w:sz w:val="18"/>
                <w:szCs w:val="18"/>
                <w:color w:val="0000FF"/>
                <w:w w:val="84"/>
              </w:rPr>
              <w:t>Wang</w:t>
            </w:r>
          </w:p>
        </w:tc>
        <w:tc>
          <w:tcPr>
            <w:tcW w:w="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4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05/01/2021</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jc w:val="center"/>
              <w:ind w:left="21"/>
              <w:spacing w:after="0"/>
              <w:rPr>
                <w:sz w:val="20"/>
                <w:szCs w:val="20"/>
                <w:color w:val="auto"/>
              </w:rPr>
            </w:pPr>
            <w:r>
              <w:rPr>
                <w:rFonts w:ascii="Arial" w:cs="Arial" w:eastAsia="Arial" w:hAnsi="Arial"/>
                <w:sz w:val="18"/>
                <w:szCs w:val="18"/>
                <w:color w:val="0000FF"/>
                <w:w w:val="86"/>
              </w:rPr>
              <w:t>133,334</w:t>
            </w:r>
          </w:p>
        </w:tc>
        <w:tc>
          <w:tcPr>
            <w:tcW w:w="280" w:type="dxa"/>
            <w:vAlign w:val="bottom"/>
          </w:tcPr>
          <w:p>
            <w:pPr>
              <w:spacing w:after="0"/>
              <w:rPr>
                <w:sz w:val="23"/>
                <w:szCs w:val="23"/>
                <w:color w:val="auto"/>
              </w:rPr>
            </w:pPr>
          </w:p>
        </w:tc>
        <w:tc>
          <w:tcPr>
            <w:tcW w:w="640" w:type="dxa"/>
            <w:vAlign w:val="bottom"/>
          </w:tcPr>
          <w:p>
            <w:pPr>
              <w:jc w:val="center"/>
              <w:ind w:right="234"/>
              <w:spacing w:after="0"/>
              <w:rPr>
                <w:sz w:val="20"/>
                <w:szCs w:val="20"/>
                <w:color w:val="auto"/>
              </w:rPr>
            </w:pPr>
            <w:r>
              <w:rPr>
                <w:rFonts w:ascii="Arial" w:cs="Arial" w:eastAsia="Arial" w:hAnsi="Arial"/>
                <w:sz w:val="18"/>
                <w:szCs w:val="18"/>
                <w:color w:val="0000FF"/>
                <w:w w:val="91"/>
              </w:rPr>
              <w:t>0.75</w:t>
            </w:r>
          </w:p>
        </w:tc>
        <w:tc>
          <w:tcPr>
            <w:tcW w:w="8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05/01/2021</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jc w:val="center"/>
              <w:ind w:left="21"/>
              <w:spacing w:after="0"/>
              <w:rPr>
                <w:sz w:val="20"/>
                <w:szCs w:val="20"/>
                <w:color w:val="auto"/>
              </w:rPr>
            </w:pPr>
            <w:r>
              <w:rPr>
                <w:rFonts w:ascii="Arial" w:cs="Arial" w:eastAsia="Arial" w:hAnsi="Arial"/>
                <w:sz w:val="18"/>
                <w:szCs w:val="18"/>
                <w:color w:val="0000FF"/>
                <w:w w:val="86"/>
              </w:rPr>
              <w:t>166,667</w:t>
            </w:r>
          </w:p>
        </w:tc>
        <w:tc>
          <w:tcPr>
            <w:tcW w:w="280" w:type="dxa"/>
            <w:vAlign w:val="bottom"/>
          </w:tcPr>
          <w:p>
            <w:pPr>
              <w:spacing w:after="0"/>
              <w:rPr>
                <w:sz w:val="23"/>
                <w:szCs w:val="23"/>
                <w:color w:val="auto"/>
              </w:rPr>
            </w:pPr>
          </w:p>
        </w:tc>
        <w:tc>
          <w:tcPr>
            <w:tcW w:w="640" w:type="dxa"/>
            <w:vAlign w:val="bottom"/>
          </w:tcPr>
          <w:p>
            <w:pPr>
              <w:jc w:val="center"/>
              <w:ind w:right="234"/>
              <w:spacing w:after="0"/>
              <w:rPr>
                <w:sz w:val="20"/>
                <w:szCs w:val="20"/>
                <w:color w:val="auto"/>
              </w:rPr>
            </w:pPr>
            <w:r>
              <w:rPr>
                <w:rFonts w:ascii="Arial" w:cs="Arial" w:eastAsia="Arial" w:hAnsi="Arial"/>
                <w:sz w:val="18"/>
                <w:szCs w:val="18"/>
                <w:color w:val="0000FF"/>
                <w:w w:val="91"/>
              </w:rPr>
              <w:t>0.75</w:t>
            </w:r>
          </w:p>
        </w:tc>
        <w:tc>
          <w:tcPr>
            <w:tcW w:w="8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05/01/2025</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jc w:val="center"/>
              <w:ind w:left="21"/>
              <w:spacing w:after="0"/>
              <w:rPr>
                <w:sz w:val="20"/>
                <w:szCs w:val="20"/>
                <w:color w:val="auto"/>
              </w:rPr>
            </w:pPr>
            <w:r>
              <w:rPr>
                <w:rFonts w:ascii="Arial" w:cs="Arial" w:eastAsia="Arial" w:hAnsi="Arial"/>
                <w:sz w:val="18"/>
                <w:szCs w:val="18"/>
                <w:color w:val="0000FF"/>
                <w:w w:val="86"/>
              </w:rPr>
              <w:t>400,000</w:t>
            </w:r>
          </w:p>
        </w:tc>
        <w:tc>
          <w:tcPr>
            <w:tcW w:w="280" w:type="dxa"/>
            <w:vAlign w:val="bottom"/>
          </w:tcPr>
          <w:p>
            <w:pPr>
              <w:spacing w:after="0"/>
              <w:rPr>
                <w:sz w:val="23"/>
                <w:szCs w:val="23"/>
                <w:color w:val="auto"/>
              </w:rPr>
            </w:pPr>
          </w:p>
        </w:tc>
        <w:tc>
          <w:tcPr>
            <w:tcW w:w="640" w:type="dxa"/>
            <w:vAlign w:val="bottom"/>
          </w:tcPr>
          <w:p>
            <w:pPr>
              <w:jc w:val="center"/>
              <w:ind w:right="214"/>
              <w:spacing w:after="0"/>
              <w:rPr>
                <w:sz w:val="20"/>
                <w:szCs w:val="20"/>
                <w:color w:val="auto"/>
              </w:rPr>
            </w:pPr>
            <w:r>
              <w:rPr>
                <w:rFonts w:ascii="Arial" w:cs="Arial" w:eastAsia="Arial" w:hAnsi="Arial"/>
                <w:sz w:val="18"/>
                <w:szCs w:val="18"/>
                <w:color w:val="0000FF"/>
                <w:w w:val="87"/>
              </w:rPr>
              <w:t>1.5</w:t>
            </w:r>
          </w:p>
        </w:tc>
        <w:tc>
          <w:tcPr>
            <w:tcW w:w="8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12/27/2026</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jc w:val="center"/>
              <w:ind w:left="21"/>
              <w:spacing w:after="0"/>
              <w:rPr>
                <w:sz w:val="20"/>
                <w:szCs w:val="20"/>
                <w:color w:val="auto"/>
              </w:rPr>
            </w:pPr>
            <w:r>
              <w:rPr>
                <w:rFonts w:ascii="Arial" w:cs="Arial" w:eastAsia="Arial" w:hAnsi="Arial"/>
                <w:sz w:val="18"/>
                <w:szCs w:val="18"/>
                <w:color w:val="0000FF"/>
                <w:w w:val="86"/>
              </w:rPr>
              <w:t>333,334</w:t>
            </w:r>
          </w:p>
        </w:tc>
        <w:tc>
          <w:tcPr>
            <w:tcW w:w="280" w:type="dxa"/>
            <w:vAlign w:val="bottom"/>
          </w:tcPr>
          <w:p>
            <w:pPr>
              <w:spacing w:after="0"/>
              <w:rPr>
                <w:sz w:val="23"/>
                <w:szCs w:val="23"/>
                <w:color w:val="auto"/>
              </w:rPr>
            </w:pPr>
          </w:p>
        </w:tc>
        <w:tc>
          <w:tcPr>
            <w:tcW w:w="640" w:type="dxa"/>
            <w:vAlign w:val="bottom"/>
          </w:tcPr>
          <w:p>
            <w:pPr>
              <w:jc w:val="center"/>
              <w:ind w:right="234"/>
              <w:spacing w:after="0"/>
              <w:rPr>
                <w:sz w:val="20"/>
                <w:szCs w:val="20"/>
                <w:color w:val="auto"/>
              </w:rPr>
            </w:pPr>
            <w:r>
              <w:rPr>
                <w:rFonts w:ascii="Arial" w:cs="Arial" w:eastAsia="Arial" w:hAnsi="Arial"/>
                <w:sz w:val="18"/>
                <w:szCs w:val="18"/>
                <w:color w:val="0000FF"/>
                <w:w w:val="79"/>
              </w:rPr>
              <w:t>3</w:t>
            </w:r>
          </w:p>
        </w:tc>
        <w:tc>
          <w:tcPr>
            <w:tcW w:w="8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Sophia Wang,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12/27/2026</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jc w:val="center"/>
              <w:ind w:left="21"/>
              <w:spacing w:after="0"/>
              <w:rPr>
                <w:sz w:val="20"/>
                <w:szCs w:val="20"/>
                <w:color w:val="auto"/>
              </w:rPr>
            </w:pPr>
            <w:r>
              <w:rPr>
                <w:rFonts w:ascii="Arial" w:cs="Arial" w:eastAsia="Arial" w:hAnsi="Arial"/>
                <w:sz w:val="18"/>
                <w:szCs w:val="18"/>
                <w:color w:val="0000FF"/>
                <w:w w:val="87"/>
              </w:rPr>
              <w:t>18,334</w:t>
            </w:r>
          </w:p>
        </w:tc>
        <w:tc>
          <w:tcPr>
            <w:tcW w:w="280" w:type="dxa"/>
            <w:vAlign w:val="bottom"/>
          </w:tcPr>
          <w:p>
            <w:pPr>
              <w:spacing w:after="0"/>
              <w:rPr>
                <w:sz w:val="18"/>
                <w:szCs w:val="18"/>
                <w:color w:val="auto"/>
              </w:rPr>
            </w:pPr>
          </w:p>
        </w:tc>
        <w:tc>
          <w:tcPr>
            <w:tcW w:w="640" w:type="dxa"/>
            <w:vAlign w:val="bottom"/>
          </w:tcPr>
          <w:p>
            <w:pPr>
              <w:jc w:val="center"/>
              <w:ind w:right="234"/>
              <w:spacing w:after="0"/>
              <w:rPr>
                <w:sz w:val="20"/>
                <w:szCs w:val="20"/>
                <w:color w:val="auto"/>
              </w:rPr>
            </w:pPr>
            <w:r>
              <w:rPr>
                <w:rFonts w:ascii="Arial" w:cs="Arial" w:eastAsia="Arial" w:hAnsi="Arial"/>
                <w:sz w:val="18"/>
                <w:szCs w:val="18"/>
                <w:color w:val="0000FF"/>
                <w:w w:val="79"/>
              </w:rPr>
              <w:t>3</w:t>
            </w:r>
          </w:p>
        </w:tc>
        <w:tc>
          <w:tcPr>
            <w:tcW w:w="84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daughter of David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H. Wang</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was fully vested on May 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was fully vested on May 1, 2011.</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100,000 shares on May 1, 2016 and the remaining 300,000 shares vest and become exercisable in equal monthly installments over the following 36 months, subject to continued service through each vesting date.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will vest and become exercisable as to 83,333 shares on January 1, 2018 and the remaining 250,001 shares will vest and become exercisable in equal monthly installments over the following 36 months, subject to continued service through each vesting date.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9,167 shares on July 5, 2017 and the remaining 9,167 shares vest and become exercisable in equal monthly installments over the following 12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Chief Executive Officer, President and Director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0"/>
              </w:rPr>
              <w:t>/s/ Mark L Johnson, Attorney-</w:t>
            </w:r>
          </w:p>
        </w:tc>
        <w:tc>
          <w:tcPr>
            <w:tcW w:w="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84"/>
              </w:rPr>
              <w:t>11/02/2017</w:t>
            </w:r>
          </w:p>
        </w:tc>
      </w:tr>
      <w:tr>
        <w:trPr>
          <w:trHeight w:val="196"/>
        </w:trPr>
        <w:tc>
          <w:tcPr>
            <w:tcW w:w="19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0"/>
              </w:rPr>
              <w:t>in-Fact for David H. Wang</w:t>
            </w:r>
          </w:p>
        </w:tc>
        <w:tc>
          <w:tcPr>
            <w:tcW w:w="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1580"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2019-12-04T02:37:02Z</dcterms:created>
  <dcterms:modified xsi:type="dcterms:W3CDTF">2019-12-04T02:37:02Z</dcterms:modified>
</cp:coreProperties>
</file>