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4, 2023</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66"/>
        </w:trPr>
        <w:tc>
          <w:tcPr>
            <w:tcW w:w="520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Title of each class</w:t>
            </w:r>
          </w:p>
        </w:tc>
        <w:tc>
          <w:tcPr>
            <w:tcW w:w="22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w:t>
            </w:r>
          </w:p>
        </w:tc>
        <w:tc>
          <w:tcPr>
            <w:tcW w:w="220" w:type="dxa"/>
            <w:vAlign w:val="bottom"/>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Class A Common Stock, par value $0.0001 per share</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ACMR</w:t>
            </w:r>
          </w:p>
        </w:tc>
        <w:tc>
          <w:tcPr>
            <w:tcW w:w="22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4"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201"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2023, we issued a press release announcing financial results for the second quarter of 2023. The full text of the press release is furnished as Exhibit 99.01 hereto and is incorporated herein by reference</w:t>
      </w:r>
      <w:r>
        <w:rPr>
          <w:rFonts w:ascii="Arial" w:cs="Arial" w:eastAsia="Arial" w:hAnsi="Arial"/>
          <w:sz w:val="18"/>
          <w:szCs w:val="18"/>
          <w:i w:val="1"/>
          <w:iCs w:val="1"/>
          <w:color w:val="auto"/>
        </w:rPr>
        <w: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held an investor conference call on August 4, 2023 to discuss, among other things, the information described in the release and complementary matters. That discussion is included in the script for such call that is furnished as Exhibit 99.02 to this Current Report on Form 8-K and is incorporated herein by reference.</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held an investor conference call on August 4, 2023. The script for such call is furnished as Exhibit 99.02 to this Current Report on Form 8-K.</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Item 7.01, including Exhibit 99.02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ind w:left="160"/>
        <w:spacing w:after="0"/>
        <w:tabs>
          <w:tab w:leader="none" w:pos="57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40"/>
        <w:spacing w:after="0"/>
        <w:tabs>
          <w:tab w:leader="none" w:pos="1080" w:val="left"/>
        </w:tabs>
        <w:rPr>
          <w:sz w:val="20"/>
          <w:szCs w:val="20"/>
          <w:color w:val="auto"/>
        </w:rPr>
      </w:pPr>
      <w:r>
        <w:rPr>
          <w:rFonts w:ascii="Arial" w:cs="Arial" w:eastAsia="Arial" w:hAnsi="Arial"/>
          <w:sz w:val="18"/>
          <w:szCs w:val="18"/>
          <w:u w:val="single" w:color="auto"/>
          <w:color w:val="0000EE"/>
        </w:rPr>
        <w:t>99.01</w:t>
      </w:r>
      <w:r>
        <w:rPr>
          <w:sz w:val="20"/>
          <w:szCs w:val="20"/>
          <w:color w:val="auto"/>
        </w:rPr>
        <w:tab/>
      </w:r>
      <w:r>
        <w:rPr>
          <w:rFonts w:ascii="Arial" w:cs="Arial" w:eastAsia="Arial" w:hAnsi="Arial"/>
          <w:sz w:val="15"/>
          <w:szCs w:val="15"/>
          <w:color w:val="auto"/>
        </w:rPr>
        <w:t>Press Release of ACM Research, Inc. dated August 4, 2023</w:t>
      </w:r>
    </w:p>
    <w:p>
      <w:pPr>
        <w:spacing w:after="0" w:line="225" w:lineRule="exact"/>
        <w:rPr>
          <w:sz w:val="20"/>
          <w:szCs w:val="20"/>
          <w:color w:val="auto"/>
        </w:rPr>
      </w:pPr>
    </w:p>
    <w:p>
      <w:pPr>
        <w:ind w:left="240"/>
        <w:spacing w:after="0"/>
        <w:tabs>
          <w:tab w:leader="none" w:pos="1080" w:val="left"/>
        </w:tabs>
        <w:rPr>
          <w:sz w:val="20"/>
          <w:szCs w:val="20"/>
          <w:color w:val="auto"/>
        </w:rPr>
      </w:pPr>
      <w:r>
        <w:rPr>
          <w:rFonts w:ascii="Arial" w:cs="Arial" w:eastAsia="Arial" w:hAnsi="Arial"/>
          <w:sz w:val="18"/>
          <w:szCs w:val="18"/>
          <w:u w:val="single" w:color="auto"/>
          <w:color w:val="0000EE"/>
        </w:rPr>
        <w:t>99.02</w:t>
      </w:r>
      <w:r>
        <w:rPr>
          <w:sz w:val="20"/>
          <w:szCs w:val="20"/>
          <w:color w:val="auto"/>
        </w:rPr>
        <w:tab/>
      </w:r>
      <w:r>
        <w:rPr>
          <w:rFonts w:ascii="Arial" w:cs="Arial" w:eastAsia="Arial" w:hAnsi="Arial"/>
          <w:sz w:val="16"/>
          <w:szCs w:val="16"/>
          <w:color w:val="auto"/>
        </w:rPr>
        <w:t>Script of conference call of ACM Research, Inc. held August 4, 2023</w:t>
      </w:r>
    </w:p>
    <w:p>
      <w:pPr>
        <w:spacing w:after="0" w:line="225"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21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165100</wp:posOffset>
            </wp:positionV>
            <wp:extent cx="82296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29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Second Quarter 2023 Results</w:t>
      </w:r>
    </w:p>
    <w:p>
      <w:pPr>
        <w:spacing w:after="0" w:line="256"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FREMONT, Calif., August 04, 2023 (Globe Newswire) – ACM Research, Inc. (“ACM” or the “Company”) (NASDAQ: ACMR), a leading supplier of wafer processing solutions for semiconductor and advanced wafer-level packaging applications, today reported financial results for its second quarter ended June 30, 2023.</w:t>
      </w:r>
    </w:p>
    <w:p>
      <w:pPr>
        <w:spacing w:after="0" w:line="211"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“I am pleased with our second quarter results, with strong revenue growth and good profitability, as our operations have largely returned to a “new-normal” following several years of COVID-related disruptions,” said ACM’s President and Chief Executive Officer, Dr. David Wang. “Our results demonstrate good spending on mature nodes and market share gains at our customer base, together with penetration from new products and new customers.”</w:t>
      </w:r>
    </w:p>
    <w:p>
      <w:pPr>
        <w:spacing w:after="0" w:line="21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Dr. Wang continued, “We continue to expect growth in 2023, driven by continued investments in mature node capacity by our China-based customers, and growing traction for our multi-product portfolio. We are moving forward with longer-term growth initiatives, with technical progress for our Track and PECVD platforms, continued evaluation of two cleaning tools at the U.S. facility of a major U.S.-based semiconductor manufacturer, and we plan to deliver our first evaluation tool to a major European semiconductor manufacturer during the fourth quarter of 2023. We are excited to begin initial production at our facility in Lingang, Shanghai later this year, and we continue to expand our operations in Korea to support the global market opportunity.”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4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Arial" w:cs="Arial" w:eastAsia="Arial" w:hAnsi="Arial"/>
                <w:sz w:val="18"/>
                <w:szCs w:val="18"/>
                <w:i w:val="1"/>
                <w:iCs w:val="1"/>
                <w:color w:val="auto"/>
                <w:w w:val="98"/>
              </w:rPr>
              <w:t>(dollars in thousands, except EPS)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144,577</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104,395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144,577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104,395</w:t>
            </w: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margin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30,430</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20,035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32,447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w:t>
            </w: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26,825</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12,236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31,297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14,628</w:t>
            </w: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Diluted EPS</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0.48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20"/>
                <w:szCs w:val="20"/>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b w:val="1"/>
                <w:bCs w:val="1"/>
                <w:color w:val="auto"/>
                <w:w w:val="90"/>
              </w:rPr>
              <w:t>Six Months Ended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w w:val="99"/>
              </w:rPr>
              <w:t>GAAP</w:t>
            </w: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4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Arial" w:cs="Arial" w:eastAsia="Arial" w:hAnsi="Arial"/>
                <w:sz w:val="18"/>
                <w:szCs w:val="18"/>
                <w:i w:val="1"/>
                <w:iCs w:val="1"/>
                <w:color w:val="auto"/>
                <w:w w:val="98"/>
              </w:rPr>
              <w:t>(dollars in thousands, except EPS)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218,833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146,581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218,833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146,581</w:t>
            </w: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margin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10,729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43,377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33,970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41,164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14,074</w:t>
            </w: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Diluted EPS</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0.63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20"/>
                <w:szCs w:val="20"/>
                <w:color w:val="auto"/>
              </w:rPr>
            </w:pPr>
          </w:p>
        </w:tc>
      </w:tr>
    </w:tbl>
    <w:p>
      <w:pPr>
        <w:spacing w:after="0" w:line="214" w:lineRule="exact"/>
        <w:rPr>
          <w:sz w:val="20"/>
          <w:szCs w:val="20"/>
          <w:color w:val="auto"/>
        </w:rPr>
      </w:pPr>
    </w:p>
    <w:p>
      <w:pPr>
        <w:ind w:left="340" w:right="20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loss on 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The Company is maintaining its revenue guidance range for fiscal year 2023 of $515 million to $585 million.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Highlights and Recent Announcements</w:t>
      </w:r>
    </w:p>
    <w:p>
      <w:pPr>
        <w:spacing w:after="0" w:line="252" w:lineRule="exact"/>
        <w:rPr>
          <w:sz w:val="20"/>
          <w:szCs w:val="20"/>
          <w:color w:val="auto"/>
        </w:rPr>
      </w:pPr>
    </w:p>
    <w:p>
      <w:pPr>
        <w:ind w:left="340" w:right="560" w:hanging="332"/>
        <w:spacing w:after="0" w:line="34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Shipments. </w:t>
      </w:r>
      <w:r>
        <w:rPr>
          <w:rFonts w:ascii="Arial" w:cs="Arial" w:eastAsia="Arial" w:hAnsi="Arial"/>
          <w:sz w:val="16"/>
          <w:szCs w:val="16"/>
          <w:color w:val="auto"/>
        </w:rPr>
        <w:t>Total shipments in the second quarter of 2023 were $153 million, up 37% from the second quarter of 2022. Total shipments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deliveries for revenue in the quarter and deliveries of first tool systems awaiting customer acceptance for potential revenue in future quarters.</w:t>
      </w:r>
    </w:p>
    <w:p>
      <w:pPr>
        <w:spacing w:after="0" w:line="142" w:lineRule="exact"/>
        <w:rPr>
          <w:rFonts w:ascii="Arial" w:cs="Arial" w:eastAsia="Arial" w:hAnsi="Arial"/>
          <w:sz w:val="16"/>
          <w:szCs w:val="16"/>
          <w:color w:val="auto"/>
        </w:rPr>
      </w:pPr>
    </w:p>
    <w:p>
      <w:pPr>
        <w:ind w:left="340" w:right="16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Dividend. </w:t>
      </w:r>
      <w:r>
        <w:rPr>
          <w:rFonts w:ascii="Arial" w:cs="Arial" w:eastAsia="Arial" w:hAnsi="Arial"/>
          <w:sz w:val="18"/>
          <w:szCs w:val="18"/>
          <w:color w:val="auto"/>
        </w:rPr>
        <w:t>During its June 27, 2023 annual stockholder meeting, the stockholders of ACM Research (Shanghai), Inc. (“ACM Shanghai”),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amongst other items, a dividend to be paid to its stockholders. The amount of the approved dividend is RMB 0.372 per share for an aggregate total of approximately RMB 161.3 million (approximately $22.2 million).</w:t>
      </w:r>
    </w:p>
    <w:p>
      <w:pPr>
        <w:spacing w:after="0" w:line="202" w:lineRule="exact"/>
        <w:rPr>
          <w:rFonts w:ascii="Arial" w:cs="Arial" w:eastAsia="Arial" w:hAnsi="Arial"/>
          <w:sz w:val="18"/>
          <w:szCs w:val="18"/>
          <w:color w:val="auto"/>
        </w:rPr>
      </w:pPr>
    </w:p>
    <w:p>
      <w:pPr>
        <w:ind w:left="340" w:right="140" w:hanging="332"/>
        <w:spacing w:after="0" w:line="29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Auditor Resignation. </w:t>
      </w:r>
      <w:r>
        <w:rPr>
          <w:rFonts w:ascii="Arial" w:cs="Arial" w:eastAsia="Arial" w:hAnsi="Arial"/>
          <w:sz w:val="16"/>
          <w:szCs w:val="16"/>
          <w:color w:val="auto"/>
        </w:rPr>
        <w:t>On July 21, 2023, the Company was informed by Armanino LLP (“Armanino”), the Company’s current independent auditor,</w:t>
      </w:r>
      <w:r>
        <w:rPr>
          <w:rFonts w:ascii="Arial" w:cs="Arial" w:eastAsia="Arial" w:hAnsi="Arial"/>
          <w:sz w:val="16"/>
          <w:szCs w:val="16"/>
          <w:b w:val="1"/>
          <w:bCs w:val="1"/>
          <w:color w:val="auto"/>
        </w:rPr>
        <w:t xml:space="preserve"> </w:t>
      </w:r>
      <w:r>
        <w:rPr>
          <w:rFonts w:ascii="Arial" w:cs="Arial" w:eastAsia="Arial" w:hAnsi="Arial"/>
          <w:sz w:val="16"/>
          <w:szCs w:val="16"/>
          <w:color w:val="auto"/>
        </w:rPr>
        <w:t>that Armanino will resign as the Company’s independent registered public accounting firm effective as of the earlier of (a) the date the Company engages a new independent registered public accounting firm or (b) the filing of the Company’s Quarterly Report on Form 10-Q for the fiscal quarter ended September 30, 2023. Armanino advised the Company that its decision to resign was due to Armanino’s decision to exit from the practice of providing financial statement audit services to all public companies. In light of Armanino’s determination, the Audit Committee of the Company’s Board of Directors has initiated a process to select and appoint a new public accounting firm to serve as the Company’s independent registered public accountant commencing with the audit of the Company’s financial statements for the fiscal year ending December 31,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noted, the following figures refer to the second quarter of 2023 and comparisons are with the second quarter of 2022.</w:t>
      </w:r>
    </w:p>
    <w:p>
      <w:pPr>
        <w:spacing w:after="0" w:line="248" w:lineRule="exact"/>
        <w:rPr>
          <w:sz w:val="20"/>
          <w:szCs w:val="20"/>
          <w:color w:val="auto"/>
        </w:rPr>
      </w:pPr>
    </w:p>
    <w:p>
      <w:pPr>
        <w:ind w:left="340" w:right="10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$144.6 million, up 38.5%, reflecting higher sales of single wafer cleaning, Tahoe and semi-critical cleaning equipment, and higher sales</w:t>
      </w:r>
      <w:r>
        <w:rPr>
          <w:rFonts w:ascii="Arial" w:cs="Arial" w:eastAsia="Arial" w:hAnsi="Arial"/>
          <w:sz w:val="18"/>
          <w:szCs w:val="18"/>
          <w:b w:val="1"/>
          <w:bCs w:val="1"/>
          <w:color w:val="auto"/>
        </w:rPr>
        <w:t xml:space="preserve"> </w:t>
      </w:r>
      <w:r>
        <w:rPr>
          <w:rFonts w:ascii="Arial" w:cs="Arial" w:eastAsia="Arial" w:hAnsi="Arial"/>
          <w:sz w:val="18"/>
          <w:szCs w:val="18"/>
          <w:color w:val="auto"/>
        </w:rPr>
        <w:t>of Advance packaging (excluding ECP), services and spares.</w:t>
      </w:r>
    </w:p>
    <w:p>
      <w:pPr>
        <w:spacing w:after="0" w:line="188" w:lineRule="exact"/>
        <w:rPr>
          <w:rFonts w:ascii="Arial" w:cs="Arial" w:eastAsia="Arial" w:hAnsi="Arial"/>
          <w:sz w:val="18"/>
          <w:szCs w:val="18"/>
          <w:color w:val="auto"/>
        </w:rPr>
      </w:pPr>
    </w:p>
    <w:p>
      <w:pPr>
        <w:ind w:left="340" w:right="40" w:hanging="332"/>
        <w:spacing w:after="0" w:line="30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Gross margin </w:t>
      </w:r>
      <w:r>
        <w:rPr>
          <w:rFonts w:ascii="Arial" w:cs="Arial" w:eastAsia="Arial" w:hAnsi="Arial"/>
          <w:sz w:val="16"/>
          <w:szCs w:val="16"/>
          <w:color w:val="auto"/>
        </w:rPr>
        <w:t>was 47.5%, up from 42.3%. Non-GAAP gross margin, which excludes stock-based compensation, was 47.6%, up from 42.4%. Gross</w:t>
      </w:r>
      <w:r>
        <w:rPr>
          <w:rFonts w:ascii="Arial" w:cs="Arial" w:eastAsia="Arial" w:hAnsi="Arial"/>
          <w:sz w:val="16"/>
          <w:szCs w:val="16"/>
          <w:b w:val="1"/>
          <w:bCs w:val="1"/>
          <w:color w:val="auto"/>
        </w:rPr>
        <w:t xml:space="preserve"> </w:t>
      </w:r>
      <w:r>
        <w:rPr>
          <w:rFonts w:ascii="Arial" w:cs="Arial" w:eastAsia="Arial" w:hAnsi="Arial"/>
          <w:sz w:val="16"/>
          <w:szCs w:val="16"/>
          <w:color w:val="auto"/>
        </w:rPr>
        <w:t>margin exceeded the range of 40% to 45% reflected in the Company’s long-term business model. The increase in gross margin was due to a favorable product mix, improved gross margins for specific product lines, and a favorable impact from fluctuations in the RMB to U.S. dollar exchange rate. The Company expects gross margin to vary from period to period due to a variety of factors, such as product mix, currency impacts and sales volume.</w:t>
      </w:r>
    </w:p>
    <w:p>
      <w:pPr>
        <w:spacing w:after="0" w:line="177" w:lineRule="exact"/>
        <w:rPr>
          <w:rFonts w:ascii="Arial" w:cs="Arial" w:eastAsia="Arial" w:hAnsi="Arial"/>
          <w:sz w:val="16"/>
          <w:szCs w:val="16"/>
          <w:color w:val="auto"/>
        </w:rPr>
      </w:pPr>
    </w:p>
    <w:p>
      <w:pPr>
        <w:ind w:left="34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$38.2 million, an increase of 58.4%. Non-GAAP operating expenses, which exclude the effect of stock-based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were $36.3 million, up 62.9%. Operating expenses as a percent of revenue increased to 26.4% from 23.1%. Non-GAAP operating expenses as a percent of revenue increased to 25.1% from 21.4%.</w:t>
      </w:r>
    </w:p>
    <w:p>
      <w:pPr>
        <w:spacing w:after="0" w:line="202" w:lineRule="exact"/>
        <w:rPr>
          <w:rFonts w:ascii="Arial" w:cs="Arial" w:eastAsia="Arial" w:hAnsi="Arial"/>
          <w:sz w:val="18"/>
          <w:szCs w:val="18"/>
          <w:color w:val="auto"/>
        </w:rPr>
      </w:pPr>
    </w:p>
    <w:p>
      <w:pPr>
        <w:ind w:left="340" w:right="12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was $30.4 million, up from $20.0 million. Non-GAAP operating income, which excludes the effect of stock-based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was $32.4 million, up from $22.0 million.</w:t>
      </w:r>
    </w:p>
    <w:p>
      <w:pPr>
        <w:spacing w:after="0" w:line="188" w:lineRule="exact"/>
        <w:rPr>
          <w:rFonts w:ascii="Arial" w:cs="Arial" w:eastAsia="Arial" w:hAnsi="Arial"/>
          <w:sz w:val="18"/>
          <w:szCs w:val="18"/>
          <w:color w:val="auto"/>
        </w:rPr>
      </w:pPr>
    </w:p>
    <w:p>
      <w:pPr>
        <w:ind w:left="340" w:right="14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Unrealized loss on trading securities </w:t>
      </w:r>
      <w:r>
        <w:rPr>
          <w:rFonts w:ascii="Arial" w:cs="Arial" w:eastAsia="Arial" w:hAnsi="Arial"/>
          <w:sz w:val="18"/>
          <w:szCs w:val="18"/>
          <w:color w:val="auto"/>
        </w:rPr>
        <w:t>was $2.5 million. The loss reflects the change in market value of the investments by ACM Shanghai in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The value is marked-to-market quarterly and is excluded in the non-GAAP financial metrics.</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Realized gain from sale of trading securities </w:t>
      </w:r>
      <w:r>
        <w:rPr>
          <w:rFonts w:ascii="Arial" w:cs="Arial" w:eastAsia="Arial" w:hAnsi="Arial"/>
          <w:sz w:val="18"/>
          <w:szCs w:val="18"/>
          <w:color w:val="auto"/>
        </w:rPr>
        <w:t>was $3.9 million, which generated net proceeds of $6.6 million.</w:t>
      </w:r>
    </w:p>
    <w:p>
      <w:pPr>
        <w:spacing w:after="0" w:line="252" w:lineRule="exact"/>
        <w:rPr>
          <w:rFonts w:ascii="Arial" w:cs="Arial" w:eastAsia="Arial" w:hAnsi="Arial"/>
          <w:sz w:val="18"/>
          <w:szCs w:val="18"/>
          <w:color w:val="auto"/>
        </w:rPr>
      </w:pPr>
    </w:p>
    <w:p>
      <w:pPr>
        <w:ind w:left="340" w:right="6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was $7.6 million, compared to $7.7 million. As a result of a change in Section 174 of the U.S. Internal Revenue Code of 1986,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that became effective on January 1, 2022, the Company’s effective tax rate remains elevated</w:t>
      </w:r>
      <w:r>
        <w:rPr>
          <w:rFonts w:ascii="Arial" w:cs="Arial" w:eastAsia="Arial" w:hAnsi="Arial"/>
          <w:sz w:val="18"/>
          <w:szCs w:val="18"/>
          <w:b w:val="1"/>
          <w:bCs w:val="1"/>
          <w:color w:val="auto"/>
        </w:rPr>
        <w:t>,</w:t>
      </w:r>
      <w:r>
        <w:rPr>
          <w:rFonts w:ascii="Arial" w:cs="Arial" w:eastAsia="Arial" w:hAnsi="Arial"/>
          <w:sz w:val="18"/>
          <w:szCs w:val="18"/>
          <w:color w:val="auto"/>
        </w:rPr>
        <w:t xml:space="preserve"> due primarily to the requirement to capitalize and amortize previously deductible research and experimental expenses.</w:t>
      </w:r>
    </w:p>
    <w:p>
      <w:pPr>
        <w:spacing w:after="0" w:line="202" w:lineRule="exact"/>
        <w:rPr>
          <w:rFonts w:ascii="Arial" w:cs="Arial" w:eastAsia="Arial" w:hAnsi="Arial"/>
          <w:sz w:val="18"/>
          <w:szCs w:val="18"/>
          <w:color w:val="auto"/>
        </w:rPr>
      </w:pPr>
    </w:p>
    <w:p>
      <w:pPr>
        <w:ind w:left="340" w:right="200" w:hanging="332"/>
        <w:spacing w:after="0" w:line="34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Net income attributable to ACM Research, Inc. </w:t>
      </w:r>
      <w:r>
        <w:rPr>
          <w:rFonts w:ascii="Arial" w:cs="Arial" w:eastAsia="Arial" w:hAnsi="Arial"/>
          <w:sz w:val="16"/>
          <w:szCs w:val="16"/>
          <w:color w:val="auto"/>
        </w:rPr>
        <w:t>was $26.8 million, up from $12.2 million. Non-GAAP net income attributable to ACM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Inc., which excludes the effect of stock-based compensation and unrealized loss on trading securities, was $31.3 million, up from $14.6 million.</w:t>
      </w:r>
    </w:p>
    <w:p>
      <w:pPr>
        <w:spacing w:after="0" w:line="142" w:lineRule="exact"/>
        <w:rPr>
          <w:rFonts w:ascii="Arial" w:cs="Arial" w:eastAsia="Arial" w:hAnsi="Arial"/>
          <w:sz w:val="16"/>
          <w:szCs w:val="16"/>
          <w:color w:val="auto"/>
        </w:rPr>
      </w:pPr>
    </w:p>
    <w:p>
      <w:pPr>
        <w:ind w:left="340" w:right="44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income per diluted share attributable to ACM Research, Inc. </w:t>
      </w:r>
      <w:r>
        <w:rPr>
          <w:rFonts w:ascii="Arial" w:cs="Arial" w:eastAsia="Arial" w:hAnsi="Arial"/>
          <w:sz w:val="18"/>
          <w:szCs w:val="18"/>
          <w:color w:val="auto"/>
        </w:rPr>
        <w:t>was $0.41, up from $0.18. Non-GAAP net income per diluted share,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excludes the effect of stock-based compensation and unrealized loss on trading securities, was $0.48, up from $0.22.</w:t>
      </w:r>
    </w:p>
    <w:p>
      <w:pPr>
        <w:spacing w:after="0" w:line="188" w:lineRule="exact"/>
        <w:rPr>
          <w:rFonts w:ascii="Arial" w:cs="Arial" w:eastAsia="Arial" w:hAnsi="Arial"/>
          <w:sz w:val="18"/>
          <w:szCs w:val="18"/>
          <w:color w:val="auto"/>
        </w:rPr>
      </w:pPr>
    </w:p>
    <w:p>
      <w:pPr>
        <w:ind w:left="340" w:right="6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were $257.4 million at June 30, 2023, versus $260.4 million at March 31, 2023. Cash and cash equivalents, plus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time deposits, were $376.1 million at June 30, 2023, versus $381.7 million at March 31, 2023.</w:t>
      </w:r>
    </w:p>
    <w:p>
      <w:pPr>
        <w:sectPr>
          <w:pgSz w:w="11900" w:h="16838" w:orient="portrait"/>
          <w:cols w:equalWidth="0" w:num="1">
            <w:col w:w="11240"/>
          </w:cols>
          <w:pgMar w:left="320" w:top="121" w:right="3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5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 conference call to discuss results will be held on Friday, August 4, 2023,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Online Registration: </w:t>
      </w:r>
      <w:r>
        <w:rPr>
          <w:rFonts w:ascii="Arial" w:cs="Arial" w:eastAsia="Arial" w:hAnsi="Arial"/>
          <w:sz w:val="18"/>
          <w:szCs w:val="18"/>
          <w:u w:val="single" w:color="auto"/>
          <w:color w:val="auto"/>
        </w:rPr>
        <w:t>https://register.vevent.com/register/BI9f104c7f57ab43bea588812dcca24b97</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Participants who have not pre-registered may join the webcast by accessing the link at ir.acmrcsh.com/events.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and archived webcast will be available on the Investors section of the ACM website at </w:t>
      </w:r>
      <w:r>
        <w:rPr>
          <w:rFonts w:ascii="Arial" w:cs="Arial" w:eastAsia="Arial" w:hAnsi="Arial"/>
          <w:sz w:val="18"/>
          <w:szCs w:val="18"/>
          <w:u w:val="single" w:color="auto"/>
          <w:color w:val="auto"/>
        </w:rPr>
        <w:t>www.acmrcsh.com.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9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2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5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214" w:lineRule="exact"/>
        <w:rPr>
          <w:sz w:val="20"/>
          <w:szCs w:val="20"/>
          <w:color w:val="auto"/>
        </w:rPr>
      </w:pPr>
    </w:p>
    <w:p>
      <w:pPr>
        <w:jc w:val="both"/>
        <w:ind w:right="540" w:firstLine="8"/>
        <w:spacing w:after="0" w:line="342" w:lineRule="auto"/>
        <w:tabs>
          <w:tab w:leader="none" w:pos="172" w:val="left"/>
        </w:tabs>
        <w:numPr>
          <w:ilvl w:val="0"/>
          <w:numId w:val="5"/>
        </w:numPr>
        <w:rPr>
          <w:rFonts w:ascii="Arial" w:cs="Arial" w:eastAsia="Arial" w:hAnsi="Arial"/>
          <w:sz w:val="16"/>
          <w:szCs w:val="16"/>
          <w:color w:val="auto"/>
        </w:rPr>
      </w:pPr>
      <w:r>
        <w:rPr>
          <w:rFonts w:ascii="Arial" w:cs="Arial" w:eastAsia="Arial" w:hAnsi="Arial"/>
          <w:sz w:val="16"/>
          <w:szCs w:val="16"/>
          <w:color w:val="auto"/>
        </w:rPr>
        <w:t>ACM Research, Inc. The ACM Research logo is a trademark of ACM Research, Inc. For convenience, this trademark appears in this press release without ™ symbols, but that practice does not mean that ACM will not assert, to the fullest extent under applicable law, its rights to the trademarks.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94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1940" w:type="dxa"/>
            <w:vAlign w:val="bottom"/>
            <w:gridSpan w:val="2"/>
          </w:tcPr>
          <w:p>
            <w:pPr>
              <w:spacing w:after="0"/>
              <w:rPr>
                <w:sz w:val="20"/>
                <w:szCs w:val="20"/>
                <w:color w:val="auto"/>
              </w:rPr>
            </w:pPr>
            <w:r>
              <w:rPr>
                <w:rFonts w:ascii="Arial" w:cs="Arial" w:eastAsia="Arial" w:hAnsi="Arial"/>
                <w:sz w:val="18"/>
                <w:szCs w:val="18"/>
                <w:color w:val="auto"/>
              </w:rPr>
              <w:t>The Blueshirt Group</w:t>
            </w:r>
          </w:p>
        </w:tc>
      </w:tr>
      <w:tr>
        <w:trPr>
          <w:trHeight w:val="222"/>
        </w:trPr>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Yujia Zhai</w:t>
            </w:r>
          </w:p>
        </w:tc>
      </w:tr>
      <w:tr>
        <w:trPr>
          <w:trHeight w:val="216"/>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+1 (860) 214-0809</w:t>
            </w:r>
          </w:p>
        </w:tc>
        <w:tc>
          <w:tcPr>
            <w:tcW w:w="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i w:val="1"/>
                <w:iCs w:val="1"/>
                <w:color w:val="auto"/>
                <w:w w:val="92"/>
              </w:rPr>
              <w:t>yujia@blueshirtgroup.com</w:t>
            </w:r>
          </w:p>
        </w:tc>
      </w:tr>
      <w:tr>
        <w:trPr>
          <w:trHeight w:val="419"/>
        </w:trPr>
        <w:tc>
          <w:tcPr>
            <w:tcW w:w="194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1940" w:type="dxa"/>
            <w:vAlign w:val="bottom"/>
            <w:gridSpan w:val="2"/>
          </w:tcPr>
          <w:p>
            <w:pPr>
              <w:spacing w:after="0"/>
              <w:rPr>
                <w:sz w:val="20"/>
                <w:szCs w:val="20"/>
                <w:color w:val="auto"/>
              </w:rPr>
            </w:pPr>
            <w:r>
              <w:rPr>
                <w:rFonts w:ascii="Arial" w:cs="Arial" w:eastAsia="Arial" w:hAnsi="Arial"/>
                <w:sz w:val="18"/>
                <w:szCs w:val="18"/>
                <w:color w:val="auto"/>
                <w:w w:val="95"/>
              </w:rPr>
              <w:t>The Blueshirt Group Asia</w:t>
            </w:r>
          </w:p>
        </w:tc>
      </w:tr>
      <w:tr>
        <w:trPr>
          <w:trHeight w:val="222"/>
        </w:trPr>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Gary Dvorchak, CFA</w:t>
            </w:r>
          </w:p>
        </w:tc>
      </w:tr>
      <w:tr>
        <w:trPr>
          <w:trHeight w:val="216"/>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+86 (138) 1079-1480</w:t>
            </w:r>
          </w:p>
        </w:tc>
        <w:tc>
          <w:tcPr>
            <w:tcW w:w="40" w:type="dxa"/>
            <w:vAlign w:val="bottom"/>
          </w:tcPr>
          <w:p>
            <w:pPr>
              <w:spacing w:after="0"/>
              <w:rPr>
                <w:sz w:val="18"/>
                <w:szCs w:val="18"/>
                <w:color w:val="auto"/>
              </w:rPr>
            </w:pPr>
          </w:p>
        </w:tc>
      </w:tr>
      <w:tr>
        <w:trPr>
          <w:trHeight w:val="190"/>
        </w:trPr>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4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3"/>
              </w:rPr>
              <w:t>gary@blueshirtgroup.com</w:t>
            </w:r>
          </w:p>
        </w:tc>
      </w:tr>
      <w:tr>
        <w:trPr>
          <w:trHeight w:val="20"/>
        </w:trPr>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465"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465"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90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3"/>
              </w:rPr>
              <w:t>June 30, 2023   December 31, 2022</w:t>
            </w:r>
          </w:p>
        </w:tc>
        <w:tc>
          <w:tcPr>
            <w:tcW w:w="0" w:type="dxa"/>
            <w:vAlign w:val="bottom"/>
          </w:tcPr>
          <w:p>
            <w:pPr>
              <w:spacing w:after="0"/>
              <w:rPr>
                <w:sz w:val="1"/>
                <w:szCs w:val="1"/>
                <w:color w:val="auto"/>
              </w:rPr>
            </w:pPr>
          </w:p>
        </w:tc>
      </w:tr>
      <w:tr>
        <w:trPr>
          <w:trHeight w:val="202"/>
        </w:trPr>
        <w:tc>
          <w:tcPr>
            <w:tcW w:w="5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i w:val="1"/>
                <w:iCs w:val="1"/>
                <w:color w:val="auto"/>
                <w:w w:val="93"/>
              </w:rPr>
              <w:t>(Unaudited)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vMerge w:val="restart"/>
          </w:tcPr>
          <w:p>
            <w:pPr>
              <w:ind w:left="3880"/>
              <w:spacing w:after="0"/>
              <w:rPr>
                <w:sz w:val="20"/>
                <w:szCs w:val="20"/>
                <w:color w:val="auto"/>
              </w:rPr>
            </w:pPr>
            <w:r>
              <w:rPr>
                <w:rFonts w:ascii="Arial" w:cs="Arial" w:eastAsia="Arial" w:hAnsi="Arial"/>
                <w:sz w:val="18"/>
                <w:szCs w:val="18"/>
                <w:b w:val="1"/>
                <w:bCs w:val="1"/>
                <w:color w:val="auto"/>
              </w:rPr>
              <w:t>Assets</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center"/>
              <w:ind w:left="610"/>
              <w:spacing w:after="0"/>
              <w:rPr>
                <w:sz w:val="20"/>
                <w:szCs w:val="20"/>
                <w:color w:val="auto"/>
              </w:rPr>
            </w:pPr>
            <w:r>
              <w:rPr>
                <w:rFonts w:ascii="Arial" w:cs="Arial" w:eastAsia="Arial" w:hAnsi="Arial"/>
                <w:sz w:val="18"/>
                <w:szCs w:val="18"/>
                <w:i w:val="1"/>
                <w:iCs w:val="1"/>
                <w:color w:val="auto"/>
                <w:w w:val="90"/>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20" w:type="dxa"/>
            <w:vAlign w:val="bottom"/>
            <w:vMerge w:val="continue"/>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257,420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4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Restricted cash</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time deposits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Trading securities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6,375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200,745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receivables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34,491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471,094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Advances to related party</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1,155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996,832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159,013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Land use right, net</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8,290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2,107</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time deposits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112,104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Deferred tax assets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11,249</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16,122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Other long-term assets</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3,388</w:t>
            </w:r>
          </w:p>
        </w:tc>
        <w:tc>
          <w:tcPr>
            <w:tcW w:w="2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3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1,316,914</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center"/>
              <w:ind w:right="4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1,235,500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Liabilities and Equity</w:t>
            </w:r>
          </w:p>
        </w:tc>
        <w:tc>
          <w:tcPr>
            <w:tcW w:w="3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53,976</w:t>
            </w:r>
          </w:p>
        </w:tc>
        <w:tc>
          <w:tcPr>
            <w:tcW w:w="200" w:type="dxa"/>
            <w:vAlign w:val="bottom"/>
          </w:tcPr>
          <w:p>
            <w:pPr>
              <w:spacing w:after="0"/>
              <w:rPr>
                <w:sz w:val="18"/>
                <w:szCs w:val="18"/>
                <w:color w:val="auto"/>
              </w:rPr>
            </w:pPr>
          </w:p>
        </w:tc>
        <w:tc>
          <w:tcPr>
            <w:tcW w:w="660" w:type="dxa"/>
            <w:vAlign w:val="bottom"/>
          </w:tcPr>
          <w:p>
            <w:pPr>
              <w:jc w:val="center"/>
              <w:ind w:right="4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Related party accounts payable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11,879</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106,861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Advances from customers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195,485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10,324</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FIN-48 payable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Other payables and accrued expenses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59,997</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3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456,299</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borrowings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Long-term operating lease liability</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4,767</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3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660"/>
              <w:spacing w:after="0"/>
              <w:rPr>
                <w:sz w:val="20"/>
                <w:szCs w:val="20"/>
                <w:color w:val="auto"/>
              </w:rPr>
            </w:pPr>
            <w:r>
              <w:rPr>
                <w:rFonts w:ascii="Arial" w:cs="Arial" w:eastAsia="Arial" w:hAnsi="Arial"/>
                <w:sz w:val="18"/>
                <w:szCs w:val="18"/>
                <w:b w:val="1"/>
                <w:bCs w:val="1"/>
                <w:color w:val="auto"/>
              </w:rPr>
              <w:t>Total liabilities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483,531</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Equity:</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Class A Common stock</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612,699</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124,284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Statutory surplus reserve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16,881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(61,916)</w:t>
            </w: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(40,546)</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ACM Research, Inc. stockholders’ equity</w:t>
            </w:r>
          </w:p>
        </w:tc>
        <w:tc>
          <w:tcPr>
            <w:tcW w:w="3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691,954</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674,856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3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3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833,383</w:t>
            </w:r>
          </w:p>
        </w:tc>
        <w:tc>
          <w:tcPr>
            <w:tcW w:w="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equity</w:t>
            </w:r>
          </w:p>
        </w:tc>
        <w:tc>
          <w:tcPr>
            <w:tcW w:w="3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1,316,914</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ind w:right="4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1,235,500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5220" w:type="dxa"/>
            <w:vAlign w:val="bottom"/>
          </w:tcPr>
          <w:p>
            <w:pPr>
              <w:spacing w:after="0"/>
              <w:rPr>
                <w:sz w:val="24"/>
                <w:szCs w:val="24"/>
                <w:color w:val="auto"/>
              </w:rPr>
            </w:pPr>
          </w:p>
        </w:tc>
        <w:tc>
          <w:tcPr>
            <w:tcW w:w="3120" w:type="dxa"/>
            <w:vAlign w:val="bottom"/>
          </w:tcPr>
          <w:p>
            <w:pPr>
              <w:jc w:val="right"/>
              <w:ind w:right="2516"/>
              <w:spacing w:after="0"/>
              <w:rPr>
                <w:sz w:val="20"/>
                <w:szCs w:val="20"/>
                <w:color w:val="auto"/>
              </w:rPr>
            </w:pPr>
            <w:r>
              <w:rPr>
                <w:rFonts w:ascii="Arial" w:cs="Arial" w:eastAsia="Arial" w:hAnsi="Arial"/>
                <w:sz w:val="14"/>
                <w:szCs w:val="14"/>
                <w:color w:val="auto"/>
              </w:rPr>
              <w:t>- 4 -</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22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4"/>
          </w:tcPr>
          <w:p>
            <w:pPr>
              <w:ind w:left="4660"/>
              <w:spacing w:after="0"/>
              <w:rPr>
                <w:sz w:val="20"/>
                <w:szCs w:val="20"/>
                <w:color w:val="auto"/>
              </w:rPr>
            </w:pPr>
            <w:r>
              <w:rPr>
                <w:rFonts w:ascii="Arial" w:cs="Arial" w:eastAsia="Arial" w:hAnsi="Arial"/>
                <w:sz w:val="18"/>
                <w:szCs w:val="18"/>
                <w:b w:val="1"/>
                <w:bCs w:val="1"/>
                <w:color w:val="auto"/>
              </w:rPr>
              <w:t>ACM RESEARCH, INC.</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920" w:type="dxa"/>
            <w:vAlign w:val="bottom"/>
            <w:gridSpan w:val="10"/>
          </w:tcPr>
          <w:p>
            <w:pPr>
              <w:ind w:lef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24"/>
                <w:szCs w:val="24"/>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202"/>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center"/>
              <w:ind w:left="610"/>
              <w:spacing w:after="0" w:line="201" w:lineRule="exact"/>
              <w:rPr>
                <w:sz w:val="20"/>
                <w:szCs w:val="20"/>
                <w:color w:val="auto"/>
              </w:rPr>
            </w:pPr>
            <w:r>
              <w:rPr>
                <w:rFonts w:ascii="Arial" w:cs="Arial" w:eastAsia="Arial" w:hAnsi="Arial"/>
                <w:sz w:val="18"/>
                <w:szCs w:val="18"/>
                <w:i w:val="1"/>
                <w:iCs w:val="1"/>
                <w:color w:val="auto"/>
                <w:w w:val="93"/>
              </w:rPr>
              <w:t>(Unaudited)</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3"/>
          </w:tcPr>
          <w:p>
            <w:pPr>
              <w:jc w:val="center"/>
              <w:ind w:left="570"/>
              <w:spacing w:after="0" w:line="201" w:lineRule="exact"/>
              <w:rPr>
                <w:sz w:val="20"/>
                <w:szCs w:val="20"/>
                <w:color w:val="auto"/>
              </w:rPr>
            </w:pPr>
            <w:r>
              <w:rPr>
                <w:rFonts w:ascii="Arial" w:cs="Arial" w:eastAsia="Arial" w:hAnsi="Arial"/>
                <w:sz w:val="18"/>
                <w:szCs w:val="18"/>
                <w:i w:val="1"/>
                <w:iCs w:val="1"/>
                <w:color w:val="auto"/>
                <w:w w:val="93"/>
              </w:rPr>
              <w:t>(Unaudited)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tcPr>
          <w:p>
            <w:pPr>
              <w:spacing w:after="0"/>
              <w:rPr>
                <w:sz w:val="18"/>
                <w:szCs w:val="18"/>
                <w:color w:val="auto"/>
              </w:rPr>
            </w:pPr>
          </w:p>
        </w:tc>
        <w:tc>
          <w:tcPr>
            <w:tcW w:w="2860" w:type="dxa"/>
            <w:vAlign w:val="bottom"/>
            <w:gridSpan w:val="6"/>
          </w:tcPr>
          <w:p>
            <w:pPr>
              <w:jc w:val="center"/>
              <w:ind w:right="200"/>
              <w:spacing w:after="0"/>
              <w:rPr>
                <w:sz w:val="20"/>
                <w:szCs w:val="20"/>
                <w:color w:val="auto"/>
              </w:rPr>
            </w:pPr>
            <w:r>
              <w:rPr>
                <w:rFonts w:ascii="Arial" w:cs="Arial" w:eastAsia="Arial" w:hAnsi="Arial"/>
                <w:sz w:val="18"/>
                <w:szCs w:val="18"/>
                <w:i w:val="1"/>
                <w:iCs w:val="1"/>
                <w:color w:val="auto"/>
                <w:w w:val="89"/>
              </w:rPr>
              <w:t>( In thousands, except share and per</w:t>
            </w:r>
          </w:p>
        </w:tc>
        <w:tc>
          <w:tcPr>
            <w:tcW w:w="2760" w:type="dxa"/>
            <w:vAlign w:val="bottom"/>
            <w:gridSpan w:val="6"/>
          </w:tcPr>
          <w:p>
            <w:pPr>
              <w:ind w:left="20"/>
              <w:spacing w:after="0"/>
              <w:rPr>
                <w:sz w:val="20"/>
                <w:szCs w:val="20"/>
                <w:color w:val="auto"/>
              </w:rPr>
            </w:pPr>
            <w:r>
              <w:rPr>
                <w:rFonts w:ascii="Arial" w:cs="Arial" w:eastAsia="Arial" w:hAnsi="Arial"/>
                <w:sz w:val="18"/>
                <w:szCs w:val="18"/>
                <w:i w:val="1"/>
                <w:iCs w:val="1"/>
                <w:color w:val="auto"/>
                <w:w w:val="92"/>
              </w:rPr>
              <w:t>( In thousands, except share and per</w:t>
            </w:r>
          </w:p>
        </w:tc>
      </w:tr>
      <w:tr>
        <w:trPr>
          <w:trHeight w:val="230"/>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center"/>
              <w:ind w:left="590"/>
              <w:spacing w:after="0"/>
              <w:rPr>
                <w:sz w:val="20"/>
                <w:szCs w:val="20"/>
                <w:color w:val="auto"/>
              </w:rPr>
            </w:pPr>
            <w:r>
              <w:rPr>
                <w:rFonts w:ascii="Arial" w:cs="Arial" w:eastAsia="Arial" w:hAnsi="Arial"/>
                <w:sz w:val="18"/>
                <w:szCs w:val="18"/>
                <w:i w:val="1"/>
                <w:iCs w:val="1"/>
                <w:color w:val="auto"/>
                <w:w w:val="90"/>
              </w:rPr>
              <w:t>share data)</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center"/>
              <w:ind w:left="550"/>
              <w:spacing w:after="0"/>
              <w:rPr>
                <w:sz w:val="20"/>
                <w:szCs w:val="20"/>
                <w:color w:val="auto"/>
              </w:rPr>
            </w:pPr>
            <w:r>
              <w:rPr>
                <w:rFonts w:ascii="Arial" w:cs="Arial" w:eastAsia="Arial" w:hAnsi="Arial"/>
                <w:sz w:val="18"/>
                <w:szCs w:val="18"/>
                <w:i w:val="1"/>
                <w:iCs w:val="1"/>
                <w:color w:val="auto"/>
                <w:w w:val="90"/>
              </w:rPr>
              <w:t>share data)</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144,577</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146,581</w:t>
            </w:r>
          </w:p>
        </w:tc>
        <w:tc>
          <w:tcPr>
            <w:tcW w:w="10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60,238</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110,208</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82,738</w:t>
            </w:r>
          </w:p>
        </w:tc>
        <w:tc>
          <w:tcPr>
            <w:tcW w:w="100" w:type="dxa"/>
            <w:vAlign w:val="bottom"/>
          </w:tcPr>
          <w:p>
            <w:pPr>
              <w:spacing w:after="0"/>
              <w:rPr>
                <w:sz w:val="19"/>
                <w:szCs w:val="19"/>
                <w:color w:val="auto"/>
              </w:rPr>
            </w:pPr>
          </w:p>
        </w:tc>
      </w:tr>
      <w:tr>
        <w:trPr>
          <w:trHeight w:val="223"/>
        </w:trPr>
        <w:tc>
          <w:tcPr>
            <w:tcW w:w="562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68,639</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44,157</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108,625</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34,093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28,713</w:t>
            </w:r>
          </w:p>
        </w:tc>
        <w:tc>
          <w:tcPr>
            <w:tcW w:w="100" w:type="dxa"/>
            <w:vAlign w:val="bottom"/>
          </w:tcPr>
          <w:p>
            <w:pPr>
              <w:spacing w:after="0"/>
              <w:rPr>
                <w:sz w:val="18"/>
                <w:szCs w:val="18"/>
                <w:color w:val="auto"/>
              </w:rPr>
            </w:pPr>
          </w:p>
        </w:tc>
      </w:tr>
      <w:tr>
        <w:trPr>
          <w:trHeight w:val="223"/>
        </w:trPr>
        <w:tc>
          <w:tcPr>
            <w:tcW w:w="56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6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38,209</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69,333</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53,114</w:t>
            </w:r>
          </w:p>
        </w:tc>
        <w:tc>
          <w:tcPr>
            <w:tcW w:w="100" w:type="dxa"/>
            <w:vAlign w:val="bottom"/>
          </w:tcPr>
          <w:p>
            <w:pPr>
              <w:spacing w:after="0"/>
              <w:rPr>
                <w:sz w:val="19"/>
                <w:szCs w:val="19"/>
                <w:color w:val="auto"/>
              </w:rPr>
            </w:pPr>
          </w:p>
        </w:tc>
      </w:tr>
      <w:tr>
        <w:trPr>
          <w:trHeight w:val="216"/>
        </w:trPr>
        <w:tc>
          <w:tcPr>
            <w:tcW w:w="56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30,430</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18"/>
                <w:szCs w:val="18"/>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Realized gain from sale of trading securities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 on trading securities</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8"/>
                <w:szCs w:val="18"/>
                <w:color w:val="auto"/>
              </w:rPr>
            </w:pPr>
          </w:p>
        </w:tc>
      </w:tr>
      <w:tr>
        <w:trPr>
          <w:trHeight w:val="223"/>
        </w:trPr>
        <w:tc>
          <w:tcPr>
            <w:tcW w:w="56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41,235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53,077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tcPr>
          <w:p>
            <w:pPr>
              <w:spacing w:after="0"/>
              <w:rPr>
                <w:sz w:val="18"/>
                <w:szCs w:val="18"/>
                <w:color w:val="auto"/>
              </w:rPr>
            </w:pPr>
          </w:p>
        </w:tc>
      </w:tr>
      <w:tr>
        <w:trPr>
          <w:trHeight w:val="223"/>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1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(7,638)</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(10,517)</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(3,668)</w:t>
            </w:r>
          </w:p>
        </w:tc>
      </w:tr>
      <w:tr>
        <w:trPr>
          <w:trHeight w:val="216"/>
        </w:trPr>
        <w:tc>
          <w:tcPr>
            <w:tcW w:w="562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33,597</w:t>
            </w: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16,748</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42,560</w:t>
            </w: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top w:val="single" w:sz="8" w:color="CCEEFF"/>
            </w:tcBorders>
          </w:tcPr>
          <w:p>
            <w:pPr>
              <w:spacing w:after="0"/>
              <w:rPr>
                <w:sz w:val="18"/>
                <w:szCs w:val="18"/>
                <w:color w:val="auto"/>
              </w:rPr>
            </w:pPr>
          </w:p>
        </w:tc>
      </w:tr>
      <w:tr>
        <w:trPr>
          <w:trHeight w:val="223"/>
        </w:trPr>
        <w:tc>
          <w:tcPr>
            <w:tcW w:w="56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26,825</w:t>
            </w:r>
          </w:p>
        </w:tc>
        <w:tc>
          <w:tcPr>
            <w:tcW w:w="20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12,236</w:t>
            </w: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33,970</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42,560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18"/>
                <w:szCs w:val="18"/>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(35,269)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(37,918)</w:t>
            </w:r>
          </w:p>
        </w:tc>
      </w:tr>
      <w:tr>
        <w:trPr>
          <w:trHeight w:val="27"/>
        </w:trPr>
        <w:tc>
          <w:tcPr>
            <w:tcW w:w="5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(1,672)</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(23,624)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16,714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(28,613)</w:t>
            </w:r>
          </w:p>
        </w:tc>
      </w:tr>
      <w:tr>
        <w:trPr>
          <w:trHeight w:val="202"/>
        </w:trPr>
        <w:tc>
          <w:tcPr>
            <w:tcW w:w="56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Less: Comprehensive income (loss) attributable to non-controlling interests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redeemable non-controlling interests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(2,248)</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r>
      <w:tr>
        <w:trPr>
          <w:trHeight w:val="27"/>
        </w:trPr>
        <w:tc>
          <w:tcPr>
            <w:tcW w:w="5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b w:val="1"/>
                <w:bCs w:val="1"/>
                <w:color w:val="auto"/>
                <w:w w:val="94"/>
              </w:rPr>
              <w:t>Comprehensive income (loss) attributable to ACM Research,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(2,324)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(21,376)</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12,600</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(25,292)</w:t>
            </w: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0"/>
                <w:szCs w:val="20"/>
                <w:color w:val="auto"/>
              </w:rPr>
            </w:pPr>
          </w:p>
        </w:tc>
      </w:tr>
      <w:tr>
        <w:trPr>
          <w:trHeight w:val="20"/>
        </w:trPr>
        <w:tc>
          <w:tcPr>
            <w:tcW w:w="5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5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59,898,149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59,177,643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59,817,903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59,003,484</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5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64,929,638</w:t>
            </w:r>
          </w:p>
        </w:tc>
        <w:tc>
          <w:tcPr>
            <w:tcW w:w="1120" w:type="dxa"/>
            <w:vAlign w:val="bottom"/>
          </w:tcPr>
          <w:p>
            <w:pPr>
              <w:jc w:val="right"/>
              <w:spacing w:after="0"/>
              <w:rPr>
                <w:sz w:val="20"/>
                <w:szCs w:val="20"/>
                <w:color w:val="auto"/>
              </w:rPr>
            </w:pPr>
            <w:r>
              <w:rPr>
                <w:rFonts w:ascii="Arial" w:cs="Arial" w:eastAsia="Arial" w:hAnsi="Arial"/>
                <w:sz w:val="18"/>
                <w:szCs w:val="18"/>
                <w:color w:val="auto"/>
              </w:rPr>
              <w:t>65,478,677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64,968,900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65,772,973</w:t>
            </w:r>
          </w:p>
        </w:tc>
        <w:tc>
          <w:tcPr>
            <w:tcW w:w="10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6"/>
        </w:trPr>
        <w:tc>
          <w:tcPr>
            <w:tcW w:w="3100" w:type="dxa"/>
            <w:vAlign w:val="bottom"/>
          </w:tcPr>
          <w:p>
            <w:pPr>
              <w:spacing w:after="0"/>
              <w:rPr>
                <w:sz w:val="24"/>
                <w:szCs w:val="24"/>
                <w:color w:val="auto"/>
              </w:rPr>
            </w:pPr>
          </w:p>
        </w:tc>
        <w:tc>
          <w:tcPr>
            <w:tcW w:w="3900" w:type="dxa"/>
            <w:vAlign w:val="bottom"/>
            <w:gridSpan w:val="2"/>
          </w:tcPr>
          <w:p>
            <w:pPr>
              <w:jc w:val="right"/>
              <w:ind w:right="1170"/>
              <w:spacing w:after="0"/>
              <w:rPr>
                <w:sz w:val="20"/>
                <w:szCs w:val="20"/>
                <w:color w:val="auto"/>
              </w:rPr>
            </w:pPr>
            <w:r>
              <w:rPr>
                <w:rFonts w:ascii="Arial" w:cs="Arial" w:eastAsia="Arial" w:hAnsi="Arial"/>
                <w:sz w:val="14"/>
                <w:szCs w:val="14"/>
                <w:color w:val="auto"/>
              </w:rPr>
              <w:t>- 5 -</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1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 by Product Category, by Equipment Type and by Region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b w:val="1"/>
                <w:bCs w:val="1"/>
                <w:color w:val="auto"/>
                <w:w w:val="98"/>
              </w:rPr>
              <w:t>Three Months Ended June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i w:val="1"/>
                <w:iCs w:val="1"/>
                <w:color w:val="auto"/>
              </w:rPr>
              <w:t>($ in</w:t>
            </w:r>
          </w:p>
        </w:tc>
        <w:tc>
          <w:tcPr>
            <w:tcW w:w="1440" w:type="dxa"/>
            <w:vAlign w:val="bottom"/>
            <w:gridSpan w:val="5"/>
          </w:tcPr>
          <w:p>
            <w:pPr>
              <w:jc w:val="right"/>
              <w:ind w:right="780"/>
              <w:spacing w:after="0"/>
              <w:rPr>
                <w:sz w:val="20"/>
                <w:szCs w:val="20"/>
                <w:color w:val="auto"/>
              </w:rPr>
            </w:pPr>
            <w:r>
              <w:rPr>
                <w:rFonts w:ascii="Arial" w:cs="Arial" w:eastAsia="Arial" w:hAnsi="Arial"/>
                <w:sz w:val="18"/>
                <w:szCs w:val="18"/>
                <w:i w:val="1"/>
                <w:iCs w:val="1"/>
                <w:color w:val="auto"/>
                <w:w w:val="71"/>
              </w:rPr>
              <w:t>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7"/>
              </w:rPr>
              <w:t>Single wafer cleaning, Tahoe and semi-critical cleaning equipment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112,528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D0D0D"/>
              </w:rPr>
              <w:t>$</w:t>
            </w: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0D0D0D"/>
              </w:rPr>
              <w:t>72,583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98,616</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19,117</w:t>
            </w:r>
          </w:p>
        </w:tc>
        <w:tc>
          <w:tcPr>
            <w:tcW w:w="36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0D0D0D"/>
              </w:rPr>
              <w:t>20,500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32,748</w:t>
            </w:r>
          </w:p>
        </w:tc>
        <w:tc>
          <w:tcPr>
            <w:tcW w:w="100" w:type="dxa"/>
            <w:vAlign w:val="bottom"/>
          </w:tcPr>
          <w:p>
            <w:pPr>
              <w:spacing w:after="0"/>
              <w:rPr>
                <w:sz w:val="18"/>
                <w:szCs w:val="18"/>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Advanced packaging (excluding ECP), services &amp; spares</w:t>
            </w:r>
          </w:p>
        </w:tc>
        <w:tc>
          <w:tcPr>
            <w:tcW w:w="780" w:type="dxa"/>
            <w:vAlign w:val="bottom"/>
            <w:tcBorders>
              <w:bottom w:val="single" w:sz="8" w:color="CCEEFF"/>
              <w:right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12,932</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D0D0D"/>
              </w:rPr>
              <w:t>11,312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23,976</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144,577</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0D0D0D"/>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0D0D0D"/>
              </w:rPr>
              <w:t>104,395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218,833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146,581</w:t>
            </w:r>
          </w:p>
        </w:tc>
        <w:tc>
          <w:tcPr>
            <w:tcW w:w="100" w:type="dxa"/>
            <w:vAlign w:val="bottom"/>
          </w:tcPr>
          <w:p>
            <w:pPr>
              <w:spacing w:after="0"/>
              <w:rPr>
                <w:sz w:val="18"/>
                <w:szCs w:val="18"/>
                <w:color w:val="auto"/>
              </w:rPr>
            </w:pPr>
          </w:p>
        </w:tc>
      </w:tr>
      <w:tr>
        <w:trPr>
          <w:trHeight w:val="21"/>
        </w:trPr>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Wet-cleaning and other front-end processing tools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122,415</w:t>
            </w:r>
          </w:p>
        </w:tc>
        <w:tc>
          <w:tcPr>
            <w:tcW w:w="360" w:type="dxa"/>
            <w:vAlign w:val="bottom"/>
          </w:tcPr>
          <w:p>
            <w:pPr>
              <w:jc w:val="right"/>
              <w:ind w:right="50"/>
              <w:spacing w:after="0"/>
              <w:rPr>
                <w:sz w:val="20"/>
                <w:szCs w:val="20"/>
                <w:color w:val="auto"/>
              </w:rPr>
            </w:pPr>
            <w:r>
              <w:rPr>
                <w:rFonts w:ascii="Arial" w:cs="Arial" w:eastAsia="Arial" w:hAnsi="Arial"/>
                <w:sz w:val="18"/>
                <w:szCs w:val="18"/>
                <w:color w:val="0D0D0D"/>
              </w:rPr>
              <w:t>$</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0D0D0D"/>
              </w:rPr>
              <w:t>79,553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178,797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111,254</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Advanced packaging, other processing tools, services and spares</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22,162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0D0D0D"/>
              </w:rPr>
              <w:t>24,842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35,327</w:t>
            </w:r>
          </w:p>
        </w:tc>
        <w:tc>
          <w:tcPr>
            <w:tcW w:w="100" w:type="dxa"/>
            <w:vAlign w:val="bottom"/>
            <w:shd w:val="clear" w:color="auto" w:fill="CCEEFF"/>
          </w:tcPr>
          <w:p>
            <w:pPr>
              <w:spacing w:after="0"/>
              <w:rPr>
                <w:sz w:val="18"/>
                <w:szCs w:val="18"/>
                <w:color w:val="auto"/>
              </w:rPr>
            </w:pPr>
          </w:p>
        </w:tc>
      </w:tr>
      <w:tr>
        <w:trPr>
          <w:trHeight w:val="27"/>
        </w:trPr>
        <w:tc>
          <w:tcPr>
            <w:tcW w:w="516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Revenue Front-end and Back-End</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144,577</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0D0D0D"/>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0D0D0D"/>
              </w:rPr>
              <w:t>104,395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218,833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146,581</w:t>
            </w:r>
          </w:p>
        </w:tc>
        <w:tc>
          <w:tcPr>
            <w:tcW w:w="100" w:type="dxa"/>
            <w:vAlign w:val="bottom"/>
          </w:tcPr>
          <w:p>
            <w:pPr>
              <w:spacing w:after="0"/>
              <w:rPr>
                <w:sz w:val="18"/>
                <w:szCs w:val="18"/>
                <w:color w:val="auto"/>
              </w:rPr>
            </w:pPr>
          </w:p>
        </w:tc>
      </w:tr>
      <w:tr>
        <w:trPr>
          <w:trHeight w:val="21"/>
        </w:trPr>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5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b w:val="1"/>
                <w:bCs w:val="1"/>
                <w:color w:val="auto"/>
                <w:w w:val="98"/>
              </w:rPr>
              <w:t>Three Months Ended 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134,767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142,405</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Other Regions</w:t>
            </w:r>
          </w:p>
        </w:tc>
        <w:tc>
          <w:tcPr>
            <w:tcW w:w="7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9,810</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11,607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19"/>
                <w:szCs w:val="19"/>
                <w:color w:val="auto"/>
              </w:rPr>
            </w:pPr>
          </w:p>
        </w:tc>
      </w:tr>
      <w:tr>
        <w:trPr>
          <w:trHeight w:val="25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 By Region</w:t>
            </w:r>
          </w:p>
        </w:tc>
        <w:tc>
          <w:tcPr>
            <w:tcW w:w="78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144,577</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104,395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218,833</w:t>
            </w:r>
          </w:p>
        </w:tc>
        <w:tc>
          <w:tcPr>
            <w:tcW w:w="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146,581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5160" w:type="dxa"/>
            <w:vAlign w:val="bottom"/>
          </w:tcPr>
          <w:p>
            <w:pPr>
              <w:spacing w:after="0"/>
              <w:rPr>
                <w:sz w:val="24"/>
                <w:szCs w:val="24"/>
                <w:color w:val="auto"/>
              </w:rPr>
            </w:pPr>
          </w:p>
        </w:tc>
        <w:tc>
          <w:tcPr>
            <w:tcW w:w="780" w:type="dxa"/>
            <w:vAlign w:val="bottom"/>
          </w:tcPr>
          <w:p>
            <w:pPr>
              <w:jc w:val="right"/>
              <w:ind w:right="114"/>
              <w:spacing w:after="0"/>
              <w:rPr>
                <w:sz w:val="20"/>
                <w:szCs w:val="20"/>
                <w:color w:val="auto"/>
              </w:rPr>
            </w:pPr>
            <w:r>
              <w:rPr>
                <w:rFonts w:ascii="Arial" w:cs="Arial" w:eastAsia="Arial" w:hAnsi="Arial"/>
                <w:sz w:val="14"/>
                <w:szCs w:val="14"/>
                <w:color w:val="auto"/>
              </w:rPr>
              <w:t>- 6 -</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4"/>
              </w:rPr>
              <w:t>Actual</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Other non-</w:t>
            </w:r>
          </w:p>
        </w:tc>
        <w:tc>
          <w:tcPr>
            <w:tcW w:w="88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Adjusted</w:t>
            </w:r>
          </w:p>
        </w:tc>
        <w:tc>
          <w:tcPr>
            <w:tcW w:w="86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Other non-</w:t>
            </w:r>
          </w:p>
        </w:tc>
        <w:tc>
          <w:tcPr>
            <w:tcW w:w="8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w w:val="94"/>
              </w:rPr>
              <w:t>SBC</w:t>
            </w:r>
          </w:p>
        </w:tc>
        <w:tc>
          <w:tcPr>
            <w:tcW w:w="1060" w:type="dxa"/>
            <w:vAlign w:val="bottom"/>
            <w:gridSpan w:val="2"/>
            <w:vMerge w:val="restart"/>
          </w:tcPr>
          <w:p>
            <w:pPr>
              <w:jc w:val="center"/>
              <w:ind w:right="30"/>
              <w:spacing w:after="0"/>
              <w:rPr>
                <w:sz w:val="20"/>
                <w:szCs w:val="20"/>
                <w:color w:val="auto"/>
              </w:rPr>
            </w:pPr>
            <w:r>
              <w:rPr>
                <w:rFonts w:ascii="Arial" w:cs="Arial" w:eastAsia="Arial" w:hAnsi="Arial"/>
                <w:sz w:val="18"/>
                <w:szCs w:val="18"/>
                <w:b w:val="1"/>
                <w:bCs w:val="1"/>
                <w:color w:val="auto"/>
                <w:w w:val="90"/>
              </w:rPr>
              <w:t>operating</w:t>
            </w:r>
          </w:p>
        </w:tc>
        <w:tc>
          <w:tcPr>
            <w:tcW w:w="120" w:type="dxa"/>
            <w:vAlign w:val="bottom"/>
          </w:tcPr>
          <w:p>
            <w:pPr>
              <w:spacing w:after="0"/>
              <w:rPr>
                <w:sz w:val="9"/>
                <w:szCs w:val="9"/>
                <w:color w:val="auto"/>
              </w:rPr>
            </w:pPr>
          </w:p>
        </w:tc>
        <w:tc>
          <w:tcPr>
            <w:tcW w:w="7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3"/>
              </w:rPr>
              <w:t>(Non-</w:t>
            </w: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9"/>
              </w:rPr>
              <w:t>SBC</w:t>
            </w:r>
          </w:p>
        </w:tc>
        <w:tc>
          <w:tcPr>
            <w:tcW w:w="120" w:type="dxa"/>
            <w:vAlign w:val="bottom"/>
          </w:tcPr>
          <w:p>
            <w:pPr>
              <w:spacing w:after="0"/>
              <w:rPr>
                <w:sz w:val="9"/>
                <w:szCs w:val="9"/>
                <w:color w:val="auto"/>
              </w:rPr>
            </w:pPr>
          </w:p>
        </w:tc>
        <w:tc>
          <w:tcPr>
            <w:tcW w:w="9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0"/>
              </w:rPr>
              <w:t>operating</w:t>
            </w:r>
          </w:p>
        </w:tc>
        <w:tc>
          <w:tcPr>
            <w:tcW w:w="160" w:type="dxa"/>
            <w:vAlign w:val="bottom"/>
          </w:tcPr>
          <w:p>
            <w:pPr>
              <w:spacing w:after="0"/>
              <w:rPr>
                <w:sz w:val="9"/>
                <w:szCs w:val="9"/>
                <w:color w:val="auto"/>
              </w:rPr>
            </w:pPr>
          </w:p>
        </w:tc>
        <w:tc>
          <w:tcPr>
            <w:tcW w:w="7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2"/>
            <w:vMerge w:val="restart"/>
          </w:tcPr>
          <w:p>
            <w:pPr>
              <w:jc w:val="center"/>
              <w:ind w:right="30"/>
              <w:spacing w:after="0"/>
              <w:rPr>
                <w:sz w:val="20"/>
                <w:szCs w:val="20"/>
                <w:color w:val="auto"/>
              </w:rPr>
            </w:pPr>
            <w:r>
              <w:rPr>
                <w:rFonts w:ascii="Arial" w:cs="Arial" w:eastAsia="Arial" w:hAnsi="Arial"/>
                <w:sz w:val="18"/>
                <w:szCs w:val="18"/>
                <w:b w:val="1"/>
                <w:bCs w:val="1"/>
                <w:color w:val="auto"/>
                <w:w w:val="99"/>
              </w:rPr>
              <w:t>(GAAP)</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(GAAP)</w:t>
            </w: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adjustments</w:t>
            </w:r>
          </w:p>
        </w:tc>
        <w:tc>
          <w:tcPr>
            <w:tcW w:w="88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99"/>
              </w:rPr>
              <w:t>GAAP)</w:t>
            </w: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8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GAAP)</w:t>
            </w:r>
          </w:p>
        </w:tc>
        <w:tc>
          <w:tcPr>
            <w:tcW w:w="0" w:type="dxa"/>
            <w:vAlign w:val="bottom"/>
          </w:tcPr>
          <w:p>
            <w:pPr>
              <w:spacing w:after="0"/>
              <w:rPr>
                <w:sz w:val="1"/>
                <w:szCs w:val="1"/>
                <w:color w:val="auto"/>
              </w:rPr>
            </w:pPr>
          </w:p>
        </w:tc>
      </w:tr>
      <w:tr>
        <w:trPr>
          <w:trHeight w:val="115"/>
        </w:trPr>
        <w:tc>
          <w:tcPr>
            <w:tcW w:w="3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i w:val="1"/>
                <w:iCs w:val="1"/>
                <w:color w:val="auto"/>
                <w:w w:val="92"/>
              </w:rPr>
              <w:t>(In thousands)</w:t>
            </w: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13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$ 144,577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2"/>
              </w:rPr>
              <w:t>$ 144,577</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9"/>
              </w:rPr>
              <w:t>$ 104,395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$ 104,395</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(75,938)</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(75,813)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(60,238)</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(60,098)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68,639</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68,764</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44,157</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(11,439)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16"/>
        </w:trPr>
        <w:tc>
          <w:tcPr>
            <w:tcW w:w="36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(20,064)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(709)</w:t>
            </w:r>
          </w:p>
        </w:tc>
        <w:tc>
          <w:tcPr>
            <w:tcW w:w="4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(19,355)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(11,367)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(10,711)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(38,209)</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(1,892)</w:t>
            </w:r>
          </w:p>
        </w:tc>
        <w:tc>
          <w:tcPr>
            <w:tcW w:w="4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(36,317)</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(24,122)</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(1,829)</w:t>
            </w:r>
          </w:p>
        </w:tc>
        <w:tc>
          <w:tcPr>
            <w:tcW w:w="1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(22,293)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30,430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(2,017)</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32,447</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20,035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22,004</w:t>
            </w:r>
          </w:p>
        </w:tc>
        <w:tc>
          <w:tcPr>
            <w:tcW w:w="0" w:type="dxa"/>
            <w:vAlign w:val="bottom"/>
          </w:tcPr>
          <w:p>
            <w:pPr>
              <w:spacing w:after="0"/>
              <w:rPr>
                <w:sz w:val="1"/>
                <w:szCs w:val="1"/>
                <w:color w:val="auto"/>
              </w:rPr>
            </w:pPr>
          </w:p>
        </w:tc>
      </w:tr>
      <w:tr>
        <w:trPr>
          <w:trHeight w:val="223"/>
        </w:trPr>
        <w:tc>
          <w:tcPr>
            <w:tcW w:w="3620" w:type="dxa"/>
            <w:vAlign w:val="bottom"/>
          </w:tcPr>
          <w:p>
            <w:pPr>
              <w:ind w:left="500"/>
              <w:spacing w:after="0"/>
              <w:rPr>
                <w:sz w:val="20"/>
                <w:szCs w:val="20"/>
                <w:color w:val="auto"/>
              </w:rPr>
            </w:pPr>
            <w:r>
              <w:rPr>
                <w:rFonts w:ascii="Arial" w:cs="Arial" w:eastAsia="Arial" w:hAnsi="Arial"/>
                <w:sz w:val="18"/>
                <w:szCs w:val="18"/>
                <w:color w:val="auto"/>
              </w:rPr>
              <w:t>Unrealized loss on trading securities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Net income (loss) attributable to ACM Research,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26,825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(2,017)</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31,297</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14,628</w:t>
            </w:r>
          </w:p>
        </w:tc>
        <w:tc>
          <w:tcPr>
            <w:tcW w:w="0" w:type="dxa"/>
            <w:vAlign w:val="bottom"/>
          </w:tcPr>
          <w:p>
            <w:pPr>
              <w:spacing w:after="0"/>
              <w:rPr>
                <w:sz w:val="1"/>
                <w:szCs w:val="1"/>
                <w:color w:val="auto"/>
              </w:rPr>
            </w:pPr>
          </w:p>
        </w:tc>
      </w:tr>
      <w:tr>
        <w:trPr>
          <w:trHeight w:val="210"/>
        </w:trPr>
        <w:tc>
          <w:tcPr>
            <w:tcW w:w="3620" w:type="dxa"/>
            <w:vAlign w:val="bottom"/>
          </w:tcPr>
          <w:p>
            <w:pPr>
              <w:ind w:left="340"/>
              <w:spacing w:after="0"/>
              <w:rPr>
                <w:sz w:val="20"/>
                <w:szCs w:val="20"/>
                <w:color w:val="auto"/>
              </w:rPr>
            </w:pPr>
            <w:r>
              <w:rPr>
                <w:rFonts w:ascii="Arial" w:cs="Arial" w:eastAsia="Arial" w:hAnsi="Arial"/>
                <w:sz w:val="18"/>
                <w:szCs w:val="18"/>
                <w:color w:val="auto"/>
              </w:rPr>
              <w:t>Basic EPS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EPS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466"/>
        </w:trPr>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330"/>
              <w:spacing w:after="0"/>
              <w:rPr>
                <w:sz w:val="20"/>
                <w:szCs w:val="20"/>
                <w:color w:val="auto"/>
              </w:rPr>
            </w:pPr>
            <w:r>
              <w:rPr>
                <w:rFonts w:ascii="Arial" w:cs="Arial" w:eastAsia="Arial" w:hAnsi="Arial"/>
                <w:sz w:val="18"/>
                <w:szCs w:val="18"/>
                <w:b w:val="1"/>
                <w:bCs w:val="1"/>
                <w:color w:val="auto"/>
                <w:w w:val="90"/>
              </w:rPr>
              <w:t>Six Months Ended June 30,</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4"/>
              </w:rPr>
              <w:t>Actual</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Other non-</w:t>
            </w:r>
          </w:p>
        </w:tc>
        <w:tc>
          <w:tcPr>
            <w:tcW w:w="8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Adjusted</w:t>
            </w:r>
          </w:p>
        </w:tc>
        <w:tc>
          <w:tcPr>
            <w:tcW w:w="140" w:type="dxa"/>
            <w:vAlign w:val="bottom"/>
          </w:tcPr>
          <w:p>
            <w:pPr>
              <w:spacing w:after="0"/>
              <w:rPr>
                <w:sz w:val="17"/>
                <w:szCs w:val="1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0"/>
              </w:rPr>
              <w:t>Actual</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Other non-</w:t>
            </w:r>
          </w:p>
        </w:tc>
        <w:tc>
          <w:tcPr>
            <w:tcW w:w="8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99"/>
              </w:rPr>
              <w:t>SBC</w:t>
            </w:r>
          </w:p>
        </w:tc>
        <w:tc>
          <w:tcPr>
            <w:tcW w:w="10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operating</w:t>
            </w:r>
          </w:p>
        </w:tc>
        <w:tc>
          <w:tcPr>
            <w:tcW w:w="120" w:type="dxa"/>
            <w:vAlign w:val="bottom"/>
          </w:tcPr>
          <w:p>
            <w:pPr>
              <w:spacing w:after="0"/>
              <w:rPr>
                <w:sz w:val="9"/>
                <w:szCs w:val="9"/>
                <w:color w:val="auto"/>
              </w:rPr>
            </w:pPr>
          </w:p>
        </w:tc>
        <w:tc>
          <w:tcPr>
            <w:tcW w:w="7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3"/>
              </w:rPr>
              <w:t>(Non-</w:t>
            </w: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9"/>
              </w:rPr>
              <w:t>SBC</w:t>
            </w:r>
          </w:p>
        </w:tc>
        <w:tc>
          <w:tcPr>
            <w:tcW w:w="120" w:type="dxa"/>
            <w:vAlign w:val="bottom"/>
          </w:tcPr>
          <w:p>
            <w:pPr>
              <w:spacing w:after="0"/>
              <w:rPr>
                <w:sz w:val="9"/>
                <w:szCs w:val="9"/>
                <w:color w:val="auto"/>
              </w:rPr>
            </w:pPr>
          </w:p>
        </w:tc>
        <w:tc>
          <w:tcPr>
            <w:tcW w:w="9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operating</w:t>
            </w:r>
          </w:p>
        </w:tc>
        <w:tc>
          <w:tcPr>
            <w:tcW w:w="160" w:type="dxa"/>
            <w:vAlign w:val="bottom"/>
          </w:tcPr>
          <w:p>
            <w:pPr>
              <w:spacing w:after="0"/>
              <w:rPr>
                <w:sz w:val="9"/>
                <w:szCs w:val="9"/>
                <w:color w:val="auto"/>
              </w:rPr>
            </w:pPr>
          </w:p>
        </w:tc>
        <w:tc>
          <w:tcPr>
            <w:tcW w:w="7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(GAAP)</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(GAAP)</w:t>
            </w: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6"/>
              </w:rPr>
              <w:t>adjustments</w:t>
            </w:r>
          </w:p>
        </w:tc>
        <w:tc>
          <w:tcPr>
            <w:tcW w:w="120" w:type="dxa"/>
            <w:vAlign w:val="bottom"/>
          </w:tcPr>
          <w:p>
            <w:pPr>
              <w:spacing w:after="0"/>
              <w:rPr>
                <w:sz w:val="10"/>
                <w:szCs w:val="10"/>
                <w:color w:val="auto"/>
              </w:rPr>
            </w:pPr>
          </w:p>
        </w:tc>
        <w:tc>
          <w:tcPr>
            <w:tcW w:w="7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6"/>
              </w:rPr>
              <w:t>GAAP)</w:t>
            </w: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8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15"/>
        </w:trPr>
        <w:tc>
          <w:tcPr>
            <w:tcW w:w="3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i w:val="1"/>
                <w:iCs w:val="1"/>
                <w:color w:val="auto"/>
                <w:w w:val="92"/>
              </w:rPr>
              <w:t>(In thousands)</w:t>
            </w: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13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$ 218,833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$ 146,581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$ 146,581</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(110,208)</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(109,958)</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(82,738)</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(82,485)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108,625</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108,875</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63,843</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64,096</w:t>
            </w: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(13,433)</w:t>
            </w:r>
          </w:p>
        </w:tc>
        <w:tc>
          <w:tcPr>
            <w:tcW w:w="0" w:type="dxa"/>
            <w:vAlign w:val="bottom"/>
          </w:tcPr>
          <w:p>
            <w:pPr>
              <w:spacing w:after="0"/>
              <w:rPr>
                <w:sz w:val="1"/>
                <w:szCs w:val="1"/>
                <w:color w:val="auto"/>
              </w:rPr>
            </w:pPr>
          </w:p>
        </w:tc>
      </w:tr>
      <w:tr>
        <w:trPr>
          <w:trHeight w:val="216"/>
        </w:trPr>
        <w:tc>
          <w:tcPr>
            <w:tcW w:w="36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(34,093)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(1,410)</w:t>
            </w:r>
          </w:p>
        </w:tc>
        <w:tc>
          <w:tcPr>
            <w:tcW w:w="4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(32,683)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(1,067)</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(27,646)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(69,333)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(3,835)</w:t>
            </w:r>
          </w:p>
        </w:tc>
        <w:tc>
          <w:tcPr>
            <w:tcW w:w="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(65,498)</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(53,114)</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(3,090)</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(50,024)</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43,377</w:t>
            </w:r>
          </w:p>
        </w:tc>
        <w:tc>
          <w:tcPr>
            <w:tcW w:w="1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(3,343)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23"/>
        </w:trPr>
        <w:tc>
          <w:tcPr>
            <w:tcW w:w="3620" w:type="dxa"/>
            <w:vAlign w:val="bottom"/>
          </w:tcPr>
          <w:p>
            <w:pPr>
              <w:ind w:left="500"/>
              <w:spacing w:after="0"/>
              <w:rPr>
                <w:sz w:val="20"/>
                <w:szCs w:val="20"/>
                <w:color w:val="auto"/>
              </w:rPr>
            </w:pPr>
            <w:r>
              <w:rPr>
                <w:rFonts w:ascii="Arial" w:cs="Arial" w:eastAsia="Arial" w:hAnsi="Arial"/>
                <w:sz w:val="18"/>
                <w:szCs w:val="18"/>
                <w:color w:val="auto"/>
              </w:rPr>
              <w:t>Unrealized loss on trading securities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Net income (loss) attributable to ACM Research,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(4,085)</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41,164</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(3,343)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14,074</w:t>
            </w:r>
          </w:p>
        </w:tc>
        <w:tc>
          <w:tcPr>
            <w:tcW w:w="0" w:type="dxa"/>
            <w:vAlign w:val="bottom"/>
          </w:tcPr>
          <w:p>
            <w:pPr>
              <w:spacing w:after="0"/>
              <w:rPr>
                <w:sz w:val="1"/>
                <w:szCs w:val="1"/>
                <w:color w:val="auto"/>
              </w:rPr>
            </w:pPr>
          </w:p>
        </w:tc>
      </w:tr>
      <w:tr>
        <w:trPr>
          <w:trHeight w:val="210"/>
        </w:trPr>
        <w:tc>
          <w:tcPr>
            <w:tcW w:w="3620" w:type="dxa"/>
            <w:vAlign w:val="bottom"/>
          </w:tcPr>
          <w:p>
            <w:pPr>
              <w:ind w:left="340"/>
              <w:spacing w:after="0"/>
              <w:rPr>
                <w:sz w:val="20"/>
                <w:szCs w:val="20"/>
                <w:color w:val="auto"/>
              </w:rPr>
            </w:pPr>
            <w:r>
              <w:rPr>
                <w:rFonts w:ascii="Arial" w:cs="Arial" w:eastAsia="Arial" w:hAnsi="Arial"/>
                <w:sz w:val="18"/>
                <w:szCs w:val="18"/>
                <w:color w:val="auto"/>
              </w:rPr>
              <w:t>Basic EPS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EPS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650"/>
        </w:trPr>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- 7 -</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63270"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Q2 2023 Earnings Call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Q2 2023 Earnings Conference Call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Aug 4, 2023</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8:00 AM EDT (New York)</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8:00 PM CST (Shanghai)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Operator</w:t>
      </w:r>
    </w:p>
    <w:p>
      <w:pPr>
        <w:spacing w:after="0" w:line="2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Good day, ladies and gentlemen. Thank you for standing by, and welcome to the ACM Research second quarter 2023 Earnings Conference Call. Currently, all participants are in listen-only mode. Later, we will conduct a question-and-answer session, and instructions will follow at that time. As a reminder, we are recording today’s call. If you have any objections, you may disconnect at this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Now I will turn the call over to Mr. Yujia Zhai, Managing Director of The Blueshirt Group. Mr. Zhai,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Yujia Zhai – The Blueshirt Group</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Good morning, everyone. Thank you for joining us on today’s call to discuss second quarter 2023 results. We released results before the U.S. market opened today. The release is available on our website, as well as from newswire services. There is also a supplemental slide deck posted to the investor portion of our website that we will reference during our prepared remarks.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On the call with me today are our CEO Dr. David Wang, our CFO Mark McKechnie, and Lisa Feng, the CFO of our operating subsidiary, ACM Shanghai.</w:t>
      </w:r>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 xml:space="preserve">Before we continue, please turn to </w:t>
      </w:r>
      <w:r>
        <w:rPr>
          <w:rFonts w:ascii="Arial" w:cs="Arial" w:eastAsia="Arial" w:hAnsi="Arial"/>
          <w:sz w:val="17"/>
          <w:szCs w:val="17"/>
          <w:b w:val="1"/>
          <w:bCs w:val="1"/>
          <w:u w:val="single" w:color="auto"/>
          <w:color w:val="auto"/>
        </w:rPr>
        <w:t>Slide 2</w:t>
      </w:r>
      <w:r>
        <w:rPr>
          <w:rFonts w:ascii="Arial" w:cs="Arial" w:eastAsia="Arial" w:hAnsi="Arial"/>
          <w:sz w:val="17"/>
          <w:szCs w:val="17"/>
          <w:color w:val="auto"/>
        </w:rPr>
        <w:t>. Let me remind you that remarks made during this call may include predictions, estimates or other information that might be considered forward-looking. These forward-looking statements represent ACM’s current judgment for the future. However, they are subject to risks and uncertainties that could cause actual results to differ materially. Those risks are described under “Risk Factors” and elsewhere in ACM’s filings with the Securities and Exchange Commission. Please do not place undue reliance on these forward-looking statements, which reflect ACM’s opinions only as of the date of this call. ACM is not obliged to update you on any revisions to these forward-looking statements.</w:t>
      </w:r>
    </w:p>
    <w:p>
      <w:pPr>
        <w:spacing w:after="0" w:line="17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Certain of the financial results that we provide on this call will be on a non-GAAP basis, which excludes stock-based compensation, and an unrealized gain/loss in trading securities. For our GAAP results and reconciliations between GAAP and non-GAAP amounts, you should refer to our earnings release which is posted on the IR section of our website, and Slide 12.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 w:name="page12"/>
    <w:bookmarkEnd w:id="11"/>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6327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63270" cy="497205"/>
                    </a:xfrm>
                    <a:prstGeom prst="rect">
                      <a:avLst/>
                    </a:prstGeom>
                    <a:noFill/>
                  </pic:spPr>
                </pic:pic>
              </a:graphicData>
            </a:graphic>
          </wp:anchor>
        </w:drawing>
        <w:t>Q2 2023 Earnings Call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that, let me now turn the call over to David Wang, who will begin with </w:t>
      </w:r>
      <w:r>
        <w:rPr>
          <w:rFonts w:ascii="Arial" w:cs="Arial" w:eastAsia="Arial" w:hAnsi="Arial"/>
          <w:sz w:val="18"/>
          <w:szCs w:val="18"/>
          <w:b w:val="1"/>
          <w:bCs w:val="1"/>
          <w:u w:val="single" w:color="auto"/>
          <w:color w:val="auto"/>
        </w:rPr>
        <w:t>Slide 3</w:t>
      </w:r>
      <w:r>
        <w:rPr>
          <w:rFonts w:ascii="Arial" w:cs="Arial" w:eastAsia="Arial" w:hAnsi="Arial"/>
          <w:sz w:val="18"/>
          <w:szCs w:val="18"/>
          <w:color w:val="auto"/>
        </w:rPr>
        <w:t>.  David?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David Wang– President and CEO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Yujia. Hello everyone, and welcome to ACM Research’s second quarter 2023 earnings conference call.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Please turn to </w:t>
      </w:r>
      <w:r>
        <w:rPr>
          <w:rFonts w:ascii="Arial" w:cs="Arial" w:eastAsia="Arial" w:hAnsi="Arial"/>
          <w:sz w:val="18"/>
          <w:szCs w:val="18"/>
          <w:b w:val="1"/>
          <w:bCs w:val="1"/>
          <w:u w:val="single" w:color="auto"/>
          <w:color w:val="auto"/>
        </w:rPr>
        <w:t>slide 3</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second quarter:</w:t>
      </w:r>
    </w:p>
    <w:p>
      <w:pPr>
        <w:spacing w:after="0" w:line="2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was $144.6 million, up 39% from the same quarter last 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Shipments were $153 million, up 37% from the same quarter last 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was 47.6% and operating margin was 22.4%.</w:t>
      </w:r>
    </w:p>
    <w:p>
      <w:pPr>
        <w:spacing w:after="0" w:line="9" w:lineRule="exact"/>
        <w:rPr>
          <w:rFonts w:ascii="Arial" w:cs="Arial" w:eastAsia="Arial" w:hAnsi="Arial"/>
          <w:sz w:val="18"/>
          <w:szCs w:val="18"/>
          <w:color w:val="auto"/>
        </w:rPr>
      </w:pPr>
    </w:p>
    <w:p>
      <w:pPr>
        <w:ind w:left="340" w:right="4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achieved record revenue and EPS as our operations and industry supply-chains largely returned to a “new-normal” following several years of COVID-related disruptions.</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These results were driven by strong mature node spending by our China customers, market share gains, and penetration of new products and new customers. Let me touch on each of these, </w:t>
      </w:r>
      <w:r>
        <w:rPr>
          <w:rFonts w:ascii="Arial" w:cs="Arial" w:eastAsia="Arial" w:hAnsi="Arial"/>
          <w:sz w:val="18"/>
          <w:szCs w:val="18"/>
          <w:b w:val="1"/>
          <w:bCs w:val="1"/>
          <w:color w:val="auto"/>
        </w:rPr>
        <w:t>beginning with mature node investment in China</w:t>
      </w:r>
      <w:r>
        <w:rPr>
          <w:rFonts w:ascii="Arial" w:cs="Arial" w:eastAsia="Arial" w:hAnsi="Arial"/>
          <w:sz w:val="18"/>
          <w:szCs w:val="18"/>
          <w:color w:val="auto"/>
        </w:rPr>
        <w:t>:</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Last year, following the U.S China trade restrictions, some industry analysts predicted China’s WFE market would decline dramatically. At the time, we predicted a fairly quick shift to spending on mature nodes in China. After an expected pause as industry adjusted to the new export regulations, our prediction appears to be playing out as we are now seeing broad signs that China is indeed speeding up its capacity expansion in mature nodes. This is driven by the substantial gap between China’s mature node capacity and end market consumption.</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see continued investment in 28 nanometer, 45 nanometer and above front end fab capacity. We also see a ramp up of EV production in China as a driver of China based investment in both Power devices and other 28 and 45 nano devices. This creates a good tailwind for us that we believe is still in the early stages. As China intensifies efforts to boost its domestic semiconductor capabilities, we believe we are well-positioned to benefit and further increase our market share due to our strong market position, leading differentiated technology and broad, multi-product portfolio.</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2" w:name="page13"/>
    <w:bookmarkEnd w:id="12"/>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63270"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63270" cy="497205"/>
                    </a:xfrm>
                    <a:prstGeom prst="rect">
                      <a:avLst/>
                    </a:prstGeom>
                    <a:noFill/>
                  </pic:spPr>
                </pic:pic>
              </a:graphicData>
            </a:graphic>
          </wp:anchor>
        </w:drawing>
        <w:t>Q2 2023 Earnings Call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Moving to Products: please turn to </w:t>
      </w:r>
      <w:r>
        <w:rPr>
          <w:rFonts w:ascii="Arial" w:cs="Arial" w:eastAsia="Arial" w:hAnsi="Arial"/>
          <w:sz w:val="18"/>
          <w:szCs w:val="18"/>
          <w:b w:val="1"/>
          <w:bCs w:val="1"/>
          <w:u w:val="single" w:color="auto"/>
          <w:color w:val="auto"/>
        </w:rPr>
        <w:t>slide 4</w:t>
      </w:r>
      <w:r>
        <w:rPr>
          <w:rFonts w:ascii="Arial" w:cs="Arial" w:eastAsia="Arial" w:hAnsi="Arial"/>
          <w:sz w:val="18"/>
          <w:szCs w:val="18"/>
          <w:b w:val="1"/>
          <w:bCs w:val="1"/>
          <w:color w:val="auto"/>
        </w:rPr>
        <w:t>.</w:t>
      </w:r>
    </w:p>
    <w:p>
      <w:pPr>
        <w:spacing w:after="0" w:line="225" w:lineRule="exact"/>
        <w:rPr>
          <w:sz w:val="20"/>
          <w:szCs w:val="20"/>
          <w:color w:val="auto"/>
        </w:rPr>
      </w:pPr>
    </w:p>
    <w:p>
      <w:pPr>
        <w:ind w:left="34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Single wafer cleaning, Tahoe and semi-critical cleaning grew 55%. </w:t>
      </w:r>
      <w:r>
        <w:rPr>
          <w:rFonts w:ascii="Arial" w:cs="Arial" w:eastAsia="Arial" w:hAnsi="Arial"/>
          <w:sz w:val="18"/>
          <w:szCs w:val="18"/>
          <w:color w:val="auto"/>
        </w:rPr>
        <w:t>In the last few years, we introduced and began ramping our semi-critical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line, including auto bench and then last year, we introduced bevel etcher and high temperature SPM tools. Over the past quarter, we introduced super-critical CO2 dry. Now, ACM has one of the broadest cleaning product portfolios in the industry, covering nearly 90% of all cleaning process step. We believe this product portfolio will play a key role among mature nodes development in China and advanced nodes in our international efforts going forward.</w:t>
      </w:r>
    </w:p>
    <w:p>
      <w:pPr>
        <w:spacing w:after="0" w:line="183"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ECP, Furnace and other technologies, </w:t>
      </w:r>
      <w:r>
        <w:rPr>
          <w:rFonts w:ascii="Arial" w:cs="Arial" w:eastAsia="Arial" w:hAnsi="Arial"/>
          <w:sz w:val="18"/>
          <w:szCs w:val="18"/>
          <w:color w:val="auto"/>
        </w:rPr>
        <w:t>declined 7% due to quarterly fluctuation. However, for the first six months of 2023, ECP, Furnace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grew 40% year-over-year. Growth in this category was driven primarily by the ECP product cycle with some contribution from furnace. Our higher-temperature anneal and LPCVD furnaces, including Silicon Nitride and Poly and ALD have expanded to multiple customers and are under evaluation.</w:t>
      </w:r>
    </w:p>
    <w:p>
      <w:pPr>
        <w:spacing w:after="0" w:line="179" w:lineRule="exact"/>
        <w:rPr>
          <w:rFonts w:ascii="Arial" w:cs="Arial" w:eastAsia="Arial" w:hAnsi="Arial"/>
          <w:sz w:val="18"/>
          <w:szCs w:val="18"/>
          <w:color w:val="auto"/>
        </w:rPr>
      </w:pPr>
    </w:p>
    <w:p>
      <w:pPr>
        <w:ind w:left="340" w:right="80" w:hanging="332"/>
        <w:spacing w:after="0" w:line="30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Advanced packaging (excluding ECP), services and spares grew 14% in Q2 and 58% year-to-date. </w:t>
      </w:r>
      <w:r>
        <w:rPr>
          <w:rFonts w:ascii="Arial" w:cs="Arial" w:eastAsia="Arial" w:hAnsi="Arial"/>
          <w:sz w:val="16"/>
          <w:szCs w:val="16"/>
          <w:color w:val="auto"/>
        </w:rPr>
        <w:t>This category includes a range of packaging</w:t>
      </w:r>
      <w:r>
        <w:rPr>
          <w:rFonts w:ascii="Arial" w:cs="Arial" w:eastAsia="Arial" w:hAnsi="Arial"/>
          <w:sz w:val="16"/>
          <w:szCs w:val="16"/>
          <w:b w:val="1"/>
          <w:bCs w:val="1"/>
          <w:color w:val="auto"/>
        </w:rPr>
        <w:t xml:space="preserve"> </w:t>
      </w:r>
      <w:r>
        <w:rPr>
          <w:rFonts w:ascii="Arial" w:cs="Arial" w:eastAsia="Arial" w:hAnsi="Arial"/>
          <w:sz w:val="16"/>
          <w:szCs w:val="16"/>
          <w:color w:val="auto"/>
        </w:rPr>
        <w:t>tools, including coater, developer, scrubber, PR stripper and wet etchers, and services and spare parts. ACM is the only company that offers both a full set of wet tools and the advanced plating tool. We believe advanced packaging will become more important as the industry looks for packaging innovation such as 2.5D and 3D interposal and Fanout to drive higher performance for new applications such as AI and GPT.</w:t>
      </w:r>
    </w:p>
    <w:p>
      <w:pPr>
        <w:spacing w:after="0" w:line="150" w:lineRule="exact"/>
        <w:rPr>
          <w:rFonts w:ascii="Arial" w:cs="Arial" w:eastAsia="Arial" w:hAnsi="Arial"/>
          <w:sz w:val="16"/>
          <w:szCs w:val="16"/>
          <w:color w:val="auto"/>
        </w:rPr>
      </w:pPr>
    </w:p>
    <w:p>
      <w:pPr>
        <w:ind w:left="340" w:right="4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Finishing up on products, we continue to make good progress on sales efforts with our new Track and PECVD platforms. </w:t>
      </w:r>
      <w:r>
        <w:rPr>
          <w:rFonts w:ascii="Arial" w:cs="Arial" w:eastAsia="Arial" w:hAnsi="Arial"/>
          <w:sz w:val="18"/>
          <w:szCs w:val="18"/>
          <w:color w:val="auto"/>
        </w:rPr>
        <w:t>We are in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discussions with our key customers and we plan to deliver more evaluation tools this year. Similar to our cleaning, plating and furnace product lines, our Track and PECVD platforms have proprietary technology that we believe will make them winners with major customers both in China and outside China.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Moving on to customers, please turn to </w:t>
      </w:r>
      <w:r>
        <w:rPr>
          <w:rFonts w:ascii="Arial" w:cs="Arial" w:eastAsia="Arial" w:hAnsi="Arial"/>
          <w:sz w:val="18"/>
          <w:szCs w:val="18"/>
          <w:b w:val="1"/>
          <w:bCs w:val="1"/>
          <w:u w:val="single" w:color="auto"/>
          <w:color w:val="auto"/>
        </w:rPr>
        <w:t>slide 5</w:t>
      </w:r>
      <w:r>
        <w:rPr>
          <w:rFonts w:ascii="Arial" w:cs="Arial" w:eastAsia="Arial" w:hAnsi="Arial"/>
          <w:sz w:val="18"/>
          <w:szCs w:val="18"/>
          <w:b w:val="1"/>
          <w:bCs w:val="1"/>
          <w:color w:val="auto"/>
        </w:rPr>
        <w:t>.</w:t>
      </w:r>
    </w:p>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continued to make progress on customers both inside China and internationally.</w:t>
      </w:r>
    </w:p>
    <w:p>
      <w:pPr>
        <w:spacing w:after="0" w:line="225" w:lineRule="exact"/>
        <w:rPr>
          <w:rFonts w:ascii="Arial" w:cs="Arial" w:eastAsia="Arial" w:hAnsi="Arial"/>
          <w:sz w:val="18"/>
          <w:szCs w:val="18"/>
          <w:color w:val="auto"/>
        </w:rPr>
      </w:pPr>
    </w:p>
    <w:p>
      <w:pPr>
        <w:jc w:val="both"/>
        <w:ind w:left="340" w:right="180" w:hanging="332"/>
        <w:spacing w:after="0" w:line="279"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China, we believe ACM’s tools are now used by nearly all the semiconductor manufacturers. Our sales and services teams are working to expand the deployment of each of our major product lines across our growing customer base. In addition to our current customers, we are also seeing a good number of well-funded new entrants. Our team has done a good job of getting good traction for our products with these customers. As these are new customers, these will be reflected in our shipments this year until customer acceptance at a later date.</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 w:name="page14"/>
    <w:bookmarkEnd w:id="13"/>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63270"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63270" cy="497205"/>
                    </a:xfrm>
                    <a:prstGeom prst="rect">
                      <a:avLst/>
                    </a:prstGeom>
                    <a:noFill/>
                  </pic:spPr>
                </pic:pic>
              </a:graphicData>
            </a:graphic>
          </wp:anchor>
        </w:drawing>
        <w:t>Q2 2023 Earnings Call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0"/>
          <w:szCs w:val="20"/>
          <w:color w:val="auto"/>
        </w:rPr>
      </w:pPr>
    </w:p>
    <w:p>
      <w:pPr>
        <w:ind w:left="340" w:hanging="332"/>
        <w:spacing w:after="0" w:line="211"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Also, as some of you may have heard, on July 21</w:t>
      </w:r>
      <w:r>
        <w:rPr>
          <w:rFonts w:ascii="Arial" w:cs="Arial" w:eastAsia="Arial" w:hAnsi="Arial"/>
          <w:sz w:val="28"/>
          <w:szCs w:val="28"/>
          <w:color w:val="auto"/>
          <w:vertAlign w:val="superscript"/>
        </w:rPr>
        <w:t>st</w:t>
      </w:r>
      <w:r>
        <w:rPr>
          <w:rFonts w:ascii="Arial" w:cs="Arial" w:eastAsia="Arial" w:hAnsi="Arial"/>
          <w:sz w:val="17"/>
          <w:szCs w:val="17"/>
          <w:color w:val="auto"/>
        </w:rPr>
        <w:t>, 2023, Hua Hong Semiconductor, a great strategic customer, announced the pricing of its Shanghai STAR market IPO and is expected to start trading soon. The total proceeds were 21.2 billion RMB or approximately $3 billion dollars.</w:t>
      </w:r>
    </w:p>
    <w:p>
      <w:pPr>
        <w:spacing w:after="0" w:line="202"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U.S., the evaluation at our key customer is progressing well, and we remain optimistic for qualification later this year.</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Europe, we announced an order for our first evaluation tool from a major semiconductor manufacturer in the first quarter of this year. The tool is planned for delivery in early Q4, and we are beginning to build a local services team to support the effort.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 support our growth initiatives, we continue make progress on our facilities expansion in China and other regions. Please turn to </w:t>
      </w:r>
      <w:r>
        <w:rPr>
          <w:rFonts w:ascii="Arial" w:cs="Arial" w:eastAsia="Arial" w:hAnsi="Arial"/>
          <w:sz w:val="16"/>
          <w:szCs w:val="16"/>
          <w:b w:val="1"/>
          <w:bCs w:val="1"/>
          <w:u w:val="single" w:color="auto"/>
          <w:color w:val="auto"/>
        </w:rPr>
        <w:t>slide 6</w:t>
      </w:r>
      <w:r>
        <w:rPr>
          <w:rFonts w:ascii="Arial" w:cs="Arial" w:eastAsia="Arial" w:hAnsi="Arial"/>
          <w:sz w:val="16"/>
          <w:szCs w:val="16"/>
          <w:b w:val="1"/>
          <w:bCs w:val="1"/>
          <w:color w:val="auto"/>
        </w:rPr>
        <w:t>.</w:t>
      </w:r>
    </w:p>
    <w:p>
      <w:pPr>
        <w:spacing w:after="0" w:line="2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China, construction of our Lingang production and R&amp;D center is nearly complete and is expected to begin initial production later this year.</w:t>
      </w:r>
    </w:p>
    <w:p>
      <w:pPr>
        <w:spacing w:after="0" w:line="236" w:lineRule="exact"/>
        <w:rPr>
          <w:rFonts w:ascii="Arial" w:cs="Arial" w:eastAsia="Arial" w:hAnsi="Arial"/>
          <w:sz w:val="17"/>
          <w:szCs w:val="17"/>
          <w:color w:val="auto"/>
        </w:rPr>
      </w:pPr>
    </w:p>
    <w:p>
      <w:pPr>
        <w:ind w:left="340" w:right="38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Korea, as noted in prior calls, we have increased our commitment in this region. We believe a stronger commitment to Korea will improve our relationship with our key customer SK Hynix and others. In Q1 of this year, we completed the purchase of land in the high-tech area outside of Icheon, as the site for a new R&amp;D and production center.</w:t>
      </w:r>
    </w:p>
    <w:p>
      <w:pPr>
        <w:spacing w:after="0" w:line="183"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U.S., as noted last quarter, we leased a facility in Oregon to add to our services support and demonstration capabilities for R&amp;D and customer activities in the region.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reminder, for 2023, we expect to spend about $100 million capex. This includes continued investments in our Lingang facilities, remodeling for our new headquarters for ACM Shanghai, and our investments in Korea and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will now provide our outlook for the full year 2023. </w:t>
      </w:r>
      <w:r>
        <w:rPr>
          <w:rFonts w:ascii="Arial" w:cs="Arial" w:eastAsia="Arial" w:hAnsi="Arial"/>
          <w:sz w:val="18"/>
          <w:szCs w:val="18"/>
          <w:b w:val="1"/>
          <w:bCs w:val="1"/>
          <w:u w:val="single" w:color="auto"/>
          <w:color w:val="auto"/>
        </w:rPr>
        <w:t>Please turn to slide 9</w:t>
      </w:r>
      <w:r>
        <w:rPr>
          <w:rFonts w:ascii="Arial" w:cs="Arial" w:eastAsia="Arial" w:hAnsi="Arial"/>
          <w:sz w:val="18"/>
          <w:szCs w:val="18"/>
          <w:color w:val="auto"/>
        </w:rPr>
        <w:t>.</w:t>
      </w:r>
    </w:p>
    <w:p>
      <w:pPr>
        <w:spacing w:after="0" w:line="22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are reaffirming our 2023 revenue outlook to be in the range of $515 to $585 million. The range of our outlook reflects, among other things, management’s current assessment of the continuing impact from international trade policy together with various expected spending scenarios of key customers, supply chain constraints, and the timing of acceptances for first tools under evaluation in the field.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Now let me turn the call over to our CFO Mark, who will review details of our second quarter results. Mark?</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92" w:right="419" w:bottom="1440" w:gutter="0" w:footer="0" w:header="0"/>
        </w:sectPr>
      </w:pPr>
    </w:p>
    <w:bookmarkStart w:id="14" w:name="page15"/>
    <w:bookmarkEnd w:id="14"/>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63270" cy="497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63270" cy="497205"/>
                    </a:xfrm>
                    <a:prstGeom prst="rect">
                      <a:avLst/>
                    </a:prstGeom>
                    <a:noFill/>
                  </pic:spPr>
                </pic:pic>
              </a:graphicData>
            </a:graphic>
          </wp:anchor>
        </w:drawing>
        <w:t>Q2 2023 Earnings Call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Mark McKechnie,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Thank you, David, and good day, everyone. Please turn to </w:t>
      </w:r>
      <w:r>
        <w:rPr>
          <w:rFonts w:ascii="Arial" w:cs="Arial" w:eastAsia="Arial" w:hAnsi="Arial"/>
          <w:sz w:val="18"/>
          <w:szCs w:val="18"/>
          <w:b w:val="1"/>
          <w:bCs w:val="1"/>
          <w:u w:val="single" w:color="auto"/>
          <w:color w:val="auto"/>
        </w:rPr>
        <w:t>Slide 10</w:t>
      </w:r>
      <w:r>
        <w:rPr>
          <w:rFonts w:ascii="Arial" w:cs="Arial" w:eastAsia="Arial" w:hAnsi="Arial"/>
          <w:sz w:val="18"/>
          <w:szCs w:val="18"/>
          <w:color w:val="auto"/>
        </w:rPr>
        <w:t>.</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I note otherwise, I will refer to non-GAAP financial measures, which exclude stock-based compensation and unrealized loss on trading securities. A reconciliation of these non-GAAP measures to comparable GAAP measures is included in our earnings release. Also, unless otherwise noted, the following figures refer to the second quarter of 2023 and comparisons are with the second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will now provide financial highlights for the second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was $144.6 million, up 38.5%</w:t>
      </w:r>
      <w:r>
        <w:rPr>
          <w:rFonts w:ascii="Arial" w:cs="Arial" w:eastAsia="Arial" w:hAnsi="Arial"/>
          <w:sz w:val="18"/>
          <w:szCs w:val="18"/>
          <w:color w:val="auto"/>
        </w:rPr>
        <w:t>. Total shipments were $153.4 million, up 37%.</w:t>
      </w:r>
    </w:p>
    <w:p>
      <w:pPr>
        <w:spacing w:after="0" w:line="2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for single wafer cleaning tools and semi-critical cleaning was $112.5 million, up 55.0%.</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for ECP, Furnace, and other technologies was $19.1 million, down 6.7%. For the first six months of 2023, this category grew by 39.6% versus the prior year period.</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for Advanced Packaging (excluding ECP), services &amp; spares was $12.9 million, up 14.3%.</w:t>
      </w:r>
    </w:p>
    <w:p>
      <w:pPr>
        <w:spacing w:after="0" w:line="207"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Gross margin was 47.6%, up from 42.4%</w:t>
      </w:r>
      <w:r>
        <w:rPr>
          <w:rFonts w:ascii="Arial" w:cs="Arial" w:eastAsia="Arial" w:hAnsi="Arial"/>
          <w:sz w:val="16"/>
          <w:szCs w:val="16"/>
          <w:color w:val="auto"/>
        </w:rPr>
        <w:t>. This exceeded our normal expected range of 40-45%. The increase in gross margin was primarily due to a</w:t>
      </w:r>
      <w:r>
        <w:rPr>
          <w:rFonts w:ascii="Arial" w:cs="Arial" w:eastAsia="Arial" w:hAnsi="Arial"/>
          <w:sz w:val="16"/>
          <w:szCs w:val="16"/>
          <w:b w:val="1"/>
          <w:bCs w:val="1"/>
          <w:color w:val="auto"/>
        </w:rPr>
        <w:t xml:space="preserve"> </w:t>
      </w:r>
      <w:r>
        <w:rPr>
          <w:rFonts w:ascii="Arial" w:cs="Arial" w:eastAsia="Arial" w:hAnsi="Arial"/>
          <w:sz w:val="16"/>
          <w:szCs w:val="16"/>
          <w:color w:val="auto"/>
        </w:rPr>
        <w:t>favorable product mix, improved gross margins for specific product lines, and a favorable impact from fluctuations in the RMB to U.S. dollar exchange rate. We expect gross margin to continue to vary from period to period due to a variety of factors, such as sales volume, product mix and currency impacts.</w:t>
      </w:r>
    </w:p>
    <w:p>
      <w:pPr>
        <w:spacing w:after="0" w:line="14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Operating expenses were $36.3 million, up from $22.3 million</w:t>
      </w:r>
      <w:r>
        <w:rPr>
          <w:rFonts w:ascii="Arial" w:cs="Arial" w:eastAsia="Arial" w:hAnsi="Arial"/>
          <w:sz w:val="18"/>
          <w:szCs w:val="18"/>
          <w:color w:val="auto"/>
        </w:rPr>
        <w:t>. The increase was due to higher R&amp;D, sales and marketing and G&amp;A costs in support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new customer and new product activities, and a boost in post-COVID travel.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was $32.4 million, up from $22.0 million</w:t>
      </w:r>
      <w:r>
        <w:rPr>
          <w:rFonts w:ascii="Arial" w:cs="Arial" w:eastAsia="Arial" w:hAnsi="Arial"/>
          <w:sz w:val="18"/>
          <w:szCs w:val="18"/>
          <w:color w:val="auto"/>
        </w:rPr>
        <w:t>. Operating margin was 22.4%, up from 21.1%.</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We recorded a realized gain of $3.9 million </w:t>
      </w:r>
      <w:r>
        <w:rPr>
          <w:rFonts w:ascii="Arial" w:cs="Arial" w:eastAsia="Arial" w:hAnsi="Arial"/>
          <w:sz w:val="18"/>
          <w:szCs w:val="18"/>
          <w:color w:val="auto"/>
        </w:rPr>
        <w:t>from the sale of trading securities for the quarter. Recall that realized gains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w:t>
      </w:r>
    </w:p>
    <w:p>
      <w:pPr>
        <w:spacing w:after="0" w:line="162"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Income tax expense was $7.6 million, down from $7.7 million</w:t>
      </w:r>
      <w:r>
        <w:rPr>
          <w:rFonts w:ascii="Arial" w:cs="Arial" w:eastAsia="Arial" w:hAnsi="Arial"/>
          <w:sz w:val="16"/>
          <w:szCs w:val="16"/>
          <w:color w:val="auto"/>
        </w:rPr>
        <w:t>. Recall that as a result of a change in Section 174 of the U.S. Internal Revenue Code, our</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tax rate remains elevated, primarily due to the requirement to capitalize and amortize previously deductible research and experimental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ACM Research was $31.3 million</w:t>
      </w:r>
      <w:r>
        <w:rPr>
          <w:rFonts w:ascii="Arial" w:cs="Arial" w:eastAsia="Arial" w:hAnsi="Arial"/>
          <w:sz w:val="18"/>
          <w:szCs w:val="18"/>
          <w:color w:val="auto"/>
        </w:rPr>
        <w:t>, up from $14.6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63270" cy="497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63270" cy="497205"/>
                    </a:xfrm>
                    <a:prstGeom prst="rect">
                      <a:avLst/>
                    </a:prstGeom>
                    <a:noFill/>
                  </pic:spPr>
                </pic:pic>
              </a:graphicData>
            </a:graphic>
          </wp:anchor>
        </w:drawing>
        <w:t>Q2 2023 Earnings Call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diluted share was $0.48, up from $0.22.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will now review selected balance sheet items: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and cash equivalents, restricted cash and time deposits were $376.1 million at the end of the second quarter, versus $381.7 million at the end of the first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inventory was $471.1 million at the end of second quarter, generally flat versus the end of first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second quarter were about $6.7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will now provide an update on our Auditor situation:</w:t>
      </w:r>
    </w:p>
    <w:p>
      <w:pPr>
        <w:spacing w:after="0" w:line="2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July 21, 2023, Armanino informed us it will resign as our independent auditor, effective as of the earlier of (a) when we engage a new auditor, or</w:t>
      </w:r>
    </w:p>
    <w:p>
      <w:pPr>
        <w:spacing w:after="0" w:line="32" w:lineRule="exact"/>
        <w:rPr>
          <w:rFonts w:ascii="Arial" w:cs="Arial" w:eastAsia="Arial" w:hAnsi="Arial"/>
          <w:sz w:val="16"/>
          <w:szCs w:val="16"/>
          <w:color w:val="auto"/>
        </w:rPr>
      </w:pPr>
    </w:p>
    <w:p>
      <w:pPr>
        <w:ind w:left="340" w:right="180"/>
        <w:spacing w:after="0" w:line="281" w:lineRule="auto"/>
        <w:rPr>
          <w:rFonts w:ascii="Arial" w:cs="Arial" w:eastAsia="Arial" w:hAnsi="Arial"/>
          <w:sz w:val="16"/>
          <w:szCs w:val="16"/>
          <w:color w:val="auto"/>
        </w:rPr>
      </w:pPr>
      <w:r>
        <w:rPr>
          <w:rFonts w:ascii="Arial" w:cs="Arial" w:eastAsia="Arial" w:hAnsi="Arial"/>
          <w:sz w:val="16"/>
          <w:szCs w:val="16"/>
          <w:color w:val="auto"/>
        </w:rPr>
        <w:t>(b) the filing of this year’s third quarter 10-Q report. They advised us this was due to their decision to exit from the practice of providing financial statement audit services to all public companies. As a result, our Audit Committee has begun the process to select and appoint a new auditor.</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filed an 8-K with the full details on July 27, 2023, and I would note we have also seen a number of similar filings from other Armanino clients.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Regarding the search for a new auditor, we are considering several options, including US and China-based auditors.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our prepared remarks. Now let’s open the call for any questions that you may have. Operator,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 you. Seeing no more questions in the queue, let me turn the call back to David Wang for closing remarks.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Wang – President and CEO</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Thank you, operator and thank you all for participating on today’s call and for your support. Before we close, Yujia is going to mention our upcoming investor relations events. Yujia, please.</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692" w:right="559" w:bottom="1440" w:gutter="0" w:footer="0" w:header="0"/>
        </w:sectPr>
      </w:pPr>
    </w:p>
    <w:bookmarkStart w:id="16" w:name="page17"/>
    <w:bookmarkEnd w:id="16"/>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63270" cy="497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63270" cy="497205"/>
                    </a:xfrm>
                    <a:prstGeom prst="rect">
                      <a:avLst/>
                    </a:prstGeom>
                    <a:noFill/>
                  </pic:spPr>
                </pic:pic>
              </a:graphicData>
            </a:graphic>
          </wp:anchor>
        </w:drawing>
        <w:t>Q2 2023 Earnings Call Prepared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Yujia Zhai – The Blueshirt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David.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Aug 22 to 23, we will present at the 4th Annual Needham Virtual Semiconductor &amp; SemiCap 1x1 Conference.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Aug 29th to 30th, we will present at the 20th Jefferies Annual Semiconductor Conference in Chicago of the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13th, we will present at the Benchmark 10th Annual TMT 1x1 Conference in New York City of the 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Attendance at conference is by invitation-only for clients of each respective firm. So interested investors, please contact your respective sales representative to register and for one-on-one meetings to secure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the call, and you may now disconnect.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6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2023-08-07T05:10:52Z</dcterms:created>
  <dcterms:modified xsi:type="dcterms:W3CDTF">2023-08-07T05:10:52Z</dcterms:modified>
</cp:coreProperties>
</file>