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27, 2026</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27, 2026, we issued a press release entitled “ACM Research Announces Preliminary Unaudited Revenue and Shipments for the First Quarter 2026.” The full text of the press release is furnished as Exhibit 99.1 hereto and is incorporated herein by reference.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0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304"/>
        </w:trPr>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of ACM Research, Inc. dated April 27, 2026</w:t>
            </w:r>
          </w:p>
        </w:tc>
      </w:tr>
      <w:tr>
        <w:trPr>
          <w:trHeight w:val="345"/>
        </w:trPr>
        <w:tc>
          <w:tcPr>
            <w:tcW w:w="280" w:type="dxa"/>
            <w:vAlign w:val="bottom"/>
          </w:tcPr>
          <w:p>
            <w:pPr>
              <w:spacing w:after="0"/>
              <w:rPr>
                <w:sz w:val="24"/>
                <w:szCs w:val="24"/>
                <w:color w:val="auto"/>
              </w:rPr>
            </w:pPr>
          </w:p>
        </w:tc>
        <w:tc>
          <w:tcPr>
            <w:tcW w:w="3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3345815</wp:posOffset>
            </wp:positionH>
            <wp:positionV relativeFrom="page">
              <wp:posOffset>911860</wp:posOffset>
            </wp:positionV>
            <wp:extent cx="865505" cy="539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ACM Research Announces Preliminary Unaudited Revenue and Shipments for the First Quarter 2026 </w:t>
      </w:r>
      <w:r>
        <w:rPr>
          <w:rFonts w:ascii="Times New Roman" w:cs="Times New Roman" w:eastAsia="Times New Roman" w:hAnsi="Times New Roman"/>
          <w:sz w:val="22"/>
          <w:szCs w:val="22"/>
          <w:i w:val="1"/>
          <w:iCs w:val="1"/>
          <w:color w:val="auto"/>
        </w:rPr>
        <w:t>Coincides with Release of ACM Shanghai First Quarter 2026 Results ACM Reaffirms 2026 Revenue Outlook</w:t>
      </w:r>
    </w:p>
    <w:p>
      <w:pPr>
        <w:spacing w:after="0" w:line="197"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20"/>
          <w:szCs w:val="20"/>
          <w:color w:val="auto"/>
        </w:rPr>
        <w:t>FREMONT, Calif., April 27, 2026 (GLOBE NEWSWIRE) – ACM Research, Inc. (“ACM”) (NASDAQ: ACMR), a leading supplier of wafer processing solutions for semiconductor and advanced wafer-level packaging applications, today announced expectations for preliminary unaudited revenue and total shipments for the first quarter of 2026. Today’s release coincides with the as-scheduled release of unaudited financial results by ACM Research (Shanghai), Inc., ACM’s principal operating subsidiary (“ACM Shanghai”), to the Shanghai Stock Exchange website [link to China Disclosure].</w:t>
      </w:r>
    </w:p>
    <w:p>
      <w:pPr>
        <w:spacing w:after="0" w:line="200"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ACM will discuss its full financial results for the first quarter 2026 and its revenue outlook for the remainder of the year on its earnings call on Thursday, May 7, 2026, at 8 a.m. Eastern Time (8 p.m. China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ACM announces the following:</w:t>
      </w:r>
    </w:p>
    <w:p>
      <w:pPr>
        <w:spacing w:after="0" w:line="22" w:lineRule="exact"/>
        <w:rPr>
          <w:sz w:val="20"/>
          <w:szCs w:val="20"/>
          <w:color w:val="auto"/>
        </w:rPr>
      </w:pPr>
    </w:p>
    <w:p>
      <w:pPr>
        <w:ind w:left="340" w:right="240" w:hanging="332"/>
        <w:spacing w:after="0" w:line="246"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preliminary unaudited revenue for the first quarter of 2026 is expected to be in the range of $225 million to $230 million, which would represent year-to-year growth of 31% to 33%.</w:t>
      </w:r>
    </w:p>
    <w:p>
      <w:pPr>
        <w:spacing w:after="0" w:line="1" w:lineRule="exact"/>
        <w:rPr>
          <w:rFonts w:ascii="Times New Roman" w:cs="Times New Roman" w:eastAsia="Times New Roman" w:hAnsi="Times New Roman"/>
          <w:sz w:val="20"/>
          <w:szCs w:val="20"/>
          <w:color w:val="auto"/>
        </w:rPr>
      </w:pPr>
    </w:p>
    <w:p>
      <w:pPr>
        <w:ind w:left="340" w:right="400" w:hanging="332"/>
        <w:spacing w:after="0" w:line="250"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preliminary total shipments for the first quarter of 2026 are expected to be in the range of $233 million to $238 million, which would represent year-to-year growth of 49% to 52%.</w:t>
      </w:r>
    </w:p>
    <w:p>
      <w:pPr>
        <w:ind w:left="340" w:right="280" w:hanging="332"/>
        <w:spacing w:after="0" w:line="253" w:lineRule="auto"/>
        <w:tabs>
          <w:tab w:leader="none" w:pos="32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re-affirms full year 2026 revenue outlook in the range of $1.08 billion to $1.175 billion, which would represent year-to-year growth of 20% to 30%.</w:t>
      </w:r>
    </w:p>
    <w:p>
      <w:pPr>
        <w:spacing w:after="0" w:line="215"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Actual unaudited first quarter 2026 results are subject to the completion of ACM’s quarter end closing procedures and review by ACM’s independent registered public accounting firm.</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ACM currently owns an approximately 74% equity interest in ACM Shanghai, and a substantial majority of ACM’s consolidated revenue and net income is contributed by ACM Shanghai. The stand-alone financial results of ACM Shanghai are reported in RMB as prepared in accordance with Chinese generally accepted accounting principles,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ACM Research, Inc.</w:t>
      </w:r>
    </w:p>
    <w:p>
      <w:pPr>
        <w:spacing w:after="0" w:line="206"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20"/>
          <w:szCs w:val="20"/>
          <w:color w:val="auto"/>
        </w:rPr>
        <w:t>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www.acmr.com.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Internal</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77" w:lineRule="auto"/>
        <w:rPr>
          <w:sz w:val="20"/>
          <w:szCs w:val="20"/>
          <w:color w:val="auto"/>
        </w:rPr>
      </w:pPr>
      <w:r>
        <w:rPr>
          <w:rFonts w:ascii="Times New Roman" w:cs="Times New Roman" w:eastAsia="Times New Roman" w:hAnsi="Times New Roman"/>
          <w:sz w:val="20"/>
          <w:szCs w:val="20"/>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45" w:lineRule="exact"/>
        <w:rPr>
          <w:sz w:val="20"/>
          <w:szCs w:val="20"/>
          <w:color w:val="auto"/>
        </w:rPr>
      </w:pPr>
    </w:p>
    <w:p>
      <w:pPr>
        <w:ind w:right="60" w:firstLine="8"/>
        <w:spacing w:after="0" w:line="261" w:lineRule="auto"/>
        <w:tabs>
          <w:tab w:leader="none" w:pos="2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200" w:lineRule="exact"/>
        <w:rPr>
          <w:sz w:val="20"/>
          <w:szCs w:val="20"/>
          <w:color w:val="auto"/>
        </w:rPr>
      </w:pPr>
    </w:p>
    <w:p>
      <w:pPr>
        <w:spacing w:after="0" w:line="396" w:lineRule="exact"/>
        <w:rPr>
          <w:sz w:val="20"/>
          <w:szCs w:val="20"/>
          <w:color w:val="auto"/>
        </w:rPr>
      </w:pPr>
    </w:p>
    <w:p>
      <w:pPr>
        <w:jc w:val="center"/>
        <w:ind w:right="7120"/>
        <w:spacing w:after="0"/>
        <w:rPr>
          <w:sz w:val="20"/>
          <w:szCs w:val="20"/>
          <w:color w:val="auto"/>
        </w:rPr>
      </w:pPr>
      <w:r>
        <w:rPr>
          <w:rFonts w:ascii="Times New Roman" w:cs="Times New Roman" w:eastAsia="Times New Roman" w:hAnsi="Times New Roman"/>
          <w:sz w:val="19"/>
          <w:szCs w:val="19"/>
          <w:b w:val="1"/>
          <w:bCs w:val="1"/>
          <w:color w:val="auto"/>
        </w:rPr>
        <w:t>For investor and media inquiries, please contact:</w:t>
      </w:r>
    </w:p>
    <w:p>
      <w:pPr>
        <w:spacing w:after="0" w:line="137" w:lineRule="exact"/>
        <w:rPr>
          <w:sz w:val="20"/>
          <w:szCs w:val="20"/>
          <w:color w:val="auto"/>
        </w:rPr>
      </w:pPr>
    </w:p>
    <w:p>
      <w:pPr>
        <w:ind w:left="340"/>
        <w:spacing w:after="0"/>
        <w:tabs>
          <w:tab w:leader="none" w:pos="2120" w:val="left"/>
        </w:tabs>
        <w:rPr>
          <w:sz w:val="20"/>
          <w:szCs w:val="20"/>
          <w:color w:val="auto"/>
        </w:rPr>
      </w:pPr>
      <w:r>
        <w:rPr>
          <w:rFonts w:ascii="Times New Roman" w:cs="Times New Roman" w:eastAsia="Times New Roman" w:hAnsi="Times New Roman"/>
          <w:sz w:val="20"/>
          <w:szCs w:val="20"/>
          <w:u w:val="single" w:color="auto"/>
          <w:color w:val="auto"/>
        </w:rPr>
        <w:t>In the United States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Blueshirt Group</w:t>
      </w:r>
    </w:p>
    <w:p>
      <w:pPr>
        <w:spacing w:after="0" w:line="2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Steven C. Pelayo, CFA</w:t>
      </w:r>
    </w:p>
    <w:p>
      <w:pPr>
        <w:spacing w:after="0" w:line="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+1 (360) 808-5154</w:t>
      </w:r>
    </w:p>
    <w:p>
      <w:pPr>
        <w:spacing w:after="0" w:line="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i w:val="1"/>
          <w:iCs w:val="1"/>
          <w:color w:val="auto"/>
        </w:rPr>
        <w:t>steven@blueshirtgroup.co</w:t>
      </w:r>
    </w:p>
    <w:p>
      <w:pPr>
        <w:spacing w:after="0" w:line="99" w:lineRule="exact"/>
        <w:rPr>
          <w:sz w:val="20"/>
          <w:szCs w:val="20"/>
          <w:color w:val="auto"/>
        </w:rPr>
      </w:pPr>
    </w:p>
    <w:p>
      <w:pPr>
        <w:ind w:left="340"/>
        <w:spacing w:after="0"/>
        <w:tabs>
          <w:tab w:leader="none" w:pos="1240" w:val="left"/>
        </w:tabs>
        <w:rPr>
          <w:sz w:val="20"/>
          <w:szCs w:val="20"/>
          <w:color w:val="auto"/>
        </w:rPr>
      </w:pPr>
      <w:r>
        <w:rPr>
          <w:rFonts w:ascii="Times New Roman" w:cs="Times New Roman" w:eastAsia="Times New Roman" w:hAnsi="Times New Roman"/>
          <w:sz w:val="20"/>
          <w:szCs w:val="20"/>
          <w:u w:val="single" w:color="auto"/>
          <w:color w:val="auto"/>
        </w:rPr>
        <w:t>In China</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Blueshirt Group Asia</w:t>
      </w:r>
    </w:p>
    <w:p>
      <w:pPr>
        <w:spacing w:after="0" w:line="2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Gary Dvorchak, CFA</w:t>
      </w:r>
    </w:p>
    <w:p>
      <w:pPr>
        <w:spacing w:after="0" w:line="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+86 (138) 1079-1480</w:t>
      </w:r>
    </w:p>
    <w:p>
      <w:pPr>
        <w:spacing w:after="0" w:line="1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i w:val="1"/>
          <w:iCs w:val="1"/>
          <w:color w:val="auto"/>
        </w:rPr>
        <w:t>gary@blueshirtgroup.co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Internal</w:t>
      </w:r>
    </w:p>
    <w:sectPr>
      <w:pgSz w:w="11900" w:h="16838" w:orient="portrait"/>
      <w:cols w:equalWidth="0" w:num="1">
        <w:col w:w="11240"/>
      </w:cols>
      <w:pgMar w:left="320" w:top="14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2026-04-27T08:07:02Z</dcterms:created>
  <dcterms:modified xsi:type="dcterms:W3CDTF">2026-04-27T08:07:02Z</dcterms:modified>
</cp:coreProperties>
</file>