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FF0000"/>
        </w:rPr>
        <w:drawing>
          <wp:anchor simplePos="0" relativeHeight="251657728" behindDoc="1" locked="0" layoutInCell="0" allowOverlap="1">
            <wp:simplePos x="0" y="0"/>
            <wp:positionH relativeFrom="page">
              <wp:posOffset>156845</wp:posOffset>
            </wp:positionH>
            <wp:positionV relativeFrom="page">
              <wp:posOffset>293370</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395605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As filed with the Securities and Exchange Commission on December 27, 2018.</w:t>
      </w: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333-228734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47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7247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13" w:lineRule="exact"/>
        <w:rPr>
          <w:sz w:val="24"/>
          <w:szCs w:val="24"/>
          <w:color w:val="auto"/>
        </w:rPr>
      </w:pPr>
    </w:p>
    <w:p>
      <w:pPr>
        <w:ind w:left="3060"/>
        <w:spacing w:after="0"/>
        <w:tabs>
          <w:tab w:leader="none" w:pos="75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94-3290283</w:t>
      </w:r>
    </w:p>
    <w:p>
      <w:pPr>
        <w:spacing w:after="0" w:line="28" w:lineRule="exact"/>
        <w:rPr>
          <w:sz w:val="24"/>
          <w:szCs w:val="24"/>
          <w:color w:val="auto"/>
        </w:rPr>
      </w:pPr>
    </w:p>
    <w:p>
      <w:pPr>
        <w:ind w:left="1440"/>
        <w:spacing w:after="0"/>
        <w:tabs>
          <w:tab w:leader="none" w:pos="6640" w:val="left"/>
        </w:tabs>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i w:val="1"/>
          <w:iCs w:val="1"/>
          <w:color w:val="auto"/>
        </w:rPr>
        <w:t>(I.R.S. Employer Identification Number)</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42307 Osgood Road, Suite I, Fremont, California 94539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(510) 445-3700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including zip code, and telephone number, including area code, of registrant’s principal executive offices)</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David H. Wang</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 and President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ACM Research, Inc.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42307 Osgood Road, Suite I, Fremont, California 94539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(510) 445-3700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(Name, address, including zip code, and telephone number, including area code, of agent for service)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L. Johnson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Bella Zaslavsky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K&amp;L Gates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One Lincoln Street, Boston, Massachusetts 02111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(617) 261-3100</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is declared effective.</w:t>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94"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16"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6"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6"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7"/>
          <w:szCs w:val="17"/>
          <w:color w:val="auto"/>
        </w:rPr>
        <w:t>☐</w:t>
      </w:r>
    </w:p>
    <w:p>
      <w:pPr>
        <w:spacing w:after="0" w:line="116"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1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00" w:right="239" w:bottom="1440" w:gutter="0" w:footer="0" w:header="0"/>
        </w:sectPr>
      </w:pPr>
    </w:p>
    <w:p>
      <w:pPr>
        <w:spacing w:after="0" w:line="2" w:lineRule="exact"/>
        <w:rPr>
          <w:sz w:val="24"/>
          <w:szCs w:val="24"/>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740"/>
              <w:spacing w:after="0" w:line="178" w:lineRule="exact"/>
              <w:rPr>
                <w:sz w:val="20"/>
                <w:szCs w:val="20"/>
                <w:color w:val="auto"/>
              </w:rPr>
            </w:pPr>
            <w:r>
              <w:rPr>
                <w:rFonts w:ascii="Times New Roman" w:cs="Times New Roman" w:eastAsia="Times New Roman" w:hAnsi="Times New Roman"/>
                <w:sz w:val="17"/>
                <w:szCs w:val="17"/>
                <w:color w:val="auto"/>
              </w:rPr>
              <w:t>Accelerated filer</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5"/>
        </w:trPr>
        <w:tc>
          <w:tcPr>
            <w:tcW w:w="28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880" w:type="dxa"/>
            <w:vAlign w:val="bottom"/>
          </w:tcPr>
          <w:p>
            <w:pPr>
              <w:spacing w:after="0"/>
              <w:rPr>
                <w:sz w:val="23"/>
                <w:szCs w:val="23"/>
                <w:color w:val="auto"/>
              </w:rPr>
            </w:pPr>
          </w:p>
        </w:tc>
        <w:tc>
          <w:tcPr>
            <w:tcW w:w="5220" w:type="dxa"/>
            <w:vAlign w:val="bottom"/>
          </w:tcPr>
          <w:p>
            <w:pPr>
              <w:ind w:left="2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15" w:lineRule="exact"/>
        <w:rPr>
          <w:sz w:val="24"/>
          <w:szCs w:val="24"/>
          <w:color w:val="auto"/>
        </w:rPr>
      </w:pPr>
    </w:p>
    <w:p>
      <w:pPr>
        <w:sectPr>
          <w:pgSz w:w="11900" w:h="16838" w:orient="portrait"/>
          <w:cols w:equalWidth="0" w:num="2">
            <w:col w:w="1680" w:space="720"/>
            <w:col w:w="9020"/>
          </w:cols>
          <w:pgMar w:left="240" w:top="700" w:right="239" w:bottom="1440" w:gutter="0" w:footer="0" w:header="0"/>
          <w:type w:val="continuous"/>
        </w:sectPr>
      </w:pPr>
    </w:p>
    <w:p>
      <w:pPr>
        <w:ind w:right="480"/>
        <w:spacing w:after="0" w:line="23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72472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34290"/>
                    </a:xfrm>
                    <a:prstGeom prst="rect">
                      <a:avLst/>
                    </a:prstGeom>
                    <a:noFill/>
                  </pic:spPr>
                </pic:pic>
              </a:graphicData>
            </a:graphic>
          </wp:anchor>
        </w:drawing>
      </w:r>
    </w:p>
    <w:p>
      <w:pPr>
        <w:sectPr>
          <w:pgSz w:w="11900" w:h="16838" w:orient="portrait"/>
          <w:cols w:equalWidth="0" w:num="1">
            <w:col w:w="11420"/>
          </w:cols>
          <w:pgMar w:left="240" w:top="700"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This Amendment No. 1 to Registration Statement on Form S-3 (File No. 333-228734) of ACM Research, Inc. is being filed solely for the purpose of filing Exhibit 5.01. Accordingly, this Amendment No. 1 consists of only the facing page, this explanatory note and Part II of the Registration Statement. The prospectus constituting Part I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THE PROSPECTUS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1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following (other than the fees of the Securities and Exchange Commission, or SEC, and the Financial Industry Regulatory Authority, or FINRA) are estimates of the expenses that the registrant may incur in connection with the offering and sale of the securities being registered hereby. All such expenses are to be paid by the registrant.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12,120</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Exchange listing fee</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 fees and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Trustee fees and expenses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agent fees and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___________</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ind w:left="160" w:hanging="153"/>
        <w:spacing w:after="0" w:line="278" w:lineRule="auto"/>
        <w:tabs>
          <w:tab w:leader="none" w:pos="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these amounts are based on the securities offered and the number of issuances, they cannot be estimated at this time and will be reflected in the applicable prospectus supplements.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Sections 145 and 102(b)(7) of the General Corporation Law of the State of Delaware provide that a corporation may indemnify any person made a party to an action by reason of the fact that the person was a director, officer, employee or agent of the corporation or is or was serving at the request of a corporation against expenses (including attorneys’ fees), judgments, fines and amounts paid in settlement actually and reasonably incurred by the person in connection with such action if the person acted in good faith and in a manner the person reasonably believed to be in, or not opposed to, the best interests of the corporation and, with respect to any criminal action or proceeding, had no reasonable cause to believe the person’s conduct was unlawful, except that, in the case of an action by or in right of the corporation, no indemnification may generally be made in respect of any claim as to which the person is adjudged to be liable to the corporation.</w:t>
      </w:r>
    </w:p>
    <w:p>
      <w:pPr>
        <w:spacing w:after="0" w:line="1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registrant’s charter contains provisions that eliminate, to the maximum extent permitted by the General Corporation Law of the State of Delaware, the personal liability of the registrant’s directors for monetary damages for breach of their fiduciary duties as directors. The registrant’s bylaws provide that the registrant must indemnify its directors and officers and may indemnify its employees and other agents to the fullest extent permitted by the General Corporation Law of the State of Delaware.</w:t>
      </w:r>
    </w:p>
    <w:p>
      <w:pPr>
        <w:spacing w:after="0" w:line="1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its directors and executive officers, in addition to the indemnification provided by its bylaws, and intends to enter into indemnification agreements with any new directors and executive officers in the future.</w:t>
      </w:r>
    </w:p>
    <w:p>
      <w:pPr>
        <w:spacing w:after="0" w:line="8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The registrant has purchased and intends to maintain insurance on behalf of any person who is or was a director or officer of the registrant against any loss arising from any claim asserted against the person and incurred by the person in any such capacity, subject to certain exclusions.</w:t>
      </w:r>
    </w:p>
    <w:p>
      <w:pPr>
        <w:spacing w:after="0" w:line="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In any underwriting agreement the registrant enters into in connection with the offering of securities being registered hereby, the underwriters may agree to indemnify, under certain conditions, the registrant’s directors and officers (as well as certain other persons) against certain liabilities arising in connection with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384175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1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XHIBIT</w:t>
            </w:r>
            <w:r>
              <w:rPr>
                <w:rFonts w:ascii="Times New Roman" w:cs="Times New Roman" w:eastAsia="Times New Roman" w:hAnsi="Times New Roman"/>
                <w:sz w:val="15"/>
                <w:szCs w:val="15"/>
                <w:b w:val="1"/>
                <w:bCs w:val="1"/>
                <w:color w:val="auto"/>
              </w:rPr>
              <w:t xml:space="preserve"> N</w:t>
            </w:r>
            <w:r>
              <w:rPr>
                <w:rFonts w:ascii="Times New Roman" w:cs="Times New Roman" w:eastAsia="Times New Roman" w:hAnsi="Times New Roman"/>
                <w:sz w:val="10"/>
                <w:szCs w:val="10"/>
                <w:b w:val="1"/>
                <w:bCs w:val="1"/>
                <w:color w:val="auto"/>
              </w:rPr>
              <w:t>O</w:t>
            </w: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5"/>
                <w:szCs w:val="15"/>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0"/>
                <w:szCs w:val="10"/>
                <w:b w:val="1"/>
                <w:bCs w:val="1"/>
                <w:color w:val="auto"/>
              </w:rPr>
              <w:t>ESCRIPTION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1.01*</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5" w:lineRule="exact"/>
              <w:rPr>
                <w:rFonts w:ascii="Times New Roman" w:cs="Times New Roman" w:eastAsia="Times New Roman" w:hAnsi="Times New Roman"/>
                <w:sz w:val="17"/>
                <w:szCs w:val="17"/>
                <w:color w:val="0000EE"/>
                <w:w w:val="93"/>
              </w:rPr>
            </w:pPr>
            <w:hyperlink r:id="rId16">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01</w:t>
              </w:r>
            </w:hyperlink>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Restated Certificate of Incorporation of ACM Research, Inc., as amended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6"/>
                <w:szCs w:val="16"/>
                <w:color w:val="auto"/>
              </w:rPr>
            </w:pPr>
          </w:p>
        </w:tc>
        <w:tc>
          <w:tcPr>
            <w:tcW w:w="300" w:type="dxa"/>
            <w:vAlign w:val="bottom"/>
            <w:tcBorders>
              <w:bottom w:val="single" w:sz="8" w:color="0000EE"/>
            </w:tcBorders>
            <w:shd w:val="clear" w:color="auto" w:fill="CCEEFF"/>
          </w:tcPr>
          <w:p>
            <w:pPr>
              <w:spacing w:after="0" w:line="175" w:lineRule="exact"/>
              <w:rPr>
                <w:rFonts w:ascii="Times New Roman" w:cs="Times New Roman" w:eastAsia="Times New Roman" w:hAnsi="Times New Roman"/>
                <w:sz w:val="17"/>
                <w:szCs w:val="17"/>
                <w:color w:val="0000EE"/>
                <w:w w:val="93"/>
              </w:rPr>
            </w:pPr>
            <w:hyperlink r:id="rId17">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02</w:t>
              </w:r>
            </w:hyperlink>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Restated Bylaws of ACM Research, Inc.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5" w:lineRule="exact"/>
              <w:rPr>
                <w:rFonts w:ascii="Times New Roman" w:cs="Times New Roman" w:eastAsia="Times New Roman" w:hAnsi="Times New Roman"/>
                <w:sz w:val="17"/>
                <w:szCs w:val="17"/>
                <w:color w:val="0000EE"/>
                <w:w w:val="93"/>
              </w:rPr>
            </w:pPr>
            <w:hyperlink r:id="rId16">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01</w:t>
              </w:r>
            </w:hyperlink>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7"/>
                <w:szCs w:val="17"/>
                <w:color w:val="auto"/>
              </w:rPr>
              <w:t>Restated Certificate of Incorporation of ACM Research, Inc., as amended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6"/>
                <w:szCs w:val="16"/>
                <w:color w:val="auto"/>
              </w:rPr>
            </w:pPr>
          </w:p>
        </w:tc>
        <w:tc>
          <w:tcPr>
            <w:tcW w:w="300" w:type="dxa"/>
            <w:vAlign w:val="bottom"/>
            <w:tcBorders>
              <w:bottom w:val="single" w:sz="8" w:color="0000EE"/>
            </w:tcBorders>
            <w:shd w:val="clear" w:color="auto" w:fill="CCEEFF"/>
          </w:tcPr>
          <w:p>
            <w:pPr>
              <w:spacing w:after="0" w:line="175" w:lineRule="exact"/>
              <w:rPr>
                <w:rFonts w:ascii="Times New Roman" w:cs="Times New Roman" w:eastAsia="Times New Roman" w:hAnsi="Times New Roman"/>
                <w:sz w:val="17"/>
                <w:szCs w:val="17"/>
                <w:color w:val="0000EE"/>
                <w:w w:val="93"/>
              </w:rPr>
            </w:pPr>
            <w:hyperlink r:id="rId17">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02</w:t>
              </w:r>
            </w:hyperlink>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Restated Bylaws of ACM Research, Inc.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5" w:lineRule="exact"/>
              <w:rPr>
                <w:rFonts w:ascii="Times New Roman" w:cs="Times New Roman" w:eastAsia="Times New Roman" w:hAnsi="Times New Roman"/>
                <w:sz w:val="17"/>
                <w:szCs w:val="17"/>
                <w:color w:val="0000EE"/>
                <w:w w:val="93"/>
              </w:rPr>
            </w:pPr>
            <w:hyperlink r:id="rId18">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03</w:t>
              </w:r>
            </w:hyperlink>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7"/>
                <w:szCs w:val="17"/>
                <w:color w:val="auto"/>
              </w:rPr>
              <w:t>Second Amended and Restated Registration Rights Agreement between ACM Research, Inc. and certain of its stockholders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6"/>
                <w:szCs w:val="16"/>
                <w:color w:val="auto"/>
              </w:rPr>
            </w:pPr>
          </w:p>
        </w:tc>
        <w:tc>
          <w:tcPr>
            <w:tcW w:w="300" w:type="dxa"/>
            <w:vAlign w:val="bottom"/>
            <w:tcBorders>
              <w:bottom w:val="single" w:sz="8" w:color="0000EE"/>
            </w:tcBorders>
            <w:shd w:val="clear" w:color="auto" w:fill="CCEEFF"/>
          </w:tcPr>
          <w:p>
            <w:pPr>
              <w:spacing w:after="0" w:line="175" w:lineRule="exact"/>
              <w:rPr>
                <w:rFonts w:ascii="Times New Roman" w:cs="Times New Roman" w:eastAsia="Times New Roman" w:hAnsi="Times New Roman"/>
                <w:sz w:val="17"/>
                <w:szCs w:val="17"/>
                <w:color w:val="0000EE"/>
                <w:w w:val="93"/>
              </w:rPr>
            </w:pPr>
            <w:hyperlink r:id="rId19">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04</w:t>
              </w:r>
            </w:hyperlink>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Form of Class A Common Stock Certificate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4.05*</w:t>
            </w:r>
          </w:p>
        </w:tc>
        <w:tc>
          <w:tcPr>
            <w:tcW w:w="24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Form of Preferred Stock Certificate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4.06*</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Senior Indenture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4.07*</w:t>
            </w:r>
          </w:p>
        </w:tc>
        <w:tc>
          <w:tcPr>
            <w:tcW w:w="2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7"/>
                <w:szCs w:val="17"/>
                <w:color w:val="auto"/>
              </w:rPr>
              <w:t>Form of Subordinated Indenture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4.08*</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Senior Note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4.09*</w:t>
            </w:r>
          </w:p>
        </w:tc>
        <w:tc>
          <w:tcPr>
            <w:tcW w:w="2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7"/>
                <w:szCs w:val="17"/>
                <w:color w:val="auto"/>
              </w:rPr>
              <w:t>Form of Subordinated Note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4.10*</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Warrant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4.11*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7"/>
                <w:szCs w:val="17"/>
                <w:color w:val="auto"/>
              </w:rPr>
              <w:t>Form of Warrant Agreement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4.12*</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Unit Agreement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5" w:lineRule="exact"/>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01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Opinion of K&amp;L Gates LLP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3"/>
            <w:shd w:val="clear" w:color="auto" w:fill="CCEEFF"/>
          </w:tcPr>
          <w:p>
            <w:pPr>
              <w:spacing w:after="0" w:line="175"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01</w:t>
              </w:r>
            </w:hyperlink>
          </w:p>
        </w:tc>
        <w:tc>
          <w:tcPr>
            <w:tcW w:w="24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Consent of BDO China Shu Lun Pan Certified Public Accountants LLP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23.02</w:t>
            </w:r>
          </w:p>
        </w:tc>
        <w:tc>
          <w:tcPr>
            <w:tcW w:w="2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7"/>
                <w:szCs w:val="17"/>
                <w:color w:val="auto"/>
              </w:rPr>
              <w:t>Consent of K&amp;L Gates LLP (included in Exhibit 5.01)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24.01</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 page of the Registration Statement as originally filed)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25.01*</w:t>
            </w:r>
          </w:p>
        </w:tc>
        <w:tc>
          <w:tcPr>
            <w:tcW w:w="240" w:type="dxa"/>
            <w:vAlign w:val="bottom"/>
          </w:tcPr>
          <w:p>
            <w:pPr>
              <w:spacing w:after="0"/>
              <w:rPr>
                <w:sz w:val="18"/>
                <w:szCs w:val="18"/>
                <w:color w:val="auto"/>
              </w:rPr>
            </w:pPr>
          </w:p>
        </w:tc>
        <w:tc>
          <w:tcPr>
            <w:tcW w:w="1004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Statement of Eligibility on Form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under the Trust Indenture Act of 1939 of the Trustee under the Senior Indenture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25.02*</w:t>
            </w:r>
          </w:p>
        </w:tc>
        <w:tc>
          <w:tcPr>
            <w:tcW w:w="24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7"/>
                <w:szCs w:val="17"/>
                <w:color w:val="auto"/>
              </w:rPr>
              <w:t>Statement of Eligibility on Form 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under the Trust Indenture Act of 1939 of the Trustee under the Subordinated Indenture</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be filed by amendment or incorporated by reference in connection with an offering of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69" w:lineRule="exact"/>
        <w:rPr>
          <w:sz w:val="20"/>
          <w:szCs w:val="20"/>
          <w:color w:val="auto"/>
        </w:rPr>
      </w:pPr>
    </w:p>
    <w:p>
      <w:pPr>
        <w:ind w:left="320" w:hanging="313"/>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67" w:lineRule="exact"/>
        <w:rPr>
          <w:rFonts w:ascii="Times New Roman" w:cs="Times New Roman" w:eastAsia="Times New Roman" w:hAnsi="Times New Roman"/>
          <w:sz w:val="17"/>
          <w:szCs w:val="17"/>
          <w:color w:val="auto"/>
        </w:rPr>
      </w:pPr>
    </w:p>
    <w:p>
      <w:pPr>
        <w:ind w:left="660" w:hanging="330"/>
        <w:spacing w:after="0"/>
        <w:tabs>
          <w:tab w:leader="none" w:pos="6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7"/>
          <w:szCs w:val="17"/>
          <w:color w:val="auto"/>
        </w:rPr>
      </w:pPr>
    </w:p>
    <w:p>
      <w:pPr>
        <w:ind w:left="980" w:hanging="328"/>
        <w:spacing w:after="0"/>
        <w:tabs>
          <w:tab w:leader="none" w:pos="9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67" w:lineRule="exact"/>
        <w:rPr>
          <w:rFonts w:ascii="Times New Roman" w:cs="Times New Roman" w:eastAsia="Times New Roman" w:hAnsi="Times New Roman"/>
          <w:sz w:val="17"/>
          <w:szCs w:val="17"/>
          <w:color w:val="auto"/>
        </w:rPr>
      </w:pPr>
    </w:p>
    <w:p>
      <w:pPr>
        <w:jc w:val="both"/>
        <w:ind w:left="980" w:hanging="328"/>
        <w:spacing w:after="0" w:line="271" w:lineRule="auto"/>
        <w:tabs>
          <w:tab w:leader="none" w:pos="9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 effective amendment thereof) that,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2" w:lineRule="exact"/>
        <w:rPr>
          <w:rFonts w:ascii="Times New Roman" w:cs="Times New Roman" w:eastAsia="Times New Roman" w:hAnsi="Times New Roman"/>
          <w:sz w:val="17"/>
          <w:szCs w:val="17"/>
          <w:color w:val="auto"/>
        </w:rPr>
      </w:pPr>
    </w:p>
    <w:p>
      <w:pPr>
        <w:ind w:left="1000" w:hanging="348"/>
        <w:spacing w:after="0" w:line="303" w:lineRule="auto"/>
        <w:tabs>
          <w:tab w:leader="none" w:pos="10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jc w:val="both"/>
        <w:ind w:left="320"/>
        <w:spacing w:after="0" w:line="27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above do not apply if the information required to be included in a post-effective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 w:name="page5"/>
    <w:bookmarkEnd w:id="4"/>
    <w:p>
      <w:pPr>
        <w:jc w:val="both"/>
        <w:ind w:left="653" w:hanging="330"/>
        <w:spacing w:after="0" w:line="283" w:lineRule="auto"/>
        <w:tabs>
          <w:tab w:leader="none" w:pos="6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0" w:lineRule="exact"/>
        <w:rPr>
          <w:rFonts w:ascii="Times New Roman" w:cs="Times New Roman" w:eastAsia="Times New Roman" w:hAnsi="Times New Roman"/>
          <w:sz w:val="17"/>
          <w:szCs w:val="17"/>
          <w:color w:val="auto"/>
        </w:rPr>
      </w:pPr>
    </w:p>
    <w:p>
      <w:pPr>
        <w:ind w:left="653" w:hanging="330"/>
        <w:spacing w:after="0" w:line="303" w:lineRule="auto"/>
        <w:tabs>
          <w:tab w:leader="none" w:pos="6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that remain unsold at the termination of the offering.</w:t>
      </w:r>
    </w:p>
    <w:p>
      <w:pPr>
        <w:spacing w:after="0" w:line="83" w:lineRule="exact"/>
        <w:rPr>
          <w:rFonts w:ascii="Times New Roman" w:cs="Times New Roman" w:eastAsia="Times New Roman" w:hAnsi="Times New Roman"/>
          <w:sz w:val="17"/>
          <w:szCs w:val="17"/>
          <w:color w:val="auto"/>
        </w:rPr>
      </w:pPr>
    </w:p>
    <w:p>
      <w:pPr>
        <w:ind w:left="653" w:hanging="330"/>
        <w:spacing w:after="0"/>
        <w:tabs>
          <w:tab w:leader="none" w:pos="6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167" w:lineRule="exact"/>
        <w:rPr>
          <w:rFonts w:ascii="Times New Roman" w:cs="Times New Roman" w:eastAsia="Times New Roman" w:hAnsi="Times New Roman"/>
          <w:sz w:val="17"/>
          <w:szCs w:val="17"/>
          <w:color w:val="auto"/>
        </w:rPr>
      </w:pPr>
    </w:p>
    <w:p>
      <w:pPr>
        <w:ind w:left="973" w:right="20" w:hanging="328"/>
        <w:spacing w:after="0" w:line="303" w:lineRule="auto"/>
        <w:tabs>
          <w:tab w:leader="none" w:pos="973"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7"/>
          <w:szCs w:val="17"/>
          <w:color w:val="auto"/>
        </w:rPr>
      </w:pPr>
    </w:p>
    <w:p>
      <w:pPr>
        <w:jc w:val="both"/>
        <w:ind w:left="973" w:hanging="328"/>
        <w:spacing w:after="0" w:line="267" w:lineRule="auto"/>
        <w:tabs>
          <w:tab w:leader="none" w:pos="973"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rFonts w:ascii="Times New Roman" w:cs="Times New Roman" w:eastAsia="Times New Roman" w:hAnsi="Times New Roman"/>
          <w:sz w:val="17"/>
          <w:szCs w:val="17"/>
          <w:color w:val="auto"/>
        </w:rPr>
      </w:pPr>
    </w:p>
    <w:p>
      <w:pPr>
        <w:ind w:left="653" w:hanging="330"/>
        <w:spacing w:after="0"/>
        <w:tabs>
          <w:tab w:leader="none" w:pos="6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w:t>
      </w:r>
    </w:p>
    <w:p>
      <w:pPr>
        <w:spacing w:after="0" w:line="167" w:lineRule="exact"/>
        <w:rPr>
          <w:rFonts w:ascii="Times New Roman" w:cs="Times New Roman" w:eastAsia="Times New Roman" w:hAnsi="Times New Roman"/>
          <w:sz w:val="17"/>
          <w:szCs w:val="17"/>
          <w:color w:val="auto"/>
        </w:rPr>
      </w:pPr>
    </w:p>
    <w:p>
      <w:pPr>
        <w:jc w:val="both"/>
        <w:ind w:left="653"/>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20" w:lineRule="exact"/>
        <w:rPr>
          <w:sz w:val="20"/>
          <w:szCs w:val="20"/>
          <w:color w:val="auto"/>
        </w:rPr>
      </w:pPr>
    </w:p>
    <w:p>
      <w:pPr>
        <w:ind w:left="973" w:hanging="328"/>
        <w:spacing w:after="0"/>
        <w:tabs>
          <w:tab w:leader="none" w:pos="97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67" w:lineRule="exact"/>
        <w:rPr>
          <w:rFonts w:ascii="Times New Roman" w:cs="Times New Roman" w:eastAsia="Times New Roman" w:hAnsi="Times New Roman"/>
          <w:sz w:val="17"/>
          <w:szCs w:val="17"/>
          <w:color w:val="auto"/>
        </w:rPr>
      </w:pPr>
    </w:p>
    <w:p>
      <w:pPr>
        <w:ind w:left="973" w:hanging="328"/>
        <w:spacing w:after="0" w:line="303" w:lineRule="auto"/>
        <w:tabs>
          <w:tab w:leader="none" w:pos="97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3" w:lineRule="exact"/>
        <w:rPr>
          <w:rFonts w:ascii="Times New Roman" w:cs="Times New Roman" w:eastAsia="Times New Roman" w:hAnsi="Times New Roman"/>
          <w:sz w:val="17"/>
          <w:szCs w:val="17"/>
          <w:color w:val="auto"/>
        </w:rPr>
      </w:pPr>
    </w:p>
    <w:p>
      <w:pPr>
        <w:ind w:left="973" w:hanging="328"/>
        <w:spacing w:after="0" w:line="303" w:lineRule="auto"/>
        <w:tabs>
          <w:tab w:leader="none" w:pos="97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7"/>
          <w:szCs w:val="17"/>
          <w:color w:val="auto"/>
        </w:rPr>
      </w:pPr>
    </w:p>
    <w:p>
      <w:pPr>
        <w:ind w:left="973" w:hanging="328"/>
        <w:spacing w:after="0"/>
        <w:tabs>
          <w:tab w:leader="none" w:pos="97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67" w:lineRule="exact"/>
        <w:rPr>
          <w:rFonts w:ascii="Times New Roman" w:cs="Times New Roman" w:eastAsia="Times New Roman" w:hAnsi="Times New Roman"/>
          <w:sz w:val="17"/>
          <w:szCs w:val="17"/>
          <w:color w:val="auto"/>
        </w:rPr>
      </w:pPr>
    </w:p>
    <w:p>
      <w:pPr>
        <w:jc w:val="both"/>
        <w:ind w:left="313" w:hanging="313"/>
        <w:spacing w:after="0" w:line="273"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Times New Roman" w:cs="Times New Roman" w:eastAsia="Times New Roman" w:hAnsi="Times New Roman"/>
          <w:sz w:val="17"/>
          <w:szCs w:val="17"/>
          <w:color w:val="auto"/>
        </w:rPr>
      </w:pPr>
    </w:p>
    <w:p>
      <w:pPr>
        <w:jc w:val="both"/>
        <w:ind w:left="313" w:hanging="313"/>
        <w:spacing w:after="0" w:line="270"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rFonts w:ascii="Times New Roman" w:cs="Times New Roman" w:eastAsia="Times New Roman" w:hAnsi="Times New Roman"/>
          <w:sz w:val="17"/>
          <w:szCs w:val="17"/>
          <w:color w:val="auto"/>
        </w:rPr>
      </w:pPr>
    </w:p>
    <w:p>
      <w:pPr>
        <w:jc w:val="both"/>
        <w:ind w:left="313" w:hanging="313"/>
        <w:spacing w:after="0" w:line="283" w:lineRule="auto"/>
        <w:tabs>
          <w:tab w:leader="none" w:pos="3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3"/>
          </w:cols>
          <w:pgMar w:left="247" w:top="555"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Amendment No. 1 to Registration Statement to be signed on its behalf by the undersigned, thereunto duly authorized, in the City of Fremont, State of California, on December 26, 2018.</w:t>
      </w:r>
    </w:p>
    <w:p>
      <w:pPr>
        <w:spacing w:after="0" w:line="15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ACM RESEARCH, INC.</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7"/>
          <w:szCs w:val="17"/>
          <w:color w:val="auto"/>
        </w:rPr>
        <w:t xml:space="preserve"> H. W</w:t>
      </w:r>
      <w:r>
        <w:rPr>
          <w:rFonts w:ascii="Times New Roman" w:cs="Times New Roman" w:eastAsia="Times New Roman" w:hAnsi="Times New Roman"/>
          <w:sz w:val="12"/>
          <w:szCs w:val="12"/>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21590</wp:posOffset>
            </wp:positionV>
            <wp:extent cx="25323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David H. Wang</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22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Amendment No. 1 to Registration Statement has been signed by the following persons on behalf of the registrant in the capacities indicated on December 26, 2018.</w:t>
      </w:r>
    </w:p>
    <w:p>
      <w:pPr>
        <w:spacing w:after="0" w:line="8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IGNATURE</w:t>
      </w:r>
      <w:r>
        <w:rPr>
          <w:sz w:val="20"/>
          <w:szCs w:val="20"/>
          <w:color w:val="auto"/>
        </w:rPr>
        <w:tab/>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1"/>
          <w:szCs w:val="11"/>
          <w:b w:val="1"/>
          <w:bCs w:val="1"/>
          <w:color w:val="auto"/>
        </w:rPr>
        <w: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47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7"/>
          <w:szCs w:val="17"/>
          <w:color w:val="auto"/>
        </w:rPr>
        <w:t xml:space="preserve"> H. W</w:t>
      </w:r>
      <w:r>
        <w:rPr>
          <w:rFonts w:ascii="Times New Roman" w:cs="Times New Roman" w:eastAsia="Times New Roman" w:hAnsi="Times New Roman"/>
          <w:sz w:val="12"/>
          <w:szCs w:val="12"/>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H. Wang</w:t>
      </w: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Lisa Feng</w:t>
      </w: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Haiping Dun</w:t>
      </w: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Chenming Hu</w:t>
      </w: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Tracy Liu</w:t>
      </w: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8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294005</wp:posOffset>
            </wp:positionV>
            <wp:extent cx="34785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47853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Zhengfan Yang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7"/>
          <w:szCs w:val="17"/>
          <w:color w:val="auto"/>
        </w:rPr>
        <w:t xml:space="preserve"> H. W</w:t>
      </w:r>
      <w:r>
        <w:rPr>
          <w:rFonts w:ascii="Times New Roman" w:cs="Times New Roman" w:eastAsia="Times New Roman" w:hAnsi="Times New Roman"/>
          <w:sz w:val="12"/>
          <w:szCs w:val="12"/>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21590</wp:posOffset>
            </wp:positionV>
            <wp:extent cx="31889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David H. Wang,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President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and Chair of the Board </w:t>
      </w:r>
      <w:r>
        <w:rPr>
          <w:rFonts w:ascii="Times New Roman" w:cs="Times New Roman" w:eastAsia="Times New Roman" w:hAnsi="Times New Roman"/>
          <w:sz w:val="17"/>
          <w:szCs w:val="17"/>
          <w:i w:val="1"/>
          <w:iCs w:val="1"/>
          <w:color w:val="auto"/>
        </w:rPr>
        <w:t>(Principal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Chief Accounting Officer and Treasurer </w:t>
      </w:r>
      <w:r>
        <w:rPr>
          <w:rFonts w:ascii="Times New Roman" w:cs="Times New Roman" w:eastAsia="Times New Roman" w:hAnsi="Times New Roman"/>
          <w:sz w:val="17"/>
          <w:szCs w:val="17"/>
          <w:i w:val="1"/>
          <w:iCs w:val="1"/>
          <w:color w:val="auto"/>
        </w:rPr>
        <w:t>(Principal Financial and Accounting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1240790</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2">
            <w:col w:w="5000" w:space="720"/>
            <w:col w:w="5700"/>
          </w:cols>
          <w:pgMar w:left="240" w:top="553" w:right="2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5.01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K&amp;L Gates LLP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 Street Financial Center, One Lincoln Street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Boston, Massachusetts 02111-2950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27,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ACM Research,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42307 Osgood Road, Suite 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Fremont, California 94539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acted as counsel to ACM Research, Inc., a Delaware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in connection with the Company’s filing with the Securities and Exchange Commission (the “</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of a registration statement on Form S-3 (File No. 333-228734) (as initially filed on December 10, 2018, and as subsequently amended, the “</w:t>
      </w:r>
      <w:r>
        <w:rPr>
          <w:rFonts w:ascii="Times New Roman" w:cs="Times New Roman" w:eastAsia="Times New Roman" w:hAnsi="Times New Roman"/>
          <w:sz w:val="17"/>
          <w:szCs w:val="17"/>
          <w:i w:val="1"/>
          <w:iCs w:val="1"/>
          <w:color w:val="auto"/>
        </w:rPr>
        <w:t>Registration Statement</w:t>
      </w:r>
      <w:r>
        <w:rPr>
          <w:rFonts w:ascii="Times New Roman" w:cs="Times New Roman" w:eastAsia="Times New Roman" w:hAnsi="Times New Roman"/>
          <w:sz w:val="17"/>
          <w:szCs w:val="17"/>
          <w:color w:val="auto"/>
        </w:rPr>
        <w:t>”), including a base prospectus (the “</w:t>
      </w:r>
      <w:r>
        <w:rPr>
          <w:rFonts w:ascii="Times New Roman" w:cs="Times New Roman" w:eastAsia="Times New Roman" w:hAnsi="Times New Roman"/>
          <w:sz w:val="17"/>
          <w:szCs w:val="17"/>
          <w:i w:val="1"/>
          <w:iCs w:val="1"/>
          <w:color w:val="auto"/>
        </w:rPr>
        <w:t>Base Prospectus</w:t>
      </w:r>
      <w:r>
        <w:rPr>
          <w:rFonts w:ascii="Times New Roman" w:cs="Times New Roman" w:eastAsia="Times New Roman" w:hAnsi="Times New Roman"/>
          <w:sz w:val="17"/>
          <w:szCs w:val="17"/>
          <w:color w:val="auto"/>
        </w:rPr>
        <w:t>”) that provides it will be supplemented by one or more prospectus supplements (each such prospectus supplement, together with the Base Prospectus, a “</w:t>
      </w:r>
      <w:r>
        <w:rPr>
          <w:rFonts w:ascii="Times New Roman" w:cs="Times New Roman" w:eastAsia="Times New Roman" w:hAnsi="Times New Roman"/>
          <w:sz w:val="17"/>
          <w:szCs w:val="17"/>
          <w:i w:val="1"/>
          <w:iCs w:val="1"/>
          <w:color w:val="auto"/>
        </w:rPr>
        <w:t>Prospectus</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i w:val="1"/>
          <w:iCs w:val="1"/>
          <w:color w:val="auto"/>
        </w:rPr>
        <w:t>1933 Act</w:t>
      </w:r>
      <w:r>
        <w:rPr>
          <w:rFonts w:ascii="Times New Roman" w:cs="Times New Roman" w:eastAsia="Times New Roman" w:hAnsi="Times New Roman"/>
          <w:sz w:val="17"/>
          <w:szCs w:val="17"/>
          <w:color w:val="auto"/>
        </w:rPr>
        <w:t>”), for the proposed issuance and sale by the Company of up to $100,000,000 in offering price of (a) shares of the Company’s Class A common stock, $0.0001 par value per share (“</w:t>
      </w:r>
      <w:r>
        <w:rPr>
          <w:rFonts w:ascii="Times New Roman" w:cs="Times New Roman" w:eastAsia="Times New Roman" w:hAnsi="Times New Roman"/>
          <w:sz w:val="17"/>
          <w:szCs w:val="17"/>
          <w:i w:val="1"/>
          <w:iCs w:val="1"/>
          <w:color w:val="auto"/>
        </w:rPr>
        <w:t>Class A Common Shares</w:t>
      </w:r>
      <w:r>
        <w:rPr>
          <w:rFonts w:ascii="Times New Roman" w:cs="Times New Roman" w:eastAsia="Times New Roman" w:hAnsi="Times New Roman"/>
          <w:sz w:val="17"/>
          <w:szCs w:val="17"/>
          <w:color w:val="auto"/>
        </w:rPr>
        <w:t>”), (b) shares of one or more series of the Company’s preferred stock, $0.0001 par value per share (“</w:t>
      </w:r>
      <w:r>
        <w:rPr>
          <w:rFonts w:ascii="Times New Roman" w:cs="Times New Roman" w:eastAsia="Times New Roman" w:hAnsi="Times New Roman"/>
          <w:sz w:val="17"/>
          <w:szCs w:val="17"/>
          <w:i w:val="1"/>
          <w:iCs w:val="1"/>
          <w:color w:val="auto"/>
        </w:rPr>
        <w:t>Preferred Shares</w:t>
      </w:r>
      <w:r>
        <w:rPr>
          <w:rFonts w:ascii="Times New Roman" w:cs="Times New Roman" w:eastAsia="Times New Roman" w:hAnsi="Times New Roman"/>
          <w:sz w:val="17"/>
          <w:szCs w:val="17"/>
          <w:color w:val="auto"/>
        </w:rPr>
        <w:t>”), (c) one or more series of the Company’s debt securities (collectively, “</w:t>
      </w:r>
      <w:r>
        <w:rPr>
          <w:rFonts w:ascii="Times New Roman" w:cs="Times New Roman" w:eastAsia="Times New Roman" w:hAnsi="Times New Roman"/>
          <w:sz w:val="17"/>
          <w:szCs w:val="17"/>
          <w:i w:val="1"/>
          <w:iCs w:val="1"/>
          <w:color w:val="auto"/>
        </w:rPr>
        <w:t>Debt Securities</w:t>
      </w:r>
      <w:r>
        <w:rPr>
          <w:rFonts w:ascii="Times New Roman" w:cs="Times New Roman" w:eastAsia="Times New Roman" w:hAnsi="Times New Roman"/>
          <w:sz w:val="17"/>
          <w:szCs w:val="17"/>
          <w:color w:val="auto"/>
        </w:rPr>
        <w:t>”) to be issued under indentures to be entered into between the Company and the respective trustees party thereto and one or more board resolutions, supplements thereto or officers’ certificates thereunder (such indentures, together with the applicable board resolutions, supplements or officers’ certificates, the “</w:t>
      </w:r>
      <w:r>
        <w:rPr>
          <w:rFonts w:ascii="Times New Roman" w:cs="Times New Roman" w:eastAsia="Times New Roman" w:hAnsi="Times New Roman"/>
          <w:sz w:val="17"/>
          <w:szCs w:val="17"/>
          <w:i w:val="1"/>
          <w:iCs w:val="1"/>
          <w:color w:val="auto"/>
        </w:rPr>
        <w:t>Indentures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(d) warrants for the purchase of Class A Common Shares, Preferred Shares or Debt Securities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and (e) units (“</w:t>
      </w:r>
      <w:r>
        <w:rPr>
          <w:rFonts w:ascii="Times New Roman" w:cs="Times New Roman" w:eastAsia="Times New Roman" w:hAnsi="Times New Roman"/>
          <w:sz w:val="17"/>
          <w:szCs w:val="17"/>
          <w:i w:val="1"/>
          <w:iCs w:val="1"/>
          <w:color w:val="auto"/>
        </w:rPr>
        <w:t>Units</w:t>
      </w:r>
      <w:r>
        <w:rPr>
          <w:rFonts w:ascii="Times New Roman" w:cs="Times New Roman" w:eastAsia="Times New Roman" w:hAnsi="Times New Roman"/>
          <w:sz w:val="17"/>
          <w:szCs w:val="17"/>
          <w:color w:val="auto"/>
        </w:rPr>
        <w:t>”). The Class A Common Shares, Preferred Shares, Debt Securities, Warrants and Units being registered pursuant to the Registration Statement, together with any additional Class A Common Shares, Preferred Shares, Debt Securities, Warrants and Units that may be registered pursuant to any subsequent registration statement that the Company may hereafter file with the Commission pursuant to Rule 462(b) under the 1933 Act in connection with the offering by the Company contemplated by the Registration Statement, are referred to herein collectively as the “</w:t>
      </w:r>
      <w:r>
        <w:rPr>
          <w:rFonts w:ascii="Times New Roman" w:cs="Times New Roman" w:eastAsia="Times New Roman" w:hAnsi="Times New Roman"/>
          <w:sz w:val="17"/>
          <w:szCs w:val="17"/>
          <w:i w:val="1"/>
          <w:iCs w:val="1"/>
          <w:color w:val="auto"/>
        </w:rPr>
        <w:t>Securities</w:t>
      </w:r>
      <w:r>
        <w:rPr>
          <w:rFonts w:ascii="Times New Roman" w:cs="Times New Roman" w:eastAsia="Times New Roman" w:hAnsi="Times New Roman"/>
          <w:sz w:val="17"/>
          <w:szCs w:val="17"/>
          <w:color w:val="auto"/>
        </w:rPr>
        <w:t>.”</w:t>
      </w:r>
    </w:p>
    <w:p>
      <w:pPr>
        <w:spacing w:after="0" w:line="3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This opinion is being furnished in connection with the requirements of Item 601(b)(5) of Regulation S-K under the 1933 Act, and no opinion is expressed herein as to any matter pertaining to the contents of the Registration Statement or related applicable Prospectus, other than as expressly stated herein with respect to the issue of the Securities.</w:t>
      </w:r>
    </w:p>
    <w:p>
      <w:pPr>
        <w:spacing w:after="0" w:line="1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such counsel, we have examined such matters of fact and questions of law as we have deemed necessary for purposes of rendering the opinions set forth below. With your consent, we have relied upon certificates and other assurances of officers of the Company and others as to factual matters without having independently verified such factual matters. With your consent, we have assumed that (1) each of the Debt Securities, Warrants, Units, Indentures, warrant agreements and unit agreements governing such Securities (collectively pertaining to such Securities, the “</w:t>
      </w:r>
      <w:r>
        <w:rPr>
          <w:rFonts w:ascii="Times New Roman" w:cs="Times New Roman" w:eastAsia="Times New Roman" w:hAnsi="Times New Roman"/>
          <w:sz w:val="17"/>
          <w:szCs w:val="17"/>
          <w:i w:val="1"/>
          <w:iCs w:val="1"/>
          <w:color w:val="auto"/>
        </w:rPr>
        <w:t>Applicable Documents</w:t>
      </w:r>
      <w:r>
        <w:rPr>
          <w:rFonts w:ascii="Times New Roman" w:cs="Times New Roman" w:eastAsia="Times New Roman" w:hAnsi="Times New Roman"/>
          <w:sz w:val="17"/>
          <w:szCs w:val="17"/>
          <w:color w:val="auto"/>
        </w:rPr>
        <w:t>”) will be governed by the internal laws of the State of New York, (2) each of the Applicable Documents has been or will be duly authorized, executed and delivered by the parties thereto, (3) each of the Applicable Documents constitutes or will constitute a legally valid and binding obligation of the parties thereto other than the Company, enforceable against each of them in accordance with its terms, and (4) the status of each of the Applicable Documents as a legally valid and binding obligation of the parties will not be affected by any (A) breach of, or default under, any agreement or instrument, (B) violation of any statute, rule, regulation, or court or governmental order, or (C) failures to obtain any required consent, approval or authorization from, or to make any required registration, declaration or filing with, any governmental authorities. In rendering the opinions set forth in paragraphs 1 and 2 below, we have assumed the Company will comply with all applicable notice requirements set forth in the General Corporation Law of the State of Delaware with respect to uncertificated shares.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In addition, w express no opinion as to (a) any provision for liquidated damages, default interest, late charges, monetary penalties, make-whole premiums or other economic remedies to the extent such provisions are deemed to constitute a penalty, (b) any consent to, or restriction upon, governing law, jurisdiction, venue, arbitration, remedies, or judicial relief, (c) any waiver of rights or defenses, (d) any provision requiring the payment of attorneys’ fees, where such payment is contrary to law or public policy, (e) any provision permitting, upon acceleration of any Debt Securities, collection of that portion of the stated principal amount thereof that might be determined to constitute unearned interest thereon, (f) the creation, validity, attachment, perfection or priority of any lien or security interest, (g) any advance waiver of claims, defenses, rights granted by law, or notice, opportunity for hearing, evidentiary requirements, statutes of limitation, trial by jury or at law, or other procedural rights, (h) any waiver of broadly or vaguely stated rights, (i) any provision for exclusivity, election or cumulation of rights or remedies, (j) any provision authorizing or validating conclusive or discretionary determinations, (k) any grant of setoff rights, (l) any proxy, power or trust, (m) any provision prohibiting, restricting, or requiring consent to assignment or transfer of any right or property, (n) any provision requiring that a claim with respect to a security denominated in other than U.S. dollars (or a judgment in respect of such a claim) be converted into U.S. dollars at a rate of exchange at a particular date, to the extent applicable law otherwise provides, and (o) the severability, if invalid, of any provision to the foregoing effect.</w:t>
      </w:r>
    </w:p>
    <w:p>
      <w:pPr>
        <w:spacing w:after="0" w:line="1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opinions are limited to the General Corporation Law of the State of Delaware, including the applicable provisions of the Delaware Constitution and reported judicial decisions interpreting those laws, and, with respect to the opinions set forth in paragraphs 3, 4 and 5 below, the internal laws of the State of New York.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11420"/>
          </w:cols>
          <w:pgMar w:left="240" w:top="123" w:right="2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Based upon and subject to the foregoing, it is our opinion that, as of the date hereof:</w:t>
      </w:r>
    </w:p>
    <w:p>
      <w:pPr>
        <w:spacing w:after="0" w:line="167" w:lineRule="exact"/>
        <w:rPr>
          <w:sz w:val="20"/>
          <w:szCs w:val="20"/>
          <w:color w:val="auto"/>
        </w:rPr>
      </w:pPr>
    </w:p>
    <w:p>
      <w:pPr>
        <w:jc w:val="both"/>
        <w:ind w:left="320" w:hanging="313"/>
        <w:spacing w:after="0" w:line="273"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issuance of Class A Common Shares has been duly authorized by all necessary corporate action of the Company, upon issuance, delivery and payment therefor in an amount not less than the par value thereof in the manner contemplated by the applicable Prospectus and by such corporate action, and in total numbers of Class A Common Shares that do not exceed the respective total numbers of Class A Common Shares (a) available under the Company’s Restated Certificate of Incorporation, as amended, and (b) authorized by the Company’s board of directors in connection with the offering contemplated by the applicable Prospectus, such Class A Common Shares will be validly issued, fully paid and nonassessable.</w:t>
      </w:r>
    </w:p>
    <w:p>
      <w:pPr>
        <w:spacing w:after="0" w:line="110" w:lineRule="exact"/>
        <w:rPr>
          <w:rFonts w:ascii="Times New Roman" w:cs="Times New Roman" w:eastAsia="Times New Roman" w:hAnsi="Times New Roman"/>
          <w:sz w:val="17"/>
          <w:szCs w:val="17"/>
          <w:color w:val="auto"/>
        </w:rPr>
      </w:pPr>
    </w:p>
    <w:p>
      <w:pPr>
        <w:jc w:val="both"/>
        <w:ind w:left="320" w:hanging="313"/>
        <w:spacing w:after="0" w:line="271"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series of Preferred Shares has been duly established in accordance with the terms of the Company’s Restated Certificate of Incorporation, as amended, and the issuance of Preferred Shares of such series has been duly authorized by all necessary corporate action of the Company, upon issuance, delivery and payment therefor in an amount not less than the par value thereof in the manner contemplated by the applicable Prospectus and by such corporate action, and in total numbers of Preferred Shares of such series that do not exceed the respective total numbers of Preferred Shares of such series (a) available under the Company’s Restated Certificate of Incorporation, as amended, and (b) authorized by the Company’s board of directors in connection with the offering contemplated by the applicable Prospectus, such Preferred Shares of such series will be validly issued, fully paid and nonassessable.</w:t>
      </w:r>
    </w:p>
    <w:p>
      <w:pPr>
        <w:spacing w:after="0" w:line="112" w:lineRule="exact"/>
        <w:rPr>
          <w:rFonts w:ascii="Times New Roman" w:cs="Times New Roman" w:eastAsia="Times New Roman" w:hAnsi="Times New Roman"/>
          <w:sz w:val="17"/>
          <w:szCs w:val="17"/>
          <w:color w:val="auto"/>
        </w:rPr>
      </w:pPr>
    </w:p>
    <w:p>
      <w:pPr>
        <w:jc w:val="both"/>
        <w:ind w:left="320" w:hanging="313"/>
        <w:spacing w:after="0" w:line="273"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Indenture has been duly authorized, executed and delivered by all necessary corporate action of the Company and the specific terms of a particular series of Debt Securities have been duly established in accordance with the terms of the applicable Indenture and authorized by all necessary corporate action of the Company, upon due execution, authentication, issuance and delivery against payment therefor in accordance with the terms of the applicable Indenture and in the manner contemplated by the applicable Prospectus and by such corporate action, such Debt Securities will be legally valid and binding obligations of the Company, enforceable against the Company in accordance with their terms.</w:t>
      </w:r>
    </w:p>
    <w:p>
      <w:pPr>
        <w:spacing w:after="0" w:line="110" w:lineRule="exact"/>
        <w:rPr>
          <w:rFonts w:ascii="Times New Roman" w:cs="Times New Roman" w:eastAsia="Times New Roman" w:hAnsi="Times New Roman"/>
          <w:sz w:val="17"/>
          <w:szCs w:val="17"/>
          <w:color w:val="auto"/>
        </w:rPr>
      </w:pPr>
    </w:p>
    <w:p>
      <w:pPr>
        <w:jc w:val="both"/>
        <w:ind w:left="320" w:hanging="313"/>
        <w:spacing w:after="0" w:line="271"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warrant agreement has been duly authorized, executed and delivered by all necessary corporate action of the Company and the specific terms of a particular issuance of Warrants have been duly established in accordance with the terms of the applicable warrant agreement and authorized by all necessary corporate action of the Company, upon due execution, authentication, issuance and delivery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legally valid and binding obligations of the Company, enforceable against the Company in accordance with their terms.</w:t>
      </w:r>
    </w:p>
    <w:p>
      <w:pPr>
        <w:spacing w:after="0" w:line="112" w:lineRule="exact"/>
        <w:rPr>
          <w:rFonts w:ascii="Times New Roman" w:cs="Times New Roman" w:eastAsia="Times New Roman" w:hAnsi="Times New Roman"/>
          <w:sz w:val="17"/>
          <w:szCs w:val="17"/>
          <w:color w:val="auto"/>
        </w:rPr>
      </w:pPr>
    </w:p>
    <w:p>
      <w:pPr>
        <w:jc w:val="both"/>
        <w:ind w:left="320" w:hanging="313"/>
        <w:spacing w:after="0" w:line="271"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upon due execution, authentication, issuance and delivery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legally valid and binding obligations of the Company, enforceable against the Company in accordance with their terms.</w:t>
      </w:r>
    </w:p>
    <w:p>
      <w:pPr>
        <w:spacing w:after="0" w:line="1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consent to the filing of this opinion letter as an exhibit to the Registration Statement and to the reference to this firm in the related Prospectus under the caption “Legal Matters.” We further consent to the incorporation by reference of this opinion letter and consent into any registration statement or post-effective amendment to the Registration Statement filed pursuant to Rule 462(b) under the 1933 Act with respect to the Securities. In giving our consent, we do not thereby admit that we are in the category of persons whose consent is required under Section 7 of the 1933 Act or the rules and regulations thereunder.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truly,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K&amp;L G</w:t>
      </w:r>
      <w:r>
        <w:rPr>
          <w:rFonts w:ascii="Times New Roman" w:cs="Times New Roman" w:eastAsia="Times New Roman" w:hAnsi="Times New Roman"/>
          <w:sz w:val="12"/>
          <w:szCs w:val="12"/>
          <w:color w:val="auto"/>
        </w:rPr>
        <w:t>ATES</w:t>
      </w:r>
      <w:r>
        <w:rPr>
          <w:rFonts w:ascii="Times New Roman" w:cs="Times New Roman" w:eastAsia="Times New Roman" w:hAnsi="Times New Roman"/>
          <w:sz w:val="17"/>
          <w:szCs w:val="17"/>
          <w:color w:val="auto"/>
        </w:rPr>
        <w:t xml:space="preserve"> LLP</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decimal"/>
      <w:start w:val="2"/>
    </w:lvl>
    <w:lvl w:ilvl="1">
      <w:lvlJc w:val="left"/>
      <w:lvlText w:val="(%2)"/>
      <w:numFmt w:val="upp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2"/>
    </w:lvl>
    <w:lvl w:ilvl="1">
      <w:lvlJc w:val="left"/>
      <w:lvlText w:val="%2"/>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6" Type="http://schemas.openxmlformats.org/officeDocument/2006/relationships/hyperlink" Target="http://www.sec.gov/Archives/edgar/data/1680062/000119312517342650/d407541dex301.htm" TargetMode="External"/><Relationship Id="rId17" Type="http://schemas.openxmlformats.org/officeDocument/2006/relationships/hyperlink" Target="http://www.sec.gov/Archives/edgar/data/1680062/000119312517342650/d407541dex302.htm" TargetMode="External"/><Relationship Id="rId18" Type="http://schemas.openxmlformats.org/officeDocument/2006/relationships/hyperlink" Target="http://www.sec.gov/Archives/edgar/data/1680062/000165495418013771/acmr_ex403.htm" TargetMode="External"/><Relationship Id="rId19" Type="http://schemas.openxmlformats.org/officeDocument/2006/relationships/hyperlink" Target="http://www.sec.gov/Archives/edgar/data/1680062/000119312517312780/d311227dex401.htm" TargetMode="External"/><Relationship Id="rId20" Type="http://schemas.openxmlformats.org/officeDocument/2006/relationships/hyperlink" Target="http://www.sec.gov/Archives/edgar/data/1680062/000165495418013771/acmr_ex2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2019-12-08T14:29:35Z</dcterms:created>
  <dcterms:modified xsi:type="dcterms:W3CDTF">2019-12-08T14:29:35Z</dcterms:modified>
</cp:coreProperties>
</file>