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9, 2020</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1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500" w:space="720"/>
            <w:col w:w="3000" w:space="720"/>
            <w:col w:w="2300"/>
          </w:cols>
          <w:pgMar w:left="320" w:top="535" w:right="339" w:bottom="1440" w:gutter="0" w:footer="0" w:header="0"/>
          <w:type w:val="continuous"/>
        </w:sectPr>
      </w:pPr>
    </w:p>
    <w:p>
      <w:pPr>
        <w:ind w:lef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9"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5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 of each class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symbol</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ACMR</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ind w:right="380"/>
        <w:spacing w:after="0" w:line="278" w:lineRule="exact"/>
        <w:rPr>
          <w:sz w:val="20"/>
          <w:szCs w:val="20"/>
          <w:color w:val="auto"/>
        </w:rPr>
      </w:pPr>
      <w:r>
        <w:rPr>
          <w:rFonts w:ascii="Arial" w:cs="Arial" w:eastAsia="Arial" w:hAnsi="Arial"/>
          <w:sz w:val="22"/>
          <w:szCs w:val="2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22"/>
          <w:szCs w:val="22"/>
          <w:color w:val="auto"/>
        </w:rPr>
        <w:t>☑</w:t>
      </w:r>
    </w:p>
    <w:p>
      <w:pPr>
        <w:spacing w:after="0" w:line="18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i w:val="1"/>
          <w:iCs w:val="1"/>
          <w:color w:val="auto"/>
        </w:rPr>
        <w:t>NOTE: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i w:val="1"/>
          <w:iCs w:val="1"/>
          <w:color w:val="auto"/>
        </w:rPr>
        <w:t>ACM Research, Inc. conducts its business operations principally through its subsidiary ACM Research (Shanghai), Inc., or ACM Shanghai. For purposes of this report, amounts in Renminbi, or RMB, have been translated into U.S. dollars solely for the convenience of the reader. Unless otherwise indicated, the translations have been made at the conversion rate of RMB 7.0663 to U.S. $1.00 effective as of July 6, 2020 (source: State Administration of Foreign Exchange of the People’s Republic of China).</w:t>
      </w:r>
    </w:p>
    <w:p>
      <w:pPr>
        <w:spacing w:after="0" w:line="200" w:lineRule="exact"/>
        <w:rPr>
          <w:sz w:val="20"/>
          <w:szCs w:val="20"/>
          <w:color w:val="auto"/>
        </w:rPr>
      </w:pPr>
    </w:p>
    <w:p>
      <w:pPr>
        <w:sectPr>
          <w:pgSz w:w="11900" w:h="16838" w:orient="portrait"/>
          <w:cols w:equalWidth="0" w:num="2">
            <w:col w:w="520" w:space="300"/>
            <w:col w:w="10420"/>
          </w:cols>
          <w:pgMar w:left="320" w:top="125" w:right="3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a Partnership Agreement dated June 9, 2020 and a Supplementary Agreement thereto dated June 15, 2020, ACM Shanghai became a limited partner of Qingdao Fortune-Tech Xinxing Capital Partnership (L.P.), a Chinese limited partnership based in Shanghai, China, or the Partnership, of which China Fortune-Tech Capital Co., Ltd serves as general partner and thirteen unaffiliated entities serve, with ACM Shanghai, as limited partners.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Partnership was formed to establish a special fund that would purchase, in a strategic placement, shares of Semiconductor Manufacturing International Corporation, or SMIC, to be listed on the Shanghai Stock Exchange’s STAR Market. SMIC is a Shanghai-based foundry that has been a customer for our single-wafer wet-cleaning tools. The limited partners of the Partnership contributed to the fund a total of RMB 2.224 billion ($315 million), of which ACM contributed RMB 100 million ($14.2 million), or 4.3% of the total contribution, on June 18, 2020.</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July 6, 2020, SMIC priced its offered shares at RMB 27.46 ($3.89) per share, for total proceeds of RMB 46.3 billion ($6.55 billion). The Partnership participated in the offering, and acquired an aggregate of 80,589,949 shares, for a total of RMB 2.224 billion ($315 million).</w:t>
      </w:r>
    </w:p>
    <w:p>
      <w:pPr>
        <w:spacing w:after="0" w:line="14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initial number of SMIC shares owned by the Partnership is apportioned to all of the limited partners in proportion to their respective capital contributions (4.3% in the case of ACM Shanghai). All of the SMIC shares acquired by the Partnership are subject, under applicable Chinese laws, to lock-up restrictions that prevent sales of the shares for one year after the shares were acquired. Thereafter an individual limited partner may instruct the general partner to sell, on behalf of the limited partner, all or a portion of the limited partner’s apportioned shares, subject to compliance with all laws, regulations, trading rules, the Partnership Agreement and the Supplementary Agreement. Alternatively, following the lock-up period, limited partners holding at least thirty percent of the total SMIC shares held by the Partnership may, pursuant to a call auction in accordance with the Supplementary Agreement, cause the general partner to arrange to sell all of the shares desired to be offered by each of the limited partners that complies with procedural requirements provided in the Supplementary Agreement.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The foregoing summaries of provisions of the Partnership Agreement and the Supplementary Agreement are qualified in their entirety by reference to the text of the agreements, which are being filed as Exhibits 10.01 and 10.02, respectively, to this report and which are incorporated in this report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220"/>
        <w:spacing w:after="0"/>
        <w:tabs>
          <w:tab w:leader="none" w:pos="57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jc w:val="both"/>
        <w:ind w:left="1140" w:hanging="1133"/>
        <w:spacing w:after="0" w:line="308" w:lineRule="auto"/>
        <w:tabs>
          <w:tab w:leader="none" w:pos="112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10.01*†</w:t>
        </w:r>
      </w:hyperlink>
      <w:r>
        <w:rPr>
          <w:rFonts w:ascii="Arial" w:cs="Arial" w:eastAsia="Arial" w:hAnsi="Arial"/>
          <w:sz w:val="18"/>
          <w:szCs w:val="18"/>
          <w:color w:val="0000EE"/>
        </w:rPr>
        <w:tab/>
      </w:r>
      <w:r>
        <w:rPr>
          <w:rFonts w:ascii="Arial" w:cs="Arial" w:eastAsia="Arial" w:hAnsi="Arial"/>
          <w:sz w:val="17"/>
          <w:szCs w:val="17"/>
          <w:color w:val="0000EE"/>
        </w:rPr>
        <w:t>Qingdao Fortune-Tech Xinxing Capital Partnership (L.P.) Partnership Agreement, dated June 9, 2020, among China Fortune Tech Capital Co., Ltd., as general partner, and the several limited partners named therein, including ACM Research (Shanghai), Inc.</w:t>
      </w:r>
    </w:p>
    <w:p>
      <w:pPr>
        <w:spacing w:after="0" w:line="146" w:lineRule="exact"/>
        <w:rPr>
          <w:sz w:val="20"/>
          <w:szCs w:val="20"/>
          <w:color w:val="auto"/>
        </w:rPr>
      </w:pPr>
    </w:p>
    <w:p>
      <w:pPr>
        <w:jc w:val="both"/>
        <w:ind w:left="1140" w:hanging="1133"/>
        <w:spacing w:after="0" w:line="263" w:lineRule="auto"/>
        <w:tabs>
          <w:tab w:leader="none" w:pos="1120" w:val="left"/>
        </w:tabs>
        <w:rPr>
          <w:rFonts w:ascii="Arial" w:cs="Arial" w:eastAsia="Arial" w:hAnsi="Arial"/>
          <w:sz w:val="18"/>
          <w:szCs w:val="18"/>
          <w:color w:val="0000EE"/>
        </w:rPr>
      </w:pPr>
      <w:hyperlink w:anchor="page54">
        <w:r>
          <w:rPr>
            <w:rFonts w:ascii="Arial" w:cs="Arial" w:eastAsia="Arial" w:hAnsi="Arial"/>
            <w:sz w:val="18"/>
            <w:szCs w:val="18"/>
            <w:u w:val="single" w:color="auto"/>
            <w:color w:val="0000EE"/>
          </w:rPr>
          <w:t>10.02*†</w:t>
        </w:r>
      </w:hyperlink>
      <w:r>
        <w:rPr>
          <w:rFonts w:ascii="Arial" w:cs="Arial" w:eastAsia="Arial" w:hAnsi="Arial"/>
          <w:sz w:val="18"/>
          <w:szCs w:val="18"/>
          <w:color w:val="0000EE"/>
        </w:rPr>
        <w:tab/>
        <w:t>Supplementary Agreement to Partnership Agreement of Qingdao Fortune-Tech Xinxing Capital Partnership (L.P.), dated June 15, 2020, among China Fortune Tech Capital Co., Ltd., as general partner, and the several limited partners named therein, including ACM Research (Shanghai), Inc.</w:t>
      </w:r>
    </w:p>
    <w:p>
      <w:pPr>
        <w:spacing w:after="0" w:line="21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Unofficial English translation of original document prepared in Mandarin Chinese.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Certain information redacted and replaced with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2020</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Qingdao Fortune-Tech Xinxing Capital Partnership (L.P.)</w:t>
      </w:r>
    </w:p>
    <w:p>
      <w:pPr>
        <w:spacing w:after="0" w:line="26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Partnership Agreement</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Date: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5" w:name="page6"/>
    <w:bookmarkEnd w:id="5"/>
    <w:p>
      <w:pPr>
        <w:ind w:left="3420"/>
        <w:spacing w:after="0"/>
        <w:rPr>
          <w:sz w:val="20"/>
          <w:szCs w:val="20"/>
          <w:color w:val="auto"/>
        </w:rPr>
      </w:pPr>
      <w:r>
        <w:rPr>
          <w:rFonts w:ascii="Arial" w:cs="Arial" w:eastAsia="Arial" w:hAnsi="Arial"/>
          <w:sz w:val="22"/>
          <w:szCs w:val="22"/>
          <w:b w:val="1"/>
          <w:bCs w:val="1"/>
          <w:color w:val="auto"/>
        </w:rPr>
        <w:t>REPRESENTATIONS AND COMMITMENTS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Fund Manager hereby makes the following representations and commitments:</w:t>
      </w:r>
    </w:p>
    <w:p>
      <w:pPr>
        <w:spacing w:after="0" w:line="23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21"/>
          <w:szCs w:val="21"/>
          <w:color w:val="auto"/>
        </w:rPr>
        <w:t>The Fund Manager of this Private Fund warrants that, before raising capital, the Fund Manager has been registered as a private fund manager numbered P1003853 with the Asset Management Association of China (AMAC).</w:t>
      </w:r>
    </w:p>
    <w:p>
      <w:pPr>
        <w:spacing w:after="0" w:line="178"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The Fund Manager of this Private Fund further represents to Investors that the registration and record-filing handled by the AMAC for the Fund Manager and the Private Fund do not constitute an recognition of the Fund Manager’s investment capabilities and ongoing compliance or a guarantee for the assets safety of the Fund.</w:t>
      </w:r>
    </w:p>
    <w:p>
      <w:pPr>
        <w:spacing w:after="0" w:line="213"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The Fund Manager of this Private Fund warrants that, before signing this Agreement, the Fund Manager has disclosed the relevant risks and understood the risk preferences, risk cognition capabilities, and risk tolerability of the Investors of the Private Fund. The Fund Manager undertakes to manage and use the assets of the Fund in accordance with the principles of conscientiousness, good faith, prudence, and diligence, without making any promise on the profitability or minimum income of the business of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Representations and commitments of the Investors:</w:t>
      </w:r>
    </w:p>
    <w:p>
      <w:pPr>
        <w:spacing w:after="0" w:line="24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Each LP under this Agreement, that is, each Investor of the Partnership Enterprise, hereby makes the following warranties and commitments:</w:t>
      </w:r>
    </w:p>
    <w:p>
      <w:pPr>
        <w:spacing w:after="0" w:line="202"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 xml:space="preserve">This Investor is a qualified investor in compliance with the </w:t>
      </w:r>
      <w:r>
        <w:rPr>
          <w:rFonts w:ascii="Arial" w:cs="Arial" w:eastAsia="Arial" w:hAnsi="Arial"/>
          <w:sz w:val="19"/>
          <w:szCs w:val="19"/>
          <w:i w:val="1"/>
          <w:iCs w:val="1"/>
          <w:color w:val="auto"/>
        </w:rPr>
        <w:t>Interim Measures for the Supervision and Administration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Private Investment Funds</w:t>
      </w:r>
      <w:r>
        <w:rPr>
          <w:rFonts w:ascii="Arial" w:cs="Arial" w:eastAsia="Arial" w:hAnsi="Arial"/>
          <w:sz w:val="19"/>
          <w:szCs w:val="19"/>
          <w:color w:val="auto"/>
        </w:rPr>
        <w:t>; the source and use of the assets invested in the Partnership Enterprise comply with the relevant</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regulations of the State and the relevant anti-money laundering laws and regulations; this Investor is fully and legally authorized to entrust the Fund Manager to manage the assets investment of the Fund; this Investor has fully understood the terms and conditions of this Agreement, the relevant rights and obligations, the relevant laws and regulations, and the risk and income characteristics of the Fund in which this Investor invests, and is willing to bear the corresponding investment risks; the money used for investment excludes non-self-owned money such as the money illegally pooled from others, loans, or money raised by issuing bonds; and this Investor performs no unreasonable tunneling, connected transactions, or money laundering.</w:t>
      </w:r>
    </w:p>
    <w:p>
      <w:pPr>
        <w:spacing w:after="0" w:line="184"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This Investor undertakes that the basic information provided by the Investor to the Fund Manager with respect to the investment purpose, investment preferences, investment restrictions, property and income status, and risk tolerability is true, complete, accurate, and legal, without any major omissions or misleading information, and undertakes to timely notify the Fund Manager of any change in such information in writing.</w:t>
      </w:r>
    </w:p>
    <w:p>
      <w:pPr>
        <w:spacing w:after="0" w:line="21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This Investor undertakes that the investment made hereunder is to purchase the Private Fund for itself rather than for the purpose of illegal split-off and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Qingdao Fortune-Tech Xinxing Capital Partnership (L.P.)</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Partnership Agreement</w:t>
      </w:r>
    </w:p>
    <w:p>
      <w:pPr>
        <w:spacing w:after="0" w:line="239" w:lineRule="exact"/>
        <w:rPr>
          <w:sz w:val="20"/>
          <w:szCs w:val="20"/>
          <w:color w:val="auto"/>
        </w:rPr>
      </w:pPr>
    </w:p>
    <w:p>
      <w:pPr>
        <w:ind w:right="20" w:firstLine="360"/>
        <w:spacing w:after="0" w:line="250" w:lineRule="auto"/>
        <w:rPr>
          <w:sz w:val="20"/>
          <w:szCs w:val="20"/>
          <w:color w:val="auto"/>
        </w:rPr>
      </w:pPr>
      <w:r>
        <w:rPr>
          <w:rFonts w:ascii="Arial" w:cs="Arial" w:eastAsia="Arial" w:hAnsi="Arial"/>
          <w:sz w:val="22"/>
          <w:szCs w:val="22"/>
          <w:color w:val="auto"/>
        </w:rPr>
        <w:t xml:space="preserve">This Partnership Agreement (hereinafter referred to as “this Agreement”) is executed as of </w:t>
      </w:r>
      <w:r>
        <w:rPr>
          <w:rFonts w:ascii="Arial" w:cs="Arial" w:eastAsia="Arial" w:hAnsi="Arial"/>
          <w:sz w:val="22"/>
          <w:szCs w:val="22"/>
          <w:u w:val="single" w:color="auto"/>
          <w:color w:val="auto"/>
        </w:rPr>
        <w:t>June 9</w:t>
      </w:r>
      <w:r>
        <w:rPr>
          <w:rFonts w:ascii="Arial" w:cs="Arial" w:eastAsia="Arial" w:hAnsi="Arial"/>
          <w:sz w:val="22"/>
          <w:szCs w:val="22"/>
          <w:color w:val="auto"/>
        </w:rPr>
        <w:t>, 2020 by and between the General Partner (“GP”) and the Limited Partners (“LP”) set out in Appendix I hereto.</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GP and the LPs are collectively referred to as “Parties” or “Partners”.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9" w:lineRule="exact"/>
        <w:rPr>
          <w:sz w:val="20"/>
          <w:szCs w:val="20"/>
          <w:color w:val="auto"/>
        </w:rPr>
      </w:pPr>
    </w:p>
    <w:p>
      <w:pPr>
        <w:jc w:val="both"/>
        <w:ind w:left="380" w:hanging="372"/>
        <w:spacing w:after="0" w:line="238" w:lineRule="auto"/>
        <w:tabs>
          <w:tab w:leader="none" w:pos="43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In accordance with the </w:t>
      </w:r>
      <w:r>
        <w:rPr>
          <w:rFonts w:ascii="Arial" w:cs="Arial" w:eastAsia="Arial" w:hAnsi="Arial"/>
          <w:sz w:val="22"/>
          <w:szCs w:val="22"/>
          <w:i w:val="1"/>
          <w:iCs w:val="1"/>
          <w:color w:val="auto"/>
        </w:rPr>
        <w:t>Partnership Enterprise Law of the People’s Republic of China</w:t>
      </w:r>
      <w:r>
        <w:rPr>
          <w:rFonts w:ascii="Arial" w:cs="Arial" w:eastAsia="Arial" w:hAnsi="Arial"/>
          <w:sz w:val="22"/>
          <w:szCs w:val="22"/>
          <w:color w:val="auto"/>
        </w:rPr>
        <w:t xml:space="preserve"> (including any revisions, supplements or other amendments thereof, hereinafter referred to as the “</w:t>
      </w:r>
      <w:r>
        <w:rPr>
          <w:rFonts w:ascii="Arial" w:cs="Arial" w:eastAsia="Arial" w:hAnsi="Arial"/>
          <w:sz w:val="22"/>
          <w:szCs w:val="22"/>
          <w:i w:val="1"/>
          <w:iCs w:val="1"/>
          <w:color w:val="auto"/>
        </w:rPr>
        <w:t>Partnership Enterprise Law</w:t>
      </w:r>
      <w:r>
        <w:rPr>
          <w:rFonts w:ascii="Arial" w:cs="Arial" w:eastAsia="Arial" w:hAnsi="Arial"/>
          <w:sz w:val="22"/>
          <w:szCs w:val="22"/>
          <w:color w:val="auto"/>
        </w:rPr>
        <w:t>”) and other relevant laws and regulations of the PRC, the Parties intend to jointly finance and establish Qingdao Fortune-Tech Xinxing Capital Partnership (L.P.) to pursue investment business.</w:t>
      </w:r>
    </w:p>
    <w:p>
      <w:pPr>
        <w:spacing w:after="0" w:line="211" w:lineRule="exact"/>
        <w:rPr>
          <w:rFonts w:ascii="Arial" w:cs="Arial" w:eastAsia="Arial" w:hAnsi="Arial"/>
          <w:sz w:val="22"/>
          <w:szCs w:val="22"/>
          <w:color w:val="auto"/>
        </w:rPr>
      </w:pPr>
    </w:p>
    <w:p>
      <w:pPr>
        <w:jc w:val="both"/>
        <w:ind w:left="320" w:hanging="312"/>
        <w:spacing w:after="0" w:line="245" w:lineRule="auto"/>
        <w:tabs>
          <w:tab w:leader="none" w:pos="446"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NOW, THEREFORE, the Parties hereby enter into this Agreement in accordance with the </w:t>
      </w:r>
      <w:r>
        <w:rPr>
          <w:rFonts w:ascii="Arial" w:cs="Arial" w:eastAsia="Arial" w:hAnsi="Arial"/>
          <w:sz w:val="21"/>
          <w:szCs w:val="21"/>
          <w:i w:val="1"/>
          <w:iCs w:val="1"/>
          <w:color w:val="auto"/>
        </w:rPr>
        <w:t>General Principles of the Civil</w:t>
      </w:r>
      <w:r>
        <w:rPr>
          <w:rFonts w:ascii="Arial" w:cs="Arial" w:eastAsia="Arial" w:hAnsi="Arial"/>
          <w:sz w:val="21"/>
          <w:szCs w:val="21"/>
          <w:color w:val="auto"/>
        </w:rPr>
        <w:t xml:space="preserve"> </w:t>
      </w:r>
      <w:r>
        <w:rPr>
          <w:rFonts w:ascii="Arial" w:cs="Arial" w:eastAsia="Arial" w:hAnsi="Arial"/>
          <w:sz w:val="21"/>
          <w:szCs w:val="21"/>
          <w:i w:val="1"/>
          <w:iCs w:val="1"/>
          <w:color w:val="auto"/>
        </w:rPr>
        <w:t>Law of the People’s Republic of China</w:t>
      </w:r>
      <w:r>
        <w:rPr>
          <w:rFonts w:ascii="Arial" w:cs="Arial" w:eastAsia="Arial" w:hAnsi="Arial"/>
          <w:sz w:val="21"/>
          <w:szCs w:val="21"/>
          <w:color w:val="auto"/>
        </w:rPr>
        <w:t>, the</w:t>
      </w:r>
      <w:r>
        <w:rPr>
          <w:rFonts w:ascii="Arial" w:cs="Arial" w:eastAsia="Arial" w:hAnsi="Arial"/>
          <w:sz w:val="21"/>
          <w:szCs w:val="21"/>
          <w:i w:val="1"/>
          <w:iCs w:val="1"/>
          <w:color w:val="auto"/>
        </w:rPr>
        <w:t xml:space="preserve"> Contract Law of the People’s Republic of China </w:t>
      </w:r>
      <w:r>
        <w:rPr>
          <w:rFonts w:ascii="Arial" w:cs="Arial" w:eastAsia="Arial" w:hAnsi="Arial"/>
          <w:sz w:val="21"/>
          <w:szCs w:val="21"/>
          <w:color w:val="auto"/>
        </w:rPr>
        <w:t>(“Contract Law”), the</w:t>
      </w:r>
      <w:r>
        <w:rPr>
          <w:rFonts w:ascii="Arial" w:cs="Arial" w:eastAsia="Arial" w:hAnsi="Arial"/>
          <w:sz w:val="21"/>
          <w:szCs w:val="21"/>
          <w:i w:val="1"/>
          <w:iCs w:val="1"/>
          <w:color w:val="auto"/>
        </w:rPr>
        <w:t xml:space="preserve"> Securities Investment Fund Law of the People’s Republic of China</w:t>
      </w:r>
      <w:r>
        <w:rPr>
          <w:rFonts w:ascii="Arial" w:cs="Arial" w:eastAsia="Arial" w:hAnsi="Arial"/>
          <w:sz w:val="21"/>
          <w:szCs w:val="21"/>
          <w:color w:val="auto"/>
        </w:rPr>
        <w:t>, the</w:t>
      </w:r>
      <w:r>
        <w:rPr>
          <w:rFonts w:ascii="Arial" w:cs="Arial" w:eastAsia="Arial" w:hAnsi="Arial"/>
          <w:sz w:val="21"/>
          <w:szCs w:val="21"/>
          <w:i w:val="1"/>
          <w:iCs w:val="1"/>
          <w:color w:val="auto"/>
        </w:rPr>
        <w:t xml:space="preserve"> Interim Measures for the Administration of Startup Investment Enterprises</w:t>
      </w:r>
      <w:r>
        <w:rPr>
          <w:rFonts w:ascii="Arial" w:cs="Arial" w:eastAsia="Arial" w:hAnsi="Arial"/>
          <w:sz w:val="21"/>
          <w:szCs w:val="21"/>
          <w:color w:val="auto"/>
        </w:rPr>
        <w:t>, the</w:t>
      </w:r>
      <w:r>
        <w:rPr>
          <w:rFonts w:ascii="Arial" w:cs="Arial" w:eastAsia="Arial" w:hAnsi="Arial"/>
          <w:sz w:val="21"/>
          <w:szCs w:val="21"/>
          <w:i w:val="1"/>
          <w:iCs w:val="1"/>
          <w:color w:val="auto"/>
        </w:rPr>
        <w:t xml:space="preserve"> Interim Measures for the Supervision and Administration of Private Investment Funds</w:t>
      </w:r>
      <w:r>
        <w:rPr>
          <w:rFonts w:ascii="Arial" w:cs="Arial" w:eastAsia="Arial" w:hAnsi="Arial"/>
          <w:sz w:val="21"/>
          <w:szCs w:val="21"/>
          <w:color w:val="auto"/>
        </w:rPr>
        <w:t>, the</w:t>
      </w:r>
      <w:r>
        <w:rPr>
          <w:rFonts w:ascii="Arial" w:cs="Arial" w:eastAsia="Arial" w:hAnsi="Arial"/>
          <w:sz w:val="21"/>
          <w:szCs w:val="21"/>
          <w:i w:val="1"/>
          <w:iCs w:val="1"/>
          <w:color w:val="auto"/>
        </w:rPr>
        <w:t xml:space="preserve"> Measures for the Registration of Private Investment Fund Manager and the Record-filing of Funds (for Trial Implementation)</w:t>
      </w:r>
      <w:r>
        <w:rPr>
          <w:rFonts w:ascii="Arial" w:cs="Arial" w:eastAsia="Arial" w:hAnsi="Arial"/>
          <w:sz w:val="21"/>
          <w:szCs w:val="21"/>
          <w:color w:val="auto"/>
        </w:rPr>
        <w:t>, the</w:t>
      </w:r>
      <w:r>
        <w:rPr>
          <w:rFonts w:ascii="Arial" w:cs="Arial" w:eastAsia="Arial" w:hAnsi="Arial"/>
          <w:sz w:val="21"/>
          <w:szCs w:val="21"/>
          <w:i w:val="1"/>
          <w:iCs w:val="1"/>
          <w:color w:val="auto"/>
        </w:rPr>
        <w:t xml:space="preserve"> Measures for the Administration of Fundraising Activities of Private Investment Fund </w:t>
      </w:r>
      <w:r>
        <w:rPr>
          <w:rFonts w:ascii="Arial" w:cs="Arial" w:eastAsia="Arial" w:hAnsi="Arial"/>
          <w:sz w:val="21"/>
          <w:szCs w:val="21"/>
          <w:color w:val="auto"/>
        </w:rPr>
        <w:t>(“Measures for the Administration of Fundraising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Activities”), the </w:t>
      </w:r>
      <w:r>
        <w:rPr>
          <w:rFonts w:ascii="Arial" w:cs="Arial" w:eastAsia="Arial" w:hAnsi="Arial"/>
          <w:sz w:val="21"/>
          <w:szCs w:val="21"/>
          <w:i w:val="1"/>
          <w:iCs w:val="1"/>
          <w:color w:val="auto"/>
        </w:rPr>
        <w:t>Private Investment Fund Contract Guidelines No.3 (Guidelines on Essential Clauses of Partnership</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Agreements)</w:t>
      </w:r>
      <w:r>
        <w:rPr>
          <w:rFonts w:ascii="Arial" w:cs="Arial" w:eastAsia="Arial" w:hAnsi="Arial"/>
          <w:sz w:val="21"/>
          <w:szCs w:val="21"/>
          <w:color w:val="auto"/>
        </w:rPr>
        <w:t>, the</w:t>
      </w:r>
      <w:r>
        <w:rPr>
          <w:rFonts w:ascii="Arial" w:cs="Arial" w:eastAsia="Arial" w:hAnsi="Arial"/>
          <w:sz w:val="21"/>
          <w:szCs w:val="21"/>
          <w:i w:val="1"/>
          <w:iCs w:val="1"/>
          <w:color w:val="auto"/>
        </w:rPr>
        <w:t xml:space="preserve"> Measures for the Administration of Information Disclosure of Private Investment Funds</w:t>
      </w:r>
      <w:r>
        <w:rPr>
          <w:rFonts w:ascii="Arial" w:cs="Arial" w:eastAsia="Arial" w:hAnsi="Arial"/>
          <w:sz w:val="21"/>
          <w:szCs w:val="21"/>
          <w:color w:val="auto"/>
        </w:rPr>
        <w:t>, and other relevant</w:t>
      </w:r>
      <w:r>
        <w:rPr>
          <w:rFonts w:ascii="Arial" w:cs="Arial" w:eastAsia="Arial" w:hAnsi="Arial"/>
          <w:sz w:val="21"/>
          <w:szCs w:val="21"/>
          <w:i w:val="1"/>
          <w:iCs w:val="1"/>
          <w:color w:val="auto"/>
        </w:rPr>
        <w:t xml:space="preserve"> </w:t>
      </w:r>
      <w:r>
        <w:rPr>
          <w:rFonts w:ascii="Arial" w:cs="Arial" w:eastAsia="Arial" w:hAnsi="Arial"/>
          <w:sz w:val="21"/>
          <w:szCs w:val="21"/>
          <w:color w:val="auto"/>
        </w:rPr>
        <w:t>laws and regulations.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Basic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Establishment of the Partnership Enterprise</w:t>
      </w:r>
    </w:p>
    <w:p>
      <w:pPr>
        <w:spacing w:after="0" w:line="239"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 xml:space="preserve">1.1.1 Each Partner agrees to become a partner of the Partnership Enterprise in accordance with the </w:t>
      </w:r>
      <w:r>
        <w:rPr>
          <w:rFonts w:ascii="Arial" w:cs="Arial" w:eastAsia="Arial" w:hAnsi="Arial"/>
          <w:sz w:val="22"/>
          <w:szCs w:val="22"/>
          <w:i w:val="1"/>
          <w:iCs w:val="1"/>
          <w:color w:val="auto"/>
        </w:rPr>
        <w:t>Partnership Enterprise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Law </w:t>
      </w:r>
      <w:r>
        <w:rPr>
          <w:rFonts w:ascii="Arial" w:cs="Arial" w:eastAsia="Arial" w:hAnsi="Arial"/>
          <w:sz w:val="22"/>
          <w:szCs w:val="22"/>
          <w:color w:val="auto"/>
        </w:rPr>
        <w:t>and the terms and conditions of this Agreement. Each Partner further agrees and undertakes to sign all the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documents, provide all the required information, and assist in going through all required private fund record-filing procedures to achieve the objectives of this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1.2 Name and principal place of business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1.2.1 The name of the Partnership Enterprise is Qingdao Fortune-Tech Xinxing Capital Partnership (L.P.).</w:t>
      </w:r>
    </w:p>
    <w:p>
      <w:pPr>
        <w:spacing w:after="0" w:line="233" w:lineRule="exact"/>
        <w:rPr>
          <w:sz w:val="20"/>
          <w:szCs w:val="20"/>
          <w:color w:val="auto"/>
        </w:rPr>
      </w:pPr>
    </w:p>
    <w:p>
      <w:pPr>
        <w:jc w:val="both"/>
        <w:ind w:right="20" w:firstLine="360"/>
        <w:spacing w:after="0" w:line="250" w:lineRule="auto"/>
        <w:rPr>
          <w:sz w:val="20"/>
          <w:szCs w:val="20"/>
          <w:color w:val="auto"/>
        </w:rPr>
      </w:pPr>
      <w:r>
        <w:rPr>
          <w:rFonts w:ascii="Arial" w:cs="Arial" w:eastAsia="Arial" w:hAnsi="Arial"/>
          <w:sz w:val="22"/>
          <w:szCs w:val="22"/>
          <w:color w:val="auto"/>
        </w:rPr>
        <w:t>1.2.2 The principal place of business of the Partnership Enterprise is Suite 302, Building 10, No. 89, Changcheng Road, Chengyang District, Qingdao City, Shandong Province.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Business scope</w:t>
      </w:r>
    </w:p>
    <w:p>
      <w:pPr>
        <w:spacing w:after="0" w:line="239"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1"/>
          <w:szCs w:val="21"/>
          <w:color w:val="auto"/>
        </w:rPr>
        <w:t>1.3.1 The business scope of the Partnership Enterprise is: using self-owned money to perform equity investment, asset management, investment management, equity investment management, venture capital investment, venture capital management (excluding financial services such as taking deposits from the public, financing guarantees, and wealth management unless otherwise approved by the financial regulatory authority); economic information consulting (not including services related to finance, securities, futures, wealth management, fundraising, financing, and the like).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Partnership duration</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1.4.1 The duration of existence of the Partnership Enterprise is from the date of establishment of the Partnership Enterprise to the fifth (5th) anniversary of the Closing Date (“Partnership Duration”).</w:t>
      </w:r>
    </w:p>
    <w:p>
      <w:pPr>
        <w:spacing w:after="0" w:line="202"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1.4.2 The day on which the business license of the Partnership Enterprise is firstly issued is the date of establishment of the Partnership Enterprise. If the business license specifies a date of establishment, the specified date of establishment shall prevail.</w:t>
      </w:r>
    </w:p>
    <w:p>
      <w:pPr>
        <w:spacing w:after="0" w:line="132"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1.4.3 Depending on the business needs of the Partnership Enterprise, the Partnership Duration of the Partnership Enterprise may be extended or the Partnership Enterprise may be earlier dissolved with a unanimous consent of all Partners.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 Partners and Contributions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Partners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2.1.1 The GP of the Partnership Enterprise is China Fortune-Tech Capital Co., Ltd..</w:t>
      </w:r>
    </w:p>
    <w:p>
      <w:pPr>
        <w:spacing w:after="0" w:line="233"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2.1.2 The information such as the name, domicile, and subscribed capital contribution of each LP of the Partnership Enterprise is set out in Appendix I hereto. If there is any change in such information, the relevant LP shall notify the Partnership Enterprise and the Executive Partner in time. The Executive Partner shall update Appendix I at any time after receiving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2.2 Contribution method</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All Partners shall make contributions in cash in RMB.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 Subscribed capital contribution</w:t>
      </w:r>
    </w:p>
    <w:p>
      <w:pPr>
        <w:spacing w:after="0" w:line="239"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2.3.1 As of the signing date of this Agreement, the total amount of subscribed capital contributions made by all Partners to the Partnership Enterprise is RMB 2,305,000,000 (say RMB two billion three hundred and five million yuan only). The amount of capital contribution subscribed by each Partner is set out in Appendix I.</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2.4 Payment of the capital contribution of each Partner</w:t>
      </w:r>
    </w:p>
    <w:p>
      <w:pPr>
        <w:spacing w:after="0" w:line="23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1"/>
          <w:szCs w:val="21"/>
          <w:color w:val="auto"/>
        </w:rPr>
        <w:t>2.4.1 All Partners of the Partnership Enterprise shall pay their subscribed capital contributions to the Partnership Enterprise in accordance with the call notice issued by the Executive Partner (“Call Notice”) and in accordance with the payment deadline and the payable amount of capital contributions specified in the Call Notice. The GP may send the Call Notice to the LPs at one or two attempts according to the progress of the record-filing of the Fund handled by the Partnership Enterprise and the needs of payment to the Investment Project. The deadline for the payment of the capital contribution specified in the Call Notice for the first tranche of the capital contribution is a closing date (“Closing Date”).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2.5 Overdue payment of capital contributions</w:t>
      </w:r>
    </w:p>
    <w:p>
      <w:pPr>
        <w:spacing w:after="0" w:line="23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21"/>
          <w:szCs w:val="21"/>
          <w:color w:val="auto"/>
        </w:rPr>
        <w:t>2.5.1 If any Partner fails to fulfill the capital contribution payment obligations before the Closing Date, the Executive Partner has the right to determine that the Partner is the breaching Partner and to remove the breaching Partner.</w:t>
      </w:r>
    </w:p>
    <w:p>
      <w:pPr>
        <w:spacing w:after="0" w:line="17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2.5.2 After deciding to remove the breaching Partner, the Executive Partner has the right to take the following measures against the breaching Partner:</w:t>
      </w:r>
    </w:p>
    <w:p>
      <w:pPr>
        <w:spacing w:after="0" w:line="202" w:lineRule="exact"/>
        <w:rPr>
          <w:sz w:val="20"/>
          <w:szCs w:val="20"/>
          <w:color w:val="auto"/>
        </w:rPr>
      </w:pPr>
    </w:p>
    <w:p>
      <w:pPr>
        <w:jc w:val="both"/>
        <w:ind w:firstLine="368"/>
        <w:spacing w:after="0" w:line="238" w:lineRule="auto"/>
        <w:tabs>
          <w:tab w:leader="none" w:pos="692"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breaching Partner is deprived of the right to make capital contribution payments as a Partner, and the amount of capital contribution subscribed by the breaching Partner is reduced accordingly. The breaching Partner loses the right to vote on all matters that are subject to consent of the LPs under this Agreement, and the amount of capital contribution subscribed by the breaching Partner shall not be counted in the voting base;</w:t>
      </w:r>
    </w:p>
    <w:p>
      <w:pPr>
        <w:spacing w:after="0" w:line="211" w:lineRule="exact"/>
        <w:rPr>
          <w:rFonts w:ascii="Arial" w:cs="Arial" w:eastAsia="Arial" w:hAnsi="Arial"/>
          <w:sz w:val="22"/>
          <w:szCs w:val="22"/>
          <w:color w:val="auto"/>
        </w:rPr>
      </w:pPr>
    </w:p>
    <w:p>
      <w:pPr>
        <w:ind w:left="680" w:hanging="312"/>
        <w:spacing w:after="0"/>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Executive Partner has the right to: 1) reject the overdue capital contribution payments from the breaching Partner; or</w:t>
      </w:r>
    </w:p>
    <w:p>
      <w:pPr>
        <w:spacing w:after="0" w:line="42" w:lineRule="exact"/>
        <w:rPr>
          <w:rFonts w:ascii="Arial" w:cs="Arial" w:eastAsia="Arial" w:hAnsi="Arial"/>
          <w:sz w:val="19"/>
          <w:szCs w:val="19"/>
          <w:color w:val="auto"/>
        </w:rPr>
      </w:pPr>
    </w:p>
    <w:p>
      <w:pPr>
        <w:jc w:val="both"/>
        <w:ind w:firstLine="8"/>
        <w:spacing w:after="0" w:line="246" w:lineRule="auto"/>
        <w:tabs>
          <w:tab w:leader="none" w:pos="234" w:val="left"/>
        </w:tabs>
        <w:numPr>
          <w:ilvl w:val="0"/>
          <w:numId w:val="6"/>
        </w:numPr>
        <w:rPr>
          <w:rFonts w:ascii="Arial" w:cs="Arial" w:eastAsia="Arial" w:hAnsi="Arial"/>
          <w:sz w:val="21"/>
          <w:szCs w:val="21"/>
          <w:color w:val="auto"/>
        </w:rPr>
      </w:pPr>
      <w:r>
        <w:rPr>
          <w:rFonts w:ascii="Arial" w:cs="Arial" w:eastAsia="Arial" w:hAnsi="Arial"/>
          <w:sz w:val="21"/>
          <w:szCs w:val="21"/>
          <w:color w:val="auto"/>
        </w:rPr>
        <w:t>apportion the unpaid subscribed capital contribution of the breaching Partner among the observant Partners in proportion to the paid-in capital contribution percentage of each observant Partner; or 3) allow the Partnership Enterprise to admit a new Partner to take over the fulfillment of the capital contribution commitment of the breaching Partner; or 4) reduce the total amount of subscribed capital contributions of the Partnership Enterprise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2.6 Sources of capital contributions</w:t>
      </w:r>
    </w:p>
    <w:p>
      <w:pPr>
        <w:spacing w:after="0" w:line="24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1"/>
          <w:szCs w:val="21"/>
          <w:color w:val="auto"/>
        </w:rPr>
        <w:t>2.6.1 Each Partner warrants that any amount of capital contribution paid by it to the Partnership Enterprise originates from its self-owned money and from legitimate sources in compliance with financial regulatory regulations and policies. In case of breaching this warranty, all liabilities arising therefrom shall be borne by the Partner who breaches this warranty.</w:t>
      </w:r>
    </w:p>
    <w:p>
      <w:pPr>
        <w:spacing w:after="0" w:line="196"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2.6.2 Neither Partner may set up any pledge, guarantee, or other third-parties’ encumbrance on its share of capital contribution to the Partnership Enterprise or on other limited partnership interests.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 Rights and Obligations of the Partners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GP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3.1.1 Unlimited liability</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GP shall bear unlimited liability for the debts of the Partnership Enterprise.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3.1.2 Property rights of the GP</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otherwise specified herein, the GP shall have the same rights as the LPs on the capital contributions subscribed by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3.1.3 Powers and authorities of the GP</w:t>
      </w:r>
    </w:p>
    <w:p>
      <w:pPr>
        <w:spacing w:after="0" w:line="23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The Parties unanimously agree that the GP has the right to exercise the following related rights specified in the Partnership Enterprise Law and this Agreement, including but not limited to:</w:t>
      </w:r>
    </w:p>
    <w:p>
      <w:pPr>
        <w:spacing w:after="0" w:line="202" w:lineRule="exact"/>
        <w:rPr>
          <w:sz w:val="20"/>
          <w:szCs w:val="20"/>
          <w:color w:val="auto"/>
        </w:rPr>
      </w:pPr>
    </w:p>
    <w:p>
      <w:pPr>
        <w:ind w:firstLine="368"/>
        <w:spacing w:after="0" w:line="328" w:lineRule="auto"/>
        <w:tabs>
          <w:tab w:leader="none" w:pos="666" w:val="left"/>
        </w:tabs>
        <w:numPr>
          <w:ilvl w:val="0"/>
          <w:numId w:val="7"/>
        </w:numPr>
        <w:rPr>
          <w:rFonts w:ascii="Arial" w:cs="Arial" w:eastAsia="Arial" w:hAnsi="Arial"/>
          <w:sz w:val="19"/>
          <w:szCs w:val="19"/>
          <w:color w:val="auto"/>
        </w:rPr>
      </w:pPr>
      <w:r>
        <w:rPr>
          <w:rFonts w:ascii="Arial" w:cs="Arial" w:eastAsia="Arial" w:hAnsi="Arial"/>
          <w:sz w:val="19"/>
          <w:szCs w:val="19"/>
          <w:color w:val="auto"/>
        </w:rPr>
        <w:t>making decisions on investment and divestment matters of the Partner Enterprise in accordance with the investment scope specified in the Partnership Agreement except for the matters otherwise agreed on between all Partners;</w:t>
      </w:r>
    </w:p>
    <w:p>
      <w:pPr>
        <w:spacing w:after="0" w:line="131" w:lineRule="exact"/>
        <w:rPr>
          <w:rFonts w:ascii="Arial" w:cs="Arial" w:eastAsia="Arial" w:hAnsi="Arial"/>
          <w:sz w:val="19"/>
          <w:szCs w:val="19"/>
          <w:color w:val="auto"/>
        </w:rPr>
      </w:pPr>
    </w:p>
    <w:p>
      <w:pPr>
        <w:ind w:left="680" w:hanging="312"/>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approving the transfer of limited partnership interests from an LP;</w:t>
      </w:r>
    </w:p>
    <w:p>
      <w:pPr>
        <w:spacing w:after="0" w:line="233" w:lineRule="exact"/>
        <w:rPr>
          <w:rFonts w:ascii="Arial" w:cs="Arial" w:eastAsia="Arial" w:hAnsi="Arial"/>
          <w:sz w:val="22"/>
          <w:szCs w:val="22"/>
          <w:color w:val="auto"/>
        </w:rPr>
      </w:pPr>
    </w:p>
    <w:p>
      <w:pPr>
        <w:ind w:firstLine="368"/>
        <w:spacing w:after="0" w:line="328" w:lineRule="auto"/>
        <w:tabs>
          <w:tab w:leader="none" w:pos="679" w:val="left"/>
        </w:tabs>
        <w:numPr>
          <w:ilvl w:val="0"/>
          <w:numId w:val="7"/>
        </w:numPr>
        <w:rPr>
          <w:rFonts w:ascii="Arial" w:cs="Arial" w:eastAsia="Arial" w:hAnsi="Arial"/>
          <w:sz w:val="19"/>
          <w:szCs w:val="19"/>
          <w:color w:val="auto"/>
        </w:rPr>
      </w:pPr>
      <w:r>
        <w:rPr>
          <w:rFonts w:ascii="Arial" w:cs="Arial" w:eastAsia="Arial" w:hAnsi="Arial"/>
          <w:sz w:val="19"/>
          <w:szCs w:val="19"/>
          <w:color w:val="auto"/>
        </w:rPr>
        <w:t>determining the Partners’ entry into and withdrawal from the Partnership Enterprise, and the increase or decrease in the total amount of subscribed capital contributions to the Partnership Enterprise caused by the entry into and the withdrawal;</w:t>
      </w:r>
    </w:p>
    <w:p>
      <w:pPr>
        <w:spacing w:after="0" w:line="131" w:lineRule="exact"/>
        <w:rPr>
          <w:rFonts w:ascii="Arial" w:cs="Arial" w:eastAsia="Arial" w:hAnsi="Arial"/>
          <w:sz w:val="19"/>
          <w:szCs w:val="19"/>
          <w:color w:val="auto"/>
        </w:rPr>
      </w:pPr>
    </w:p>
    <w:p>
      <w:pPr>
        <w:ind w:left="680" w:hanging="312"/>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increasing or decreasing a Partner’s capital contributions to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deciding to remove an LP in accordance with laws and regulations and this Agreement;</w:t>
      </w:r>
    </w:p>
    <w:p>
      <w:pPr>
        <w:spacing w:after="0" w:line="233" w:lineRule="exact"/>
        <w:rPr>
          <w:rFonts w:ascii="Arial" w:cs="Arial" w:eastAsia="Arial" w:hAnsi="Arial"/>
          <w:sz w:val="22"/>
          <w:szCs w:val="22"/>
          <w:color w:val="auto"/>
        </w:rPr>
      </w:pPr>
    </w:p>
    <w:p>
      <w:pPr>
        <w:ind w:firstLine="368"/>
        <w:spacing w:after="0" w:line="250" w:lineRule="auto"/>
        <w:tabs>
          <w:tab w:leader="none" w:pos="727"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formulating and implementing an income distribution plan of the Partnership Enterprise in accordance with this Agreement;</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auto"/>
        </w:rPr>
        <w:t>formulating a non-cash distribution plan for the Investment Project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ind w:firstLine="368"/>
        <w:spacing w:after="0" w:line="251" w:lineRule="auto"/>
        <w:tabs>
          <w:tab w:leader="none" w:pos="674"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accordance with this Agreement, requiring an LP to pay subscribed capital contributions or perform other obligations, for example, requiring a breaching Partner to pay a default fine, late fees, or the like;</w:t>
      </w:r>
    </w:p>
    <w:p>
      <w:pPr>
        <w:spacing w:after="0" w:line="200" w:lineRule="exact"/>
        <w:rPr>
          <w:rFonts w:ascii="Arial" w:cs="Arial" w:eastAsia="Arial" w:hAnsi="Arial"/>
          <w:sz w:val="22"/>
          <w:szCs w:val="22"/>
          <w:color w:val="auto"/>
        </w:rPr>
      </w:pPr>
    </w:p>
    <w:p>
      <w:pPr>
        <w:ind w:firstLine="368"/>
        <w:spacing w:after="0" w:line="250" w:lineRule="auto"/>
        <w:tabs>
          <w:tab w:leader="none" w:pos="666" w:val="left"/>
        </w:tabs>
        <w:numPr>
          <w:ilvl w:val="0"/>
          <w:numId w:val="8"/>
        </w:numPr>
        <w:rPr>
          <w:rFonts w:ascii="Arial" w:cs="Arial" w:eastAsia="Arial" w:hAnsi="Arial"/>
          <w:sz w:val="22"/>
          <w:szCs w:val="22"/>
          <w:color w:val="auto"/>
        </w:rPr>
      </w:pPr>
      <w:r>
        <w:rPr>
          <w:rFonts w:ascii="Arial" w:cs="Arial" w:eastAsia="Arial" w:hAnsi="Arial"/>
          <w:sz w:val="22"/>
          <w:szCs w:val="22"/>
          <w:color w:val="auto"/>
        </w:rPr>
        <w:t>exercising the management powers and authorities under Section 4.1.4 of this Partnership Agreement in its capacity as the Executive Partner; and</w:t>
      </w:r>
    </w:p>
    <w:p>
      <w:pPr>
        <w:spacing w:after="0" w:line="201" w:lineRule="exact"/>
        <w:rPr>
          <w:rFonts w:ascii="Arial" w:cs="Arial" w:eastAsia="Arial" w:hAnsi="Arial"/>
          <w:sz w:val="22"/>
          <w:szCs w:val="22"/>
          <w:color w:val="auto"/>
        </w:rPr>
      </w:pPr>
    </w:p>
    <w:p>
      <w:pPr>
        <w:ind w:left="780" w:hanging="41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performing other matters that are subject to decision of the GP in accordance with this Agreement.</w:t>
      </w:r>
    </w:p>
    <w:p>
      <w:pPr>
        <w:spacing w:after="0" w:line="227" w:lineRule="exact"/>
        <w:rPr>
          <w:rFonts w:ascii="Arial" w:cs="Arial" w:eastAsia="Arial" w:hAnsi="Arial"/>
          <w:sz w:val="22"/>
          <w:szCs w:val="22"/>
          <w:color w:val="auto"/>
        </w:rPr>
      </w:pPr>
    </w:p>
    <w:p>
      <w:pPr>
        <w:ind w:left="4900" w:hanging="221"/>
        <w:spacing w:after="0"/>
        <w:tabs>
          <w:tab w:leader="none" w:pos="4900"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Partner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4.1 Qualifications and election procedure of Executive Partner</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4.1.1 By signing this Agreement, all Partners unanimously agree to appoint the GP, that is, China Fortune-Tech Capital Co., Ltd., as the Executive Partner of the Partnership Enterprise.</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4.1.2 The Executive Partner may, at its own discretion, decide to replace its delegated representative, provided that the replacement is notified to all Partners in writing and the corresponding enterprise change registration procedures are handled after the replacement.</w:t>
      </w:r>
    </w:p>
    <w:p>
      <w:pPr>
        <w:spacing w:after="0" w:line="21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4.1.3 All acts taken by the Executive Partner and the delegated representative thereof for implementing the partnership affairs shall be binding on the Partnership Enterprise.</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4.1.4 Subject to the needs in the Investment Projects and the daily operation affairs of the Partnership Enterprise, the management powers and authorities of the Executive Partner include but are not limited to:</w:t>
      </w:r>
    </w:p>
    <w:p>
      <w:pPr>
        <w:spacing w:after="0" w:line="202" w:lineRule="exact"/>
        <w:rPr>
          <w:sz w:val="20"/>
          <w:szCs w:val="20"/>
          <w:color w:val="auto"/>
        </w:rPr>
      </w:pPr>
    </w:p>
    <w:p>
      <w:pPr>
        <w:ind w:left="680" w:hanging="312"/>
        <w:spacing w:after="0"/>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convening and presiding over a Partners’ meeting;</w:t>
      </w:r>
    </w:p>
    <w:p>
      <w:pPr>
        <w:spacing w:after="0" w:line="233" w:lineRule="exact"/>
        <w:rPr>
          <w:rFonts w:ascii="Arial" w:cs="Arial" w:eastAsia="Arial" w:hAnsi="Arial"/>
          <w:sz w:val="22"/>
          <w:szCs w:val="22"/>
          <w:color w:val="auto"/>
        </w:rPr>
      </w:pPr>
    </w:p>
    <w:p>
      <w:pPr>
        <w:ind w:firstLine="368"/>
        <w:spacing w:after="0" w:line="250" w:lineRule="auto"/>
        <w:tabs>
          <w:tab w:leader="none" w:pos="696" w:val="left"/>
        </w:tabs>
        <w:numPr>
          <w:ilvl w:val="0"/>
          <w:numId w:val="9"/>
        </w:numPr>
        <w:rPr>
          <w:rFonts w:ascii="Arial" w:cs="Arial" w:eastAsia="Arial" w:hAnsi="Arial"/>
          <w:sz w:val="22"/>
          <w:szCs w:val="22"/>
          <w:color w:val="auto"/>
        </w:rPr>
      </w:pPr>
      <w:r>
        <w:rPr>
          <w:rFonts w:ascii="Arial" w:cs="Arial" w:eastAsia="Arial" w:hAnsi="Arial"/>
          <w:sz w:val="22"/>
          <w:szCs w:val="22"/>
          <w:color w:val="auto"/>
        </w:rPr>
        <w:t>formulating and implementing investment and divestment plans of the Partnership Enterprise in accordance with this Agreement;</w:t>
      </w:r>
    </w:p>
    <w:p>
      <w:pPr>
        <w:spacing w:after="0" w:line="201" w:lineRule="exact"/>
        <w:rPr>
          <w:rFonts w:ascii="Arial" w:cs="Arial" w:eastAsia="Arial" w:hAnsi="Arial"/>
          <w:sz w:val="22"/>
          <w:szCs w:val="22"/>
          <w:color w:val="auto"/>
        </w:rPr>
      </w:pPr>
    </w:p>
    <w:p>
      <w:pPr>
        <w:ind w:firstLine="368"/>
        <w:spacing w:after="0" w:line="250" w:lineRule="auto"/>
        <w:tabs>
          <w:tab w:leader="none" w:pos="727" w:val="left"/>
        </w:tabs>
        <w:numPr>
          <w:ilvl w:val="0"/>
          <w:numId w:val="9"/>
        </w:numPr>
        <w:rPr>
          <w:rFonts w:ascii="Arial" w:cs="Arial" w:eastAsia="Arial" w:hAnsi="Arial"/>
          <w:sz w:val="22"/>
          <w:szCs w:val="22"/>
          <w:color w:val="auto"/>
        </w:rPr>
      </w:pPr>
      <w:r>
        <w:rPr>
          <w:rFonts w:ascii="Arial" w:cs="Arial" w:eastAsia="Arial" w:hAnsi="Arial"/>
          <w:sz w:val="22"/>
          <w:szCs w:val="22"/>
          <w:color w:val="auto"/>
        </w:rPr>
        <w:t>formulating and implementing an income distribution plan of the Partnership Enterprise in accordance with this Agreement;</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reporting on the implementation status of partnership affairs in accordance with the requirements of the LPs;</w:t>
      </w:r>
    </w:p>
    <w:p>
      <w:pPr>
        <w:spacing w:after="0" w:line="233" w:lineRule="exact"/>
        <w:rPr>
          <w:rFonts w:ascii="Arial" w:cs="Arial" w:eastAsia="Arial" w:hAnsi="Arial"/>
          <w:sz w:val="22"/>
          <w:szCs w:val="22"/>
          <w:color w:val="auto"/>
        </w:rPr>
      </w:pPr>
    </w:p>
    <w:p>
      <w:pPr>
        <w:ind w:right="20" w:firstLine="368"/>
        <w:spacing w:after="0" w:line="250" w:lineRule="auto"/>
        <w:tabs>
          <w:tab w:leader="none" w:pos="678" w:val="left"/>
        </w:tabs>
        <w:numPr>
          <w:ilvl w:val="0"/>
          <w:numId w:val="9"/>
        </w:numPr>
        <w:rPr>
          <w:rFonts w:ascii="Arial" w:cs="Arial" w:eastAsia="Arial" w:hAnsi="Arial"/>
          <w:sz w:val="22"/>
          <w:szCs w:val="22"/>
          <w:color w:val="auto"/>
        </w:rPr>
      </w:pPr>
      <w:r>
        <w:rPr>
          <w:rFonts w:ascii="Arial" w:cs="Arial" w:eastAsia="Arial" w:hAnsi="Arial"/>
          <w:sz w:val="22"/>
          <w:szCs w:val="22"/>
          <w:color w:val="auto"/>
        </w:rPr>
        <w:t>handling the registration of the Partnership Enterprise at the relevant government departments such as the industrial and commercial registrar;</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handling the taxation of the Partnership Enterprise in accordance with the taxation regulations of the State;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9"/>
        </w:numPr>
        <w:rPr>
          <w:rFonts w:ascii="Arial" w:cs="Arial" w:eastAsia="Arial" w:hAnsi="Arial"/>
          <w:sz w:val="19"/>
          <w:szCs w:val="19"/>
          <w:color w:val="auto"/>
        </w:rPr>
      </w:pPr>
      <w:r>
        <w:rPr>
          <w:rFonts w:ascii="Arial" w:cs="Arial" w:eastAsia="Arial" w:hAnsi="Arial"/>
          <w:sz w:val="19"/>
          <w:szCs w:val="19"/>
          <w:color w:val="auto"/>
        </w:rPr>
        <w:t>keeping the seals, stamps, licenses, and other items necessary for business operations of the Partnership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680" w:hanging="312"/>
        <w:spacing w:after="0"/>
        <w:tabs>
          <w:tab w:leader="none" w:pos="6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entering into contracts, agreements, and other covenants on behalf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managing and maintaining the assets of the Partnership Enterprise;</w:t>
      </w:r>
    </w:p>
    <w:p>
      <w:pPr>
        <w:spacing w:after="0" w:line="233" w:lineRule="exact"/>
        <w:rPr>
          <w:rFonts w:ascii="Arial" w:cs="Arial" w:eastAsia="Arial" w:hAnsi="Arial"/>
          <w:sz w:val="22"/>
          <w:szCs w:val="22"/>
          <w:color w:val="auto"/>
        </w:rPr>
      </w:pPr>
    </w:p>
    <w:p>
      <w:pPr>
        <w:ind w:left="780" w:hanging="412"/>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opening, maintaining, and revoking a bank account or securities account of the Partnership Enterprise;</w:t>
      </w:r>
    </w:p>
    <w:p>
      <w:pPr>
        <w:spacing w:after="0" w:line="233" w:lineRule="exact"/>
        <w:rPr>
          <w:rFonts w:ascii="Arial" w:cs="Arial" w:eastAsia="Arial" w:hAnsi="Arial"/>
          <w:sz w:val="22"/>
          <w:szCs w:val="22"/>
          <w:color w:val="auto"/>
        </w:rPr>
      </w:pPr>
    </w:p>
    <w:p>
      <w:pPr>
        <w:ind w:left="780" w:hanging="412"/>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determining an independent audit agency of the Partnership Enterprise;</w:t>
      </w:r>
    </w:p>
    <w:p>
      <w:pPr>
        <w:spacing w:after="0" w:line="233" w:lineRule="exact"/>
        <w:rPr>
          <w:rFonts w:ascii="Arial" w:cs="Arial" w:eastAsia="Arial" w:hAnsi="Arial"/>
          <w:sz w:val="22"/>
          <w:szCs w:val="22"/>
          <w:color w:val="auto"/>
        </w:rPr>
      </w:pPr>
    </w:p>
    <w:p>
      <w:pPr>
        <w:ind w:firstLine="368"/>
        <w:spacing w:after="0" w:line="250" w:lineRule="auto"/>
        <w:tabs>
          <w:tab w:leader="none" w:pos="817"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deciding to initiate or respond to litigation (arbitration) in the interests of the Partnership Enterprise, and making compromises and settlements with the counterparty to the dispute;</w:t>
      </w:r>
    </w:p>
    <w:p>
      <w:pPr>
        <w:spacing w:after="0" w:line="201" w:lineRule="exact"/>
        <w:rPr>
          <w:rFonts w:ascii="Arial" w:cs="Arial" w:eastAsia="Arial" w:hAnsi="Arial"/>
          <w:sz w:val="22"/>
          <w:szCs w:val="22"/>
          <w:color w:val="auto"/>
        </w:rPr>
      </w:pPr>
    </w:p>
    <w:p>
      <w:pPr>
        <w:ind w:right="20" w:firstLine="368"/>
        <w:spacing w:after="0" w:line="250" w:lineRule="auto"/>
        <w:tabs>
          <w:tab w:leader="none" w:pos="79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taking other actions required for achieving the partnership objectives and safeguarding or seeking the legal rights and interests of the Partnership Enterprise; and</w:t>
      </w:r>
    </w:p>
    <w:p>
      <w:pPr>
        <w:spacing w:after="0" w:line="201" w:lineRule="exact"/>
        <w:rPr>
          <w:rFonts w:ascii="Arial" w:cs="Arial" w:eastAsia="Arial" w:hAnsi="Arial"/>
          <w:sz w:val="22"/>
          <w:szCs w:val="22"/>
          <w:color w:val="auto"/>
        </w:rPr>
      </w:pPr>
    </w:p>
    <w:p>
      <w:pPr>
        <w:ind w:firstLine="368"/>
        <w:spacing w:after="0" w:line="250" w:lineRule="auto"/>
        <w:tabs>
          <w:tab w:leader="none" w:pos="791" w:val="left"/>
        </w:tabs>
        <w:numPr>
          <w:ilvl w:val="0"/>
          <w:numId w:val="10"/>
        </w:numPr>
        <w:rPr>
          <w:rFonts w:ascii="Arial" w:cs="Arial" w:eastAsia="Arial" w:hAnsi="Arial"/>
          <w:sz w:val="22"/>
          <w:szCs w:val="22"/>
          <w:color w:val="auto"/>
        </w:rPr>
      </w:pPr>
      <w:r>
        <w:rPr>
          <w:rFonts w:ascii="Arial" w:cs="Arial" w:eastAsia="Arial" w:hAnsi="Arial"/>
          <w:sz w:val="22"/>
          <w:szCs w:val="22"/>
          <w:color w:val="auto"/>
        </w:rPr>
        <w:t>handling other matters to be duly performed by the Executive Partner in accordance with laws and regulations or this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4.2 Liability limitation</w:t>
      </w:r>
    </w:p>
    <w:p>
      <w:pPr>
        <w:spacing w:after="0" w:line="239"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4.2.1 The GP, the Manager, the Executive Partner, and the affiliates thereof shall not be required to refund the capital contribution money of any LP, and shall not promise safety of investment principal or a back stop of the return on investment for the LPs. The recouping of investment principal and return on investment of all LPs shall originate from the available assets of the Partnership Enterprise.</w:t>
      </w:r>
    </w:p>
    <w:p>
      <w:pPr>
        <w:spacing w:after="0" w:line="212"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4.2.2 The GP, the Executive Partner, the Manager, and the officers thereof shall not be held liable for any losses caused by their acts to the Partnership Enterprise or any LP, except for the losses arising from their wilful misconduct or gross negligence.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4.3 Disclaimer</w:t>
      </w:r>
    </w:p>
    <w:p>
      <w:pPr>
        <w:spacing w:after="0" w:line="23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1"/>
          <w:szCs w:val="21"/>
          <w:color w:val="auto"/>
        </w:rPr>
        <w:t>4.3.1 All Partners agree that the Partnership Enterprise shall hold harmless the GP, the Executive Partner, the Manager, the employees thereof, the agents and advisors and other persons recruited by the GP, the Executive Partner, and the Manager against all liabilities and obligations arising from fulfilling their duties for the GP or the Partnership Enterprise and for handling the matters delegated by the Partnership Enterprise. The Partnership Enterprise shall hold harmless the GP, the Executive Partner, the Manager, and the foregoing persons against any claim, litigation, arbitration, investigation, or other legal proceedings arising from performance of their duties or handling of delegated matters, and shall indemnify such persons for all losses and expenses thereby incurred, unless any evidence shows that such losses, expenses, and related legal proceedings are caused by wilful misconduct or gross negligence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4.4 Rights and obligations of the LPs</w:t>
      </w:r>
    </w:p>
    <w:p>
      <w:pPr>
        <w:spacing w:after="0" w:line="240"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4.4.1 The exercise of the rights of an LP by the LP under the Partnership Enterprise Law and this Agreement shall not be deemed to constitute a practice that the LP participates in managing or controlling the investment business or other activities of the Partnership Enterprise, and shall not thereby make the LP be deemed as a general partner who is jointly and severally liable for the debts of the Partnership Enterprise according to law or other regulations. For the avoidance of doubt, the exercise of the rights includes:</w:t>
      </w:r>
    </w:p>
    <w:p>
      <w:pPr>
        <w:spacing w:after="0" w:line="214" w:lineRule="exact"/>
        <w:rPr>
          <w:sz w:val="20"/>
          <w:szCs w:val="20"/>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enjoying the income distribution of the Partnership Enterprise in accordance with this Agreement;</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supervising the partnership affairs implemented by the Executive Partner;</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raising rationalization proposals on the operation and management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understanding the operating conditions and financial status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legitimately requesting to convene a partners’ meeting and exercising the corresponding voting rights;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legitimately transferring its interests in the Partnership Enterprise in accordance with this Agreement;</w:t>
      </w:r>
    </w:p>
    <w:p>
      <w:pPr>
        <w:spacing w:after="0" w:line="233" w:lineRule="exact"/>
        <w:rPr>
          <w:rFonts w:ascii="Arial" w:cs="Arial" w:eastAsia="Arial" w:hAnsi="Arial"/>
          <w:sz w:val="22"/>
          <w:szCs w:val="22"/>
          <w:color w:val="auto"/>
        </w:rPr>
      </w:pPr>
    </w:p>
    <w:p>
      <w:pPr>
        <w:ind w:firstLine="368"/>
        <w:spacing w:after="0" w:line="250" w:lineRule="auto"/>
        <w:tabs>
          <w:tab w:leader="none" w:pos="674" w:val="left"/>
        </w:tabs>
        <w:numPr>
          <w:ilvl w:val="0"/>
          <w:numId w:val="11"/>
        </w:numPr>
        <w:rPr>
          <w:rFonts w:ascii="Arial" w:cs="Arial" w:eastAsia="Arial" w:hAnsi="Arial"/>
          <w:sz w:val="22"/>
          <w:szCs w:val="22"/>
          <w:color w:val="auto"/>
        </w:rPr>
      </w:pPr>
      <w:r>
        <w:rPr>
          <w:rFonts w:ascii="Arial" w:cs="Arial" w:eastAsia="Arial" w:hAnsi="Arial"/>
          <w:sz w:val="22"/>
          <w:szCs w:val="22"/>
          <w:color w:val="auto"/>
        </w:rPr>
        <w:t>having the right of recourse or bringing a lawsuit against a delinquent Partner in case that the interests in the Partnership Enterprise are infringed;</w:t>
      </w:r>
    </w:p>
    <w:p>
      <w:pPr>
        <w:spacing w:after="0" w:line="201" w:lineRule="exact"/>
        <w:rPr>
          <w:rFonts w:ascii="Arial" w:cs="Arial" w:eastAsia="Arial" w:hAnsi="Arial"/>
          <w:sz w:val="22"/>
          <w:szCs w:val="22"/>
          <w:color w:val="auto"/>
        </w:rPr>
      </w:pPr>
    </w:p>
    <w:p>
      <w:pPr>
        <w:ind w:firstLine="368"/>
        <w:spacing w:after="0" w:line="250" w:lineRule="auto"/>
        <w:tabs>
          <w:tab w:leader="none" w:pos="6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case that the Executive Partner is negligent in exercising rights, urging the Executive Partner to exercise rights, or instituting litigation (or arbitration) in its own name for the benefit of the Partnership Enterprise;</w:t>
      </w:r>
    </w:p>
    <w:p>
      <w:pPr>
        <w:spacing w:after="0" w:line="201" w:lineRule="exact"/>
        <w:rPr>
          <w:rFonts w:ascii="Arial" w:cs="Arial" w:eastAsia="Arial" w:hAnsi="Arial"/>
          <w:sz w:val="22"/>
          <w:szCs w:val="22"/>
          <w:color w:val="auto"/>
        </w:rPr>
      </w:pPr>
    </w:p>
    <w:p>
      <w:pPr>
        <w:ind w:firstLine="368"/>
        <w:spacing w:after="0" w:line="328" w:lineRule="auto"/>
        <w:tabs>
          <w:tab w:leader="none" w:pos="666"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case of liquidating the Partnership Enterprise, participating in distribution of the assets of the Partnership Enterprise net of the relevant taxes and other expenses in accordance with the laws and regulations of the State and the Partnership Agreement;</w:t>
      </w:r>
    </w:p>
    <w:p>
      <w:pPr>
        <w:spacing w:after="0" w:line="131" w:lineRule="exact"/>
        <w:rPr>
          <w:rFonts w:ascii="Arial" w:cs="Arial" w:eastAsia="Arial" w:hAnsi="Arial"/>
          <w:sz w:val="19"/>
          <w:szCs w:val="19"/>
          <w:color w:val="auto"/>
        </w:rPr>
      </w:pPr>
    </w:p>
    <w:p>
      <w:pPr>
        <w:ind w:left="780" w:hanging="412"/>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exercising other rights specified in the laws and regulations and this Agreement.</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4.4.2 Obligations of the LPs</w:t>
      </w:r>
    </w:p>
    <w:p>
      <w:pPr>
        <w:spacing w:after="0" w:line="233" w:lineRule="exact"/>
        <w:rPr>
          <w:sz w:val="20"/>
          <w:szCs w:val="20"/>
          <w:color w:val="auto"/>
        </w:rPr>
      </w:pPr>
    </w:p>
    <w:p>
      <w:pPr>
        <w:ind w:right="20" w:firstLine="368"/>
        <w:spacing w:after="0" w:line="250" w:lineRule="auto"/>
        <w:tabs>
          <w:tab w:leader="none" w:pos="671" w:val="left"/>
        </w:tabs>
        <w:numPr>
          <w:ilvl w:val="0"/>
          <w:numId w:val="12"/>
        </w:numPr>
        <w:rPr>
          <w:rFonts w:ascii="Arial" w:cs="Arial" w:eastAsia="Arial" w:hAnsi="Arial"/>
          <w:sz w:val="22"/>
          <w:szCs w:val="22"/>
          <w:color w:val="auto"/>
        </w:rPr>
      </w:pPr>
      <w:r>
        <w:rPr>
          <w:rFonts w:ascii="Arial" w:cs="Arial" w:eastAsia="Arial" w:hAnsi="Arial"/>
          <w:sz w:val="22"/>
          <w:szCs w:val="22"/>
          <w:color w:val="auto"/>
        </w:rPr>
        <w:t>Paying the full amount of subscribed capital contributions in time in accordance with this Agreement and the Call Notice issued by the Executive Partner;</w:t>
      </w:r>
    </w:p>
    <w:p>
      <w:pPr>
        <w:spacing w:after="0" w:line="201" w:lineRule="exact"/>
        <w:rPr>
          <w:rFonts w:ascii="Arial" w:cs="Arial" w:eastAsia="Arial" w:hAnsi="Arial"/>
          <w:sz w:val="22"/>
          <w:szCs w:val="22"/>
          <w:color w:val="auto"/>
        </w:rPr>
      </w:pPr>
    </w:p>
    <w:p>
      <w:pPr>
        <w:ind w:right="20" w:firstLine="368"/>
        <w:spacing w:after="0" w:line="250"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Assuming limited liability for the debts of the Partnership Enterprise to the extent of the amount of subscribed capital contributions;</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Refraining from participating in partnership affairs and having no right to act on behalf of the Partnership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360" w:firstLine="368"/>
        <w:spacing w:after="0" w:line="251" w:lineRule="auto"/>
        <w:tabs>
          <w:tab w:leader="none" w:pos="345"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Refraining from requesting division of the assets of the Partnership Enterprise before liquidation of the Partnership Enterprise;</w:t>
      </w:r>
    </w:p>
    <w:p>
      <w:pPr>
        <w:spacing w:after="0" w:line="200"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Arial" w:cs="Arial" w:eastAsia="Arial" w:hAnsi="Arial"/>
          <w:sz w:val="21"/>
          <w:szCs w:val="21"/>
          <w:color w:val="auto"/>
        </w:rPr>
      </w:pPr>
      <w:r>
        <w:rPr>
          <w:rFonts w:ascii="Arial" w:cs="Arial" w:eastAsia="Arial" w:hAnsi="Arial"/>
          <w:sz w:val="21"/>
          <w:szCs w:val="21"/>
          <w:color w:val="auto"/>
        </w:rPr>
        <w:t>Keeping confidentiality of partnership affairs, investments, and other related matters in Partnership Enterprises;</w:t>
      </w:r>
    </w:p>
    <w:p>
      <w:pPr>
        <w:spacing w:after="0" w:line="244" w:lineRule="exact"/>
        <w:rPr>
          <w:rFonts w:ascii="Arial" w:cs="Arial" w:eastAsia="Arial" w:hAnsi="Arial"/>
          <w:sz w:val="21"/>
          <w:szCs w:val="21"/>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Refraining from engaging in any activities potentially to the detriment of the Partnership Enterprise;</w:t>
      </w:r>
    </w:p>
    <w:p>
      <w:pPr>
        <w:spacing w:after="0" w:line="233" w:lineRule="exact"/>
        <w:rPr>
          <w:rFonts w:ascii="Arial" w:cs="Arial" w:eastAsia="Arial" w:hAnsi="Arial"/>
          <w:sz w:val="22"/>
          <w:szCs w:val="22"/>
          <w:color w:val="auto"/>
        </w:rPr>
      </w:pPr>
    </w:p>
    <w:p>
      <w:pPr>
        <w:ind w:left="-360" w:right="20" w:firstLine="368"/>
        <w:spacing w:after="0" w:line="250" w:lineRule="auto"/>
        <w:tabs>
          <w:tab w:leader="none" w:pos="342" w:val="left"/>
        </w:tabs>
        <w:numPr>
          <w:ilvl w:val="0"/>
          <w:numId w:val="13"/>
        </w:numPr>
        <w:rPr>
          <w:rFonts w:ascii="Arial" w:cs="Arial" w:eastAsia="Arial" w:hAnsi="Arial"/>
          <w:sz w:val="22"/>
          <w:szCs w:val="22"/>
          <w:color w:val="auto"/>
        </w:rPr>
      </w:pPr>
      <w:r>
        <w:rPr>
          <w:rFonts w:ascii="Arial" w:cs="Arial" w:eastAsia="Arial" w:hAnsi="Arial"/>
          <w:sz w:val="22"/>
          <w:szCs w:val="22"/>
          <w:color w:val="auto"/>
        </w:rPr>
        <w:t>Signing relevant documents and providing corresponding collaboration in accordance with laws and regulations, the Partnership Agreement, the Partners’ resolutions, and the GP’s notice; and</w:t>
      </w:r>
    </w:p>
    <w:p>
      <w:pPr>
        <w:spacing w:after="0" w:line="201"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Performing other obligations specified in the laws and regulations, and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4.4.3 Limited liability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Each LP is liable for the debts of the Partnership Enterprise to the extent of its subscribed capital contribution.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4.4.4 Commitments and warranties of the LPs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Each LP hereby makes the following commitments and warranties to the GP and other LPs:</w:t>
      </w:r>
    </w:p>
    <w:p>
      <w:pPr>
        <w:spacing w:after="0" w:line="233" w:lineRule="exact"/>
        <w:rPr>
          <w:sz w:val="20"/>
          <w:szCs w:val="20"/>
          <w:color w:val="auto"/>
        </w:rPr>
      </w:pPr>
    </w:p>
    <w:p>
      <w:pPr>
        <w:ind w:left="-360" w:firstLine="368"/>
        <w:spacing w:after="0" w:line="250" w:lineRule="auto"/>
        <w:tabs>
          <w:tab w:leader="none" w:pos="30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LP is an institution established in accordance with applicable laws and regulations, validly existing, and competent as a qualified investor defined under applicable laws and regulations;</w:t>
      </w:r>
    </w:p>
    <w:p>
      <w:pPr>
        <w:spacing w:after="0" w:line="201" w:lineRule="exact"/>
        <w:rPr>
          <w:rFonts w:ascii="Arial" w:cs="Arial" w:eastAsia="Arial" w:hAnsi="Arial"/>
          <w:sz w:val="22"/>
          <w:szCs w:val="22"/>
          <w:color w:val="auto"/>
        </w:rPr>
      </w:pPr>
    </w:p>
    <w:p>
      <w:pPr>
        <w:ind w:left="-360" w:firstLine="368"/>
        <w:spacing w:after="0" w:line="250" w:lineRule="auto"/>
        <w:tabs>
          <w:tab w:leader="none" w:pos="31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LP satisfies the qualifications and conditions for participating in the strategic placement of the shares to be listed on the SSE STAR Market;</w:t>
      </w:r>
    </w:p>
    <w:p>
      <w:pPr>
        <w:spacing w:after="0" w:line="201" w:lineRule="exact"/>
        <w:rPr>
          <w:rFonts w:ascii="Arial" w:cs="Arial" w:eastAsia="Arial" w:hAnsi="Arial"/>
          <w:sz w:val="22"/>
          <w:szCs w:val="22"/>
          <w:color w:val="auto"/>
        </w:rPr>
      </w:pPr>
    </w:p>
    <w:p>
      <w:pPr>
        <w:jc w:val="both"/>
        <w:ind w:left="-360" w:firstLine="368"/>
        <w:spacing w:after="0" w:line="238" w:lineRule="auto"/>
        <w:tabs>
          <w:tab w:leader="none" w:pos="31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LP has the right to sign and perform this Agreement, and its signing and performance of this Agreement will not: (i) violate any laws, court judgments, or arbitral awards that are binding upon it; or (ii) violate any document on which its legal establishment and valid existence are based; or (iii) violate any document or agreement to which it is a party, or any document or agreement binding on it or its assets;</w:t>
      </w:r>
    </w:p>
    <w:p>
      <w:pPr>
        <w:spacing w:after="0" w:line="211" w:lineRule="exact"/>
        <w:rPr>
          <w:rFonts w:ascii="Arial" w:cs="Arial" w:eastAsia="Arial" w:hAnsi="Arial"/>
          <w:sz w:val="22"/>
          <w:szCs w:val="22"/>
          <w:color w:val="auto"/>
        </w:rPr>
      </w:pPr>
    </w:p>
    <w:p>
      <w:pPr>
        <w:ind w:left="-360" w:firstLine="368"/>
        <w:spacing w:after="0" w:line="250" w:lineRule="auto"/>
        <w:tabs>
          <w:tab w:leader="none" w:pos="30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LP’s signing of this Agreement has been validly resolved on and fully authorized according to its internal procedures, and the person who signs this Agreement on its behalf is a legal and valid representative of the LP;</w:t>
      </w:r>
    </w:p>
    <w:p>
      <w:pPr>
        <w:spacing w:after="0" w:line="201" w:lineRule="exact"/>
        <w:rPr>
          <w:rFonts w:ascii="Arial" w:cs="Arial" w:eastAsia="Arial" w:hAnsi="Arial"/>
          <w:sz w:val="22"/>
          <w:szCs w:val="22"/>
          <w:color w:val="auto"/>
        </w:rPr>
      </w:pPr>
    </w:p>
    <w:p>
      <w:pPr>
        <w:ind w:left="-360" w:right="20" w:firstLine="368"/>
        <w:spacing w:after="0" w:line="328" w:lineRule="auto"/>
        <w:tabs>
          <w:tab w:leader="none" w:pos="32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LP decides to participate in the establishment of or invest in the Partnership Enterprise at its sole discretion rather than by relying on any representations, warranties, or covenants provided by the GP and different from this Agreement;</w:t>
      </w:r>
    </w:p>
    <w:p>
      <w:pPr>
        <w:spacing w:after="0" w:line="131" w:lineRule="exact"/>
        <w:rPr>
          <w:rFonts w:ascii="Arial" w:cs="Arial" w:eastAsia="Arial" w:hAnsi="Arial"/>
          <w:sz w:val="19"/>
          <w:szCs w:val="19"/>
          <w:color w:val="auto"/>
        </w:rPr>
      </w:pPr>
    </w:p>
    <w:p>
      <w:pPr>
        <w:jc w:val="both"/>
        <w:ind w:left="-360" w:firstLine="368"/>
        <w:spacing w:after="0"/>
        <w:tabs>
          <w:tab w:leader="none" w:pos="31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LP holds the interests in the Partnership Enterprise for its own benefit, and such interests are free from entrustment, trust or proxy shareholding, and this will not change during the duration of the Partnership Enterprise without permission of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260350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18" w:right="339" w:bottom="1440" w:gutter="0" w:footer="0" w:header="0"/>
        </w:sectPr>
      </w:pPr>
    </w:p>
    <w:bookmarkStart w:id="15" w:name="page16"/>
    <w:bookmarkEnd w:id="15"/>
    <w:p>
      <w:pPr>
        <w:jc w:val="both"/>
        <w:ind w:firstLine="368"/>
        <w:spacing w:after="0"/>
        <w:tabs>
          <w:tab w:leader="none" w:pos="679"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LP has obtained and carefully read the offering documents submitted by the GP to it, and has sufficient investment knowledge and experience to fully understand potential risks imposed on it by participating in the Partnership Enterprise, and voluntarily assumes the the investment risks;</w:t>
      </w:r>
    </w:p>
    <w:p>
      <w:pPr>
        <w:spacing w:after="0" w:line="213" w:lineRule="exact"/>
        <w:rPr>
          <w:rFonts w:ascii="Arial" w:cs="Arial" w:eastAsia="Arial" w:hAnsi="Arial"/>
          <w:sz w:val="22"/>
          <w:szCs w:val="22"/>
          <w:color w:val="auto"/>
        </w:rPr>
      </w:pPr>
    </w:p>
    <w:p>
      <w:pPr>
        <w:jc w:val="both"/>
        <w:ind w:firstLine="368"/>
        <w:spacing w:after="0"/>
        <w:tabs>
          <w:tab w:leader="none" w:pos="70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LP determines, at its sole discretion, to subscribe the capital contribution to the Partnership Enterprise, and its subscription to the capital contribution to the Partnership Enterprise does not depend on legal, investment, or tax opinions or other advice provided by the GP or the Manager;</w:t>
      </w:r>
    </w:p>
    <w:p>
      <w:pPr>
        <w:spacing w:after="0" w:line="213" w:lineRule="exact"/>
        <w:rPr>
          <w:rFonts w:ascii="Arial" w:cs="Arial" w:eastAsia="Arial" w:hAnsi="Arial"/>
          <w:sz w:val="22"/>
          <w:szCs w:val="22"/>
          <w:color w:val="auto"/>
        </w:rPr>
      </w:pPr>
    </w:p>
    <w:p>
      <w:pPr>
        <w:ind w:firstLine="368"/>
        <w:spacing w:after="0" w:line="250" w:lineRule="auto"/>
        <w:tabs>
          <w:tab w:leader="none" w:pos="67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LP has carefully read this Agreement and understood the exact meanings of the terms and conditions hereof without any misunderstanding;</w:t>
      </w:r>
    </w:p>
    <w:p>
      <w:pPr>
        <w:spacing w:after="0" w:line="201" w:lineRule="exact"/>
        <w:rPr>
          <w:rFonts w:ascii="Arial" w:cs="Arial" w:eastAsia="Arial" w:hAnsi="Arial"/>
          <w:sz w:val="22"/>
          <w:szCs w:val="22"/>
          <w:color w:val="auto"/>
        </w:rPr>
      </w:pPr>
    </w:p>
    <w:p>
      <w:pPr>
        <w:ind w:firstLine="368"/>
        <w:spacing w:after="0" w:line="250" w:lineRule="auto"/>
        <w:tabs>
          <w:tab w:leader="none" w:pos="78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data or information submitted by the LP to the GP regarding its qualifications and legal status is true and accurate, and in case that such data or information changes, the LP will immediately notify the GP;</w:t>
      </w:r>
    </w:p>
    <w:p>
      <w:pPr>
        <w:spacing w:after="0" w:line="201" w:lineRule="exact"/>
        <w:rPr>
          <w:rFonts w:ascii="Arial" w:cs="Arial" w:eastAsia="Arial" w:hAnsi="Arial"/>
          <w:sz w:val="22"/>
          <w:szCs w:val="22"/>
          <w:color w:val="auto"/>
        </w:rPr>
      </w:pPr>
    </w:p>
    <w:p>
      <w:pPr>
        <w:jc w:val="both"/>
        <w:ind w:firstLine="368"/>
        <w:spacing w:after="0" w:line="257" w:lineRule="auto"/>
        <w:tabs>
          <w:tab w:leader="none" w:pos="769"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LP agrees that this Agreement becomes legally binding on it and enforceable as soon as the Agreement is signed by it; and, unless otherwise specified by laws, the LP has no right to rescind or terminate this Agreement or withdraw its subscribed capital contribution or withdraw any powers that it has conferred under this Agreement.</w:t>
      </w:r>
    </w:p>
    <w:p>
      <w:pPr>
        <w:spacing w:after="0" w:line="196" w:lineRule="exact"/>
        <w:rPr>
          <w:rFonts w:ascii="Arial" w:cs="Arial" w:eastAsia="Arial" w:hAnsi="Arial"/>
          <w:sz w:val="21"/>
          <w:szCs w:val="21"/>
          <w:color w:val="auto"/>
        </w:rPr>
      </w:pPr>
    </w:p>
    <w:p>
      <w:pPr>
        <w:jc w:val="both"/>
        <w:ind w:firstLine="368"/>
        <w:spacing w:after="0" w:line="238" w:lineRule="auto"/>
        <w:tabs>
          <w:tab w:leader="none" w:pos="866" w:val="left"/>
        </w:tabs>
        <w:numPr>
          <w:ilvl w:val="0"/>
          <w:numId w:val="15"/>
        </w:numPr>
        <w:rPr>
          <w:rFonts w:ascii="Arial" w:cs="Arial" w:eastAsia="Arial" w:hAnsi="Arial"/>
          <w:sz w:val="22"/>
          <w:szCs w:val="22"/>
          <w:color w:val="auto"/>
        </w:rPr>
      </w:pPr>
      <w:r>
        <w:rPr>
          <w:rFonts w:ascii="Arial" w:cs="Arial" w:eastAsia="Arial" w:hAnsi="Arial"/>
          <w:sz w:val="22"/>
          <w:szCs w:val="22"/>
          <w:color w:val="auto"/>
        </w:rPr>
        <w:t>After undergoing a look-through review until the listed company, the State-owned Assets Supervision and Administration Commission of the State Council (SASAC), or natural persons, its direct or indirect funders at all levels are not a contractual fund, a trust product, an asset management plan, or the like that may frustrate the industrial and commercial registration;</w:t>
      </w:r>
    </w:p>
    <w:p>
      <w:pPr>
        <w:spacing w:after="0" w:line="211" w:lineRule="exact"/>
        <w:rPr>
          <w:rFonts w:ascii="Arial" w:cs="Arial" w:eastAsia="Arial" w:hAnsi="Arial"/>
          <w:sz w:val="22"/>
          <w:szCs w:val="22"/>
          <w:color w:val="auto"/>
        </w:rPr>
      </w:pPr>
    </w:p>
    <w:p>
      <w:pPr>
        <w:jc w:val="both"/>
        <w:ind w:firstLine="368"/>
        <w:spacing w:after="0" w:line="287" w:lineRule="auto"/>
        <w:tabs>
          <w:tab w:leader="none" w:pos="7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LP undertakes to comply with the anti-money laundering laws and regulations, such as the </w:t>
      </w:r>
      <w:r>
        <w:rPr>
          <w:rFonts w:ascii="Arial" w:cs="Arial" w:eastAsia="Arial" w:hAnsi="Arial"/>
          <w:sz w:val="19"/>
          <w:szCs w:val="19"/>
          <w:i w:val="1"/>
          <w:iCs w:val="1"/>
          <w:color w:val="auto"/>
        </w:rPr>
        <w:t>Anti-Money Laundering</w:t>
      </w:r>
      <w:r>
        <w:rPr>
          <w:rFonts w:ascii="Arial" w:cs="Arial" w:eastAsia="Arial" w:hAnsi="Arial"/>
          <w:sz w:val="19"/>
          <w:szCs w:val="19"/>
          <w:color w:val="auto"/>
        </w:rPr>
        <w:t xml:space="preserve"> </w:t>
      </w:r>
      <w:r>
        <w:rPr>
          <w:rFonts w:ascii="Arial" w:cs="Arial" w:eastAsia="Arial" w:hAnsi="Arial"/>
          <w:sz w:val="19"/>
          <w:szCs w:val="19"/>
          <w:i w:val="1"/>
          <w:iCs w:val="1"/>
          <w:color w:val="auto"/>
        </w:rPr>
        <w:t>Law of the People’s Republic of China</w:t>
      </w:r>
      <w:r>
        <w:rPr>
          <w:rFonts w:ascii="Arial" w:cs="Arial" w:eastAsia="Arial" w:hAnsi="Arial"/>
          <w:sz w:val="19"/>
          <w:szCs w:val="19"/>
          <w:color w:val="auto"/>
        </w:rPr>
        <w:t>; undertakes that its money invested in the Partnership Enterprise is not originated from</w:t>
      </w:r>
      <w:r>
        <w:rPr>
          <w:rFonts w:ascii="Arial" w:cs="Arial" w:eastAsia="Arial" w:hAnsi="Arial"/>
          <w:sz w:val="19"/>
          <w:szCs w:val="19"/>
          <w:i w:val="1"/>
          <w:iCs w:val="1"/>
          <w:color w:val="auto"/>
        </w:rPr>
        <w:t xml:space="preserve"> </w:t>
      </w:r>
      <w:r>
        <w:rPr>
          <w:rFonts w:ascii="Arial" w:cs="Arial" w:eastAsia="Arial" w:hAnsi="Arial"/>
          <w:sz w:val="19"/>
          <w:szCs w:val="19"/>
          <w:color w:val="auto"/>
        </w:rPr>
        <w:t>illegalities and related earnings, and that it will actively cooperate with the Manager to perform anti-money laundering duties and will not carry out illegal or criminal activities such as money laundering by using the business hereunder.</w:t>
      </w:r>
    </w:p>
    <w:p>
      <w:pPr>
        <w:spacing w:after="0" w:line="170"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In case that the LP breaches the foregoing representations or warranties, the Executive Partner has the right to remove the breaching LP. In case that any losses are thereby caused to the Partnership Enterprise and/or other Partners, the breaching LP shall compensate the Partnership Enterprise and/or other Partners.</w:t>
      </w:r>
    </w:p>
    <w:p>
      <w:pPr>
        <w:spacing w:after="0" w:line="21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4.4.5 No LP may implement partnership affairs or act on behalf of the Partnership Enterprise. No LP may sign any document on behalf of the Partnership Enterprise or take any other actions that bind the Partnership Enterprise. However, the following acts of an LP shall not be deemed as implementation of partnership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80" w:hanging="312"/>
        <w:spacing w:after="0"/>
        <w:tabs>
          <w:tab w:leader="none" w:pos="6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participating in deciding on the GP’s entry into and withdrawal from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raising proposals on the operation and management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obtaining audited financial accounting reports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accessing the accounting books and other financial data of the Partnership Enterprise concerning its own interests;</w:t>
      </w:r>
    </w:p>
    <w:p>
      <w:pPr>
        <w:spacing w:after="0" w:line="267" w:lineRule="exact"/>
        <w:rPr>
          <w:rFonts w:ascii="Arial" w:cs="Arial" w:eastAsia="Arial" w:hAnsi="Arial"/>
          <w:sz w:val="19"/>
          <w:szCs w:val="19"/>
          <w:color w:val="auto"/>
        </w:rPr>
      </w:pPr>
    </w:p>
    <w:p>
      <w:pPr>
        <w:ind w:firstLine="368"/>
        <w:spacing w:after="0" w:line="250" w:lineRule="auto"/>
        <w:tabs>
          <w:tab w:leader="none" w:pos="677" w:val="left"/>
        </w:tabs>
        <w:numPr>
          <w:ilvl w:val="0"/>
          <w:numId w:val="16"/>
        </w:numPr>
        <w:rPr>
          <w:rFonts w:ascii="Arial" w:cs="Arial" w:eastAsia="Arial" w:hAnsi="Arial"/>
          <w:sz w:val="22"/>
          <w:szCs w:val="22"/>
          <w:color w:val="auto"/>
        </w:rPr>
      </w:pPr>
      <w:r>
        <w:rPr>
          <w:rFonts w:ascii="Arial" w:cs="Arial" w:eastAsia="Arial" w:hAnsi="Arial"/>
          <w:sz w:val="22"/>
          <w:szCs w:val="22"/>
          <w:color w:val="auto"/>
        </w:rPr>
        <w:t>having the right of recourse or bringing a lawsuit against a delinquent Partner in case that its interests in the Partnership Enterprise are infringed;</w:t>
      </w:r>
    </w:p>
    <w:p>
      <w:pPr>
        <w:spacing w:after="0" w:line="201" w:lineRule="exact"/>
        <w:rPr>
          <w:rFonts w:ascii="Arial" w:cs="Arial" w:eastAsia="Arial" w:hAnsi="Arial"/>
          <w:sz w:val="22"/>
          <w:szCs w:val="22"/>
          <w:color w:val="auto"/>
        </w:rPr>
      </w:pPr>
    </w:p>
    <w:p>
      <w:pPr>
        <w:ind w:firstLine="368"/>
        <w:spacing w:after="0" w:line="250" w:lineRule="auto"/>
        <w:tabs>
          <w:tab w:leader="none" w:pos="693"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case that the Executive Partner is negligent in exercising rights, urging the Executive Partner to exercise rights, or instituting litigation (or arbitration) in its own name for the benefit of the Partnership Enterprise;</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providing a guarantee for the Partnership Enterprise according to law; and</w:t>
      </w:r>
    </w:p>
    <w:p>
      <w:pPr>
        <w:spacing w:after="0" w:line="233" w:lineRule="exact"/>
        <w:rPr>
          <w:rFonts w:ascii="Arial" w:cs="Arial" w:eastAsia="Arial" w:hAnsi="Arial"/>
          <w:sz w:val="22"/>
          <w:szCs w:val="22"/>
          <w:color w:val="auto"/>
        </w:rPr>
      </w:pPr>
    </w:p>
    <w:p>
      <w:pPr>
        <w:ind w:firstLine="368"/>
        <w:spacing w:after="0" w:line="250" w:lineRule="auto"/>
        <w:tabs>
          <w:tab w:leader="none" w:pos="709" w:val="left"/>
        </w:tabs>
        <w:numPr>
          <w:ilvl w:val="0"/>
          <w:numId w:val="16"/>
        </w:numPr>
        <w:rPr>
          <w:rFonts w:ascii="Arial" w:cs="Arial" w:eastAsia="Arial" w:hAnsi="Arial"/>
          <w:sz w:val="22"/>
          <w:szCs w:val="22"/>
          <w:color w:val="auto"/>
        </w:rPr>
      </w:pPr>
      <w:r>
        <w:rPr>
          <w:rFonts w:ascii="Arial" w:cs="Arial" w:eastAsia="Arial" w:hAnsi="Arial"/>
          <w:sz w:val="22"/>
          <w:szCs w:val="22"/>
          <w:color w:val="auto"/>
        </w:rPr>
        <w:t>legitimately requesting to convene a partners’ meeting, attending the partners’ meeting in person or by proxy, and exercising the corresponding voting rights.</w:t>
      </w:r>
    </w:p>
    <w:p>
      <w:pPr>
        <w:spacing w:after="0" w:line="195" w:lineRule="exact"/>
        <w:rPr>
          <w:rFonts w:ascii="Arial" w:cs="Arial" w:eastAsia="Arial" w:hAnsi="Arial"/>
          <w:sz w:val="22"/>
          <w:szCs w:val="22"/>
          <w:color w:val="auto"/>
        </w:rPr>
      </w:pPr>
    </w:p>
    <w:p>
      <w:pPr>
        <w:ind w:left="4880" w:hanging="207"/>
        <w:spacing w:after="0"/>
        <w:tabs>
          <w:tab w:leader="none" w:pos="488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Partners’ Meeting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5.1 About the partners’ meeting</w:t>
      </w:r>
    </w:p>
    <w:p>
      <w:pPr>
        <w:spacing w:after="0" w:line="239" w:lineRule="exact"/>
        <w:rPr>
          <w:sz w:val="20"/>
          <w:szCs w:val="20"/>
          <w:color w:val="auto"/>
        </w:rPr>
      </w:pPr>
    </w:p>
    <w:p>
      <w:pPr>
        <w:ind w:firstLine="360"/>
        <w:spacing w:after="0" w:line="250" w:lineRule="auto"/>
        <w:rPr>
          <w:sz w:val="20"/>
          <w:szCs w:val="20"/>
          <w:color w:val="auto"/>
        </w:rPr>
      </w:pPr>
      <w:r>
        <w:rPr>
          <w:rFonts w:ascii="Arial" w:cs="Arial" w:eastAsia="Arial" w:hAnsi="Arial"/>
          <w:sz w:val="22"/>
          <w:szCs w:val="22"/>
          <w:color w:val="auto"/>
        </w:rPr>
        <w:t>5.1.1 The partners’ meeting is made up of all Partners. The following matters of the Partnership Enterprise shall be subject to a voting at the partners’ meeting:</w:t>
      </w:r>
    </w:p>
    <w:p>
      <w:pPr>
        <w:spacing w:after="0" w:line="202" w:lineRule="exact"/>
        <w:rPr>
          <w:sz w:val="20"/>
          <w:szCs w:val="20"/>
          <w:color w:val="auto"/>
        </w:rPr>
      </w:pPr>
    </w:p>
    <w:p>
      <w:pPr>
        <w:ind w:firstLine="368"/>
        <w:spacing w:after="0" w:line="250" w:lineRule="auto"/>
        <w:tabs>
          <w:tab w:leader="none" w:pos="7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modifying this Agreement, except for the modification to be decided by the GP as expressly authorized by this Agreement;</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extending the partnership duration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making a significant change in the investment scope of the Partnership Enterprise specified in this Agreement;</w:t>
      </w:r>
    </w:p>
    <w:p>
      <w:pPr>
        <w:spacing w:after="0" w:line="244" w:lineRule="exact"/>
        <w:rPr>
          <w:rFonts w:ascii="Arial" w:cs="Arial" w:eastAsia="Arial" w:hAnsi="Arial"/>
          <w:sz w:val="21"/>
          <w:szCs w:val="21"/>
          <w:color w:val="auto"/>
        </w:rPr>
      </w:pPr>
    </w:p>
    <w:p>
      <w:pPr>
        <w:ind w:left="680" w:hanging="312"/>
        <w:spacing w:after="0"/>
        <w:tabs>
          <w:tab w:leader="none" w:pos="6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changing the GP, the Fund Manager, or the Executive Partner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expenses that need to be borne by the Partnership Enterprise except for those specified in Section 8.1.2 hereof;</w:t>
      </w:r>
    </w:p>
    <w:p>
      <w:pPr>
        <w:spacing w:after="0" w:line="244" w:lineRule="exact"/>
        <w:rPr>
          <w:rFonts w:ascii="Arial" w:cs="Arial" w:eastAsia="Arial" w:hAnsi="Arial"/>
          <w:sz w:val="21"/>
          <w:szCs w:val="21"/>
          <w:color w:val="auto"/>
        </w:rPr>
      </w:pPr>
    </w:p>
    <w:p>
      <w:pPr>
        <w:ind w:left="680" w:hanging="312"/>
        <w:spacing w:after="0"/>
        <w:tabs>
          <w:tab w:leader="none" w:pos="6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 property return plan to be applied in case of a Partner’s withdrawal from the Partnership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80" w:hanging="312"/>
        <w:spacing w:after="0"/>
        <w:tabs>
          <w:tab w:leader="none" w:pos="6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removing the GP from the Partnership Enterprise in accordance with this Agreement;</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terminating or dissolving the Partnership Enterprise;</w:t>
      </w:r>
    </w:p>
    <w:p>
      <w:pPr>
        <w:spacing w:after="0" w:line="233" w:lineRule="exact"/>
        <w:rPr>
          <w:rFonts w:ascii="Arial" w:cs="Arial" w:eastAsia="Arial" w:hAnsi="Arial"/>
          <w:sz w:val="22"/>
          <w:szCs w:val="22"/>
          <w:color w:val="auto"/>
        </w:rPr>
      </w:pPr>
    </w:p>
    <w:p>
      <w:pPr>
        <w:ind w:right="20" w:firstLine="368"/>
        <w:spacing w:after="0" w:line="250" w:lineRule="auto"/>
        <w:tabs>
          <w:tab w:leader="none" w:pos="7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other matters that are subject to a resolution at the partners’ meeting as expressly required by relevant laws, administrative regulations, and this Agreement.</w:t>
      </w:r>
    </w:p>
    <w:p>
      <w:pPr>
        <w:spacing w:after="0" w:line="202" w:lineRule="exact"/>
        <w:rPr>
          <w:sz w:val="20"/>
          <w:szCs w:val="20"/>
          <w:color w:val="auto"/>
        </w:rPr>
      </w:pPr>
    </w:p>
    <w:p>
      <w:pPr>
        <w:jc w:val="both"/>
        <w:ind w:right="20" w:firstLine="360"/>
        <w:spacing w:after="0" w:line="250" w:lineRule="auto"/>
        <w:rPr>
          <w:sz w:val="20"/>
          <w:szCs w:val="20"/>
          <w:color w:val="auto"/>
        </w:rPr>
      </w:pPr>
      <w:r>
        <w:rPr>
          <w:rFonts w:ascii="Arial" w:cs="Arial" w:eastAsia="Arial" w:hAnsi="Arial"/>
          <w:sz w:val="22"/>
          <w:szCs w:val="22"/>
          <w:color w:val="auto"/>
        </w:rPr>
        <w:t>5.1.2 In case that all Partners consent to any of the foregoing matters in writing, a resolution may be made without convening a partners’ meeting.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5.2 Convening and holding a partners’ meeting</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5.2.1 The partners’ meeting is a deliberative procedure of Partners, and is convened and presided over by the Executive Partner.</w:t>
      </w:r>
    </w:p>
    <w:p>
      <w:pPr>
        <w:spacing w:after="0" w:line="20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1"/>
          <w:szCs w:val="21"/>
          <w:color w:val="auto"/>
        </w:rPr>
        <w:t>5.2.2 As proposed by the GP or the LPs that aggregately hold more than 30% of the paid-in capital contributions of all Partners, the Executive Partner shall convene a partners’ meeting. The Executive Partner shall notify all Partners in writing ten business days before the meeting is held, but all Partners may waive the right of the advance notice in writing.</w:t>
      </w:r>
    </w:p>
    <w:p>
      <w:pPr>
        <w:spacing w:after="0" w:line="196"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5.2.3 By issuing a written authorization, a Partner may delegate another Partner to attend the meeting and vote. The written authorization shall clearly specify the voting content.</w:t>
      </w:r>
    </w:p>
    <w:p>
      <w:pPr>
        <w:spacing w:after="0" w:line="202"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5.2.4 The partners’ meeting is held on site, by teleconference or video conference, or in other forms that enable obtaining of real-time meeting information. The Executive Partner shall keep minutes of the meeting, and develop the resolutions of the meeting into a written document. The Partners present at the meeting or their authorized representatives shall sign the meeting minutes. The Partners or their authorized representatives who vote in favor of the resolutions of the meeting shall sign and seal the resolution documents. The Executive Partner shall send in time the meeting minutes and written resolution documents to the Partners who attend the meeting off site, and such Partners shall sign and seal the received written documents sent by the Executive Partner and return the documents to the Executive Partner within a specified number of days after receiving the documents.</w:t>
      </w:r>
    </w:p>
    <w:p>
      <w:pPr>
        <w:spacing w:after="0" w:line="21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5.2.5 A Partner shall appoint its legal representative/Executive Partner delegated representative to attend the meeting. If the legal representative/Executive Partner delegated representative is unable to attend the meeting for any reason, the Partner may delegate an authorized representative in writing to attend the meeting, and shall submit to the GP the original power of attorney stamped with the corporate seal of the Partner and signed by the legal representative/Executive Partner delegated representative. The power of attorney shall set out at least the name and the ID card number of the authorized representative, the powers and authorities conferred, the voting opinion on the matters to be deliberated on the meeting, and the term of the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5.3 Voting</w:t>
      </w:r>
    </w:p>
    <w:p>
      <w:pPr>
        <w:spacing w:after="0" w:line="24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5.3.1 Each Partner shall exercise voting rights in accordance with its paid-in capital contribution percentage, but a Partner who has forfeited voting rights for breach of contract shall not participate in voting.</w:t>
      </w:r>
    </w:p>
    <w:p>
      <w:pPr>
        <w:spacing w:after="0" w:line="202" w:lineRule="exact"/>
        <w:rPr>
          <w:sz w:val="20"/>
          <w:szCs w:val="20"/>
          <w:color w:val="auto"/>
        </w:rPr>
      </w:pPr>
    </w:p>
    <w:p>
      <w:pPr>
        <w:jc w:val="both"/>
        <w:ind w:right="20" w:firstLine="360"/>
        <w:spacing w:after="0"/>
        <w:rPr>
          <w:sz w:val="20"/>
          <w:szCs w:val="20"/>
          <w:color w:val="auto"/>
        </w:rPr>
      </w:pPr>
      <w:r>
        <w:rPr>
          <w:rFonts w:ascii="Arial" w:cs="Arial" w:eastAsia="Arial" w:hAnsi="Arial"/>
          <w:sz w:val="22"/>
          <w:szCs w:val="22"/>
          <w:color w:val="auto"/>
        </w:rPr>
        <w:t>5.3.2 A resolution of the partners’ meeting is not passed unless approved by the Partners representing two-thirds or more of the voting rights, except for the matters that are subject to a unanimous consent of all Partners as expressly required by the laws and administrative regulations.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6. Manager and Management Fee</w:t>
      </w:r>
    </w:p>
    <w:p>
      <w:pPr>
        <w:spacing w:after="0" w:line="233" w:lineRule="exact"/>
        <w:rPr>
          <w:sz w:val="20"/>
          <w:szCs w:val="20"/>
          <w:color w:val="auto"/>
        </w:rPr>
      </w:pPr>
    </w:p>
    <w:p>
      <w:pPr>
        <w:jc w:val="both"/>
        <w:ind w:firstLine="362"/>
        <w:spacing w:after="0" w:line="243"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All Partners unanimously agree that the Partnership Enterprise entrusts the Executive Partner, that is, China Fortune-Tech</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 Ltd., as manager of the Partnership Enterprise, and that the Manager is responsible for the daily operation and management of the Partnership Enterprise.</w:t>
      </w:r>
    </w:p>
    <w:p>
      <w:pPr>
        <w:spacing w:after="0" w:line="204" w:lineRule="exact"/>
        <w:rPr>
          <w:sz w:val="20"/>
          <w:szCs w:val="20"/>
          <w:color w:val="auto"/>
        </w:rPr>
      </w:pPr>
    </w:p>
    <w:p>
      <w:pPr>
        <w:jc w:val="both"/>
        <w:ind w:firstLine="362"/>
        <w:spacing w:after="0" w:line="237"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22"/>
          <w:szCs w:val="22"/>
          <w:color w:val="auto"/>
        </w:rPr>
        <w:t>The Parties agree that the Partnership Enterprise will pay the Manager a management fee in consideration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and other services provided by the Manager for the Partnership Enterprise. The management fee is 2% of the billing baseline (see Section 6.3 below) per year, and shall be borne by all Partners. In case that the billing period of the management fee is less than one year, the management fee shall be calculated at a ratio of the actual number of days in the billing period to 365 days counted as a year.</w:t>
      </w:r>
    </w:p>
    <w:p>
      <w:pPr>
        <w:spacing w:after="0" w:line="209" w:lineRule="exact"/>
        <w:rPr>
          <w:sz w:val="20"/>
          <w:szCs w:val="20"/>
          <w:color w:val="auto"/>
        </w:rPr>
      </w:pPr>
    </w:p>
    <w:p>
      <w:pPr>
        <w:jc w:val="both"/>
        <w:ind w:firstLine="362"/>
        <w:spacing w:after="0" w:line="271"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19"/>
          <w:szCs w:val="19"/>
          <w:color w:val="auto"/>
        </w:rPr>
        <w:t>The management fee shall be paid first before any other expenses and costs. The billing period of the management fee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start from the Closing Date. The management fee is received in two tranches. The first tranche of management fee uses 12 months as a billing period (starting from the Closing Date) and shall be paid to the Manager within seven (7) business days after the Closing Date. The billing baseline of the first tranche of management fee is the amount of capital contributions subscribed by the Partner to the Partnership Enterprise. The billing period of the second tranche of management fee starts from the day following the expiry of the billing period of the first tranche of management fee, and ends at the date on which all Partners have divested of the Investment Project. The second tranche of management fee shall be paid to the Manager within seven (7) business days after the divestment of the Investment Project (if the Partners are divested of the Investment Project at multiple attempts, the second tranche of management fee shall be calculated and paid to the Manager at each of the attempts). The billing baseline of the second tranche of management fee is the Partners’ investment principal that is not divested in the Investment Project. The initial baseline of the investment principal is the total amount of subscribed capital contributions used by the Partnership Enterprise to actually participate in the Investment Project. Initially the investment principal shall be apportioned among the Partners in proportion to each Partner’s paid-in capital contribution to the Partnership Enterprise. Subsequently the investment principal apportioned to each Partner shall be adjusted in accordance with the actual divestment status of the Partner in the Investment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ind w:firstLine="362"/>
        <w:spacing w:after="0" w:line="257" w:lineRule="auto"/>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22"/>
          <w:szCs w:val="22"/>
          <w:color w:val="auto"/>
        </w:rPr>
        <w:t>In case that all Partners unanimously agree to extend the partnership duration of the Partnership Enterprise,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otherwise negotiate the payment of the management fee.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 Escrow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7.1 Escrow agent</w:t>
      </w:r>
    </w:p>
    <w:p>
      <w:pPr>
        <w:spacing w:after="0" w:line="239"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7.1.1 The Partnership Enterprise shall entrust a qualified private fund escrow agent (“Escrow Agent”) to provide custody for all the cash in the account of the Partnership Enterprise to ensure the safety of the cash property of the Partnership Enterprise. The Parties agree that the election and replacement of the Escrow Agent of the Partnership Enterprise shall be subject to decision of the GP.</w:t>
      </w:r>
    </w:p>
    <w:p>
      <w:pPr>
        <w:spacing w:after="0" w:line="21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 xml:space="preserve">7.1.2 Any cash disbursement from the Partnership Enterprise shall comply with the procedures specified in the </w:t>
      </w:r>
      <w:r>
        <w:rPr>
          <w:rFonts w:ascii="Arial" w:cs="Arial" w:eastAsia="Arial" w:hAnsi="Arial"/>
          <w:sz w:val="22"/>
          <w:szCs w:val="22"/>
          <w:i w:val="1"/>
          <w:iCs w:val="1"/>
          <w:color w:val="auto"/>
        </w:rPr>
        <w:t>Escrow</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Agreement </w:t>
      </w:r>
      <w:r>
        <w:rPr>
          <w:rFonts w:ascii="Arial" w:cs="Arial" w:eastAsia="Arial" w:hAnsi="Arial"/>
          <w:sz w:val="22"/>
          <w:szCs w:val="22"/>
          <w:color w:val="auto"/>
        </w:rPr>
        <w:t>signed with the Escrow Agent.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7.2 Custodian fee</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 xml:space="preserve">7.2.1 The custodian fee shall be calculated and paid in the manners specified in the </w:t>
      </w:r>
      <w:r>
        <w:rPr>
          <w:rFonts w:ascii="Arial" w:cs="Arial" w:eastAsia="Arial" w:hAnsi="Arial"/>
          <w:sz w:val="22"/>
          <w:szCs w:val="22"/>
          <w:i w:val="1"/>
          <w:iCs w:val="1"/>
          <w:color w:val="auto"/>
        </w:rPr>
        <w:t>Escrow Agreement</w:t>
      </w:r>
      <w:r>
        <w:rPr>
          <w:rFonts w:ascii="Arial" w:cs="Arial" w:eastAsia="Arial" w:hAnsi="Arial"/>
          <w:sz w:val="22"/>
          <w:szCs w:val="22"/>
          <w:color w:val="auto"/>
        </w:rPr>
        <w:t xml:space="preserve"> signed between the Partnership Enterprise and the Escrow Agent.</w:t>
      </w:r>
    </w:p>
    <w:p>
      <w:pPr>
        <w:spacing w:after="0" w:line="196" w:lineRule="exact"/>
        <w:rPr>
          <w:sz w:val="20"/>
          <w:szCs w:val="20"/>
          <w:color w:val="auto"/>
        </w:rPr>
      </w:pPr>
    </w:p>
    <w:p>
      <w:pPr>
        <w:ind w:left="3920" w:hanging="216"/>
        <w:spacing w:after="0"/>
        <w:tabs>
          <w:tab w:leader="none" w:pos="392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Expenses of the Partnership Enterprise</w:t>
      </w:r>
    </w:p>
    <w:p>
      <w:pPr>
        <w:spacing w:after="0" w:line="233"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8.1 Expenses of the Partnership Enterprise</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8.1.1 Principles of accruing the expenses of the Partnership Enterprise</w:t>
      </w:r>
    </w:p>
    <w:p>
      <w:pPr>
        <w:spacing w:after="0" w:line="233"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1"/>
          <w:szCs w:val="21"/>
          <w:color w:val="auto"/>
        </w:rPr>
        <w:t>The expenses incurred by the Partnership Enterprise shall be accrued to and paid by the Partnership Enterprise in the amount actually occurring from the date of establishment of the Partnership Enterprise. The expenses of the Partnership Enterprise to be borne by the Partnership Enterprise shall be apportioned among all Partners in proportion to the amount of capital contribution subscribed by each Partner (except for the management fee that will be charged according to other provisions of this Agreement), and shall be paid by using the assets of the Partnership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ind w:firstLine="360"/>
        <w:spacing w:after="0" w:line="251" w:lineRule="auto"/>
        <w:rPr>
          <w:sz w:val="20"/>
          <w:szCs w:val="20"/>
          <w:color w:val="auto"/>
        </w:rPr>
      </w:pPr>
      <w:r>
        <w:rPr>
          <w:rFonts w:ascii="Arial" w:cs="Arial" w:eastAsia="Arial" w:hAnsi="Arial"/>
          <w:sz w:val="22"/>
          <w:szCs w:val="22"/>
          <w:color w:val="auto"/>
        </w:rPr>
        <w:t>8.1.2 The expenses that the Partnership Enterprise bears include the following expenses related to the establishment, operation, termination, dissolution, and liquidation of the Partnership Enterprise:</w:t>
      </w:r>
    </w:p>
    <w:p>
      <w:pPr>
        <w:spacing w:after="0" w:line="200" w:lineRule="exact"/>
        <w:rPr>
          <w:sz w:val="20"/>
          <w:szCs w:val="20"/>
          <w:color w:val="auto"/>
        </w:rPr>
      </w:pPr>
    </w:p>
    <w:p>
      <w:pPr>
        <w:ind w:left="680" w:hanging="312"/>
        <w:spacing w:after="0"/>
        <w:tabs>
          <w:tab w:leader="none" w:pos="6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management fees that the Partnership Enterprise pays to the Manager;</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custodian fees that the Partnership Enterprise pays to the Escrow Agent;</w:t>
      </w:r>
    </w:p>
    <w:p>
      <w:pPr>
        <w:spacing w:after="0" w:line="233" w:lineRule="exact"/>
        <w:rPr>
          <w:rFonts w:ascii="Arial" w:cs="Arial" w:eastAsia="Arial" w:hAnsi="Arial"/>
          <w:sz w:val="22"/>
          <w:szCs w:val="22"/>
          <w:color w:val="auto"/>
        </w:rPr>
      </w:pPr>
    </w:p>
    <w:p>
      <w:pPr>
        <w:ind w:firstLine="368"/>
        <w:spacing w:after="0" w:line="250" w:lineRule="auto"/>
        <w:tabs>
          <w:tab w:leader="none" w:pos="6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securities trading settlement expenses of the Partnership Enterprise, commissions for securities trading (including stock placement), and account expenses;</w:t>
      </w:r>
    </w:p>
    <w:p>
      <w:pPr>
        <w:spacing w:after="0" w:line="201" w:lineRule="exact"/>
        <w:rPr>
          <w:rFonts w:ascii="Arial" w:cs="Arial" w:eastAsia="Arial" w:hAnsi="Arial"/>
          <w:sz w:val="22"/>
          <w:szCs w:val="22"/>
          <w:color w:val="auto"/>
        </w:rPr>
      </w:pPr>
    </w:p>
    <w:p>
      <w:pPr>
        <w:jc w:val="both"/>
        <w:ind w:firstLine="368"/>
        <w:spacing w:after="0" w:line="238" w:lineRule="auto"/>
        <w:tabs>
          <w:tab w:leader="none" w:pos="685" w:val="left"/>
        </w:tabs>
        <w:numPr>
          <w:ilvl w:val="0"/>
          <w:numId w:val="20"/>
        </w:numPr>
        <w:rPr>
          <w:rFonts w:ascii="Arial" w:cs="Arial" w:eastAsia="Arial" w:hAnsi="Arial"/>
          <w:sz w:val="22"/>
          <w:szCs w:val="22"/>
          <w:color w:val="auto"/>
        </w:rPr>
      </w:pPr>
      <w:r>
        <w:rPr>
          <w:rFonts w:ascii="Arial" w:cs="Arial" w:eastAsia="Arial" w:hAnsi="Arial"/>
          <w:sz w:val="22"/>
          <w:szCs w:val="22"/>
          <w:color w:val="auto"/>
        </w:rPr>
        <w:t>expenses of litigation, arbitration, or other judicial or administrative proceedings initiated by or against the Partnership Enterprise, or against the Investment Project of the Partnership Enterprise; the attorneys’ fees, the court charges for hearing a case, litigation fees, arbitration fees, and property preservation fees that relate to the litigation, arbitration or proceedings; and the expenses incurred in the exercise of any rights arising therefrom;</w:t>
      </w:r>
    </w:p>
    <w:p>
      <w:pPr>
        <w:spacing w:after="0" w:line="211" w:lineRule="exact"/>
        <w:rPr>
          <w:rFonts w:ascii="Arial" w:cs="Arial" w:eastAsia="Arial" w:hAnsi="Arial"/>
          <w:sz w:val="22"/>
          <w:szCs w:val="22"/>
          <w:color w:val="auto"/>
        </w:rPr>
      </w:pPr>
    </w:p>
    <w:p>
      <w:pPr>
        <w:ind w:firstLine="368"/>
        <w:spacing w:after="0" w:line="250" w:lineRule="auto"/>
        <w:tabs>
          <w:tab w:leader="none" w:pos="709" w:val="left"/>
        </w:tabs>
        <w:numPr>
          <w:ilvl w:val="0"/>
          <w:numId w:val="20"/>
        </w:numPr>
        <w:rPr>
          <w:rFonts w:ascii="Arial" w:cs="Arial" w:eastAsia="Arial" w:hAnsi="Arial"/>
          <w:sz w:val="22"/>
          <w:szCs w:val="22"/>
          <w:color w:val="auto"/>
        </w:rPr>
      </w:pPr>
      <w:r>
        <w:rPr>
          <w:rFonts w:ascii="Arial" w:cs="Arial" w:eastAsia="Arial" w:hAnsi="Arial"/>
          <w:sz w:val="22"/>
          <w:szCs w:val="22"/>
          <w:color w:val="auto"/>
        </w:rPr>
        <w:t>bank remittance fees, account maintenance fees, charges for a request for confirmation of balances, and other fees charged by the bank on the Partnership Enterprise;</w:t>
      </w:r>
    </w:p>
    <w:p>
      <w:pPr>
        <w:spacing w:after="0" w:line="201" w:lineRule="exact"/>
        <w:rPr>
          <w:rFonts w:ascii="Arial" w:cs="Arial" w:eastAsia="Arial" w:hAnsi="Arial"/>
          <w:sz w:val="22"/>
          <w:szCs w:val="22"/>
          <w:color w:val="auto"/>
        </w:rPr>
      </w:pPr>
    </w:p>
    <w:p>
      <w:pPr>
        <w:ind w:firstLine="368"/>
        <w:spacing w:after="0" w:line="274" w:lineRule="auto"/>
        <w:tabs>
          <w:tab w:leader="none" w:pos="688" w:val="left"/>
        </w:tabs>
        <w:numPr>
          <w:ilvl w:val="0"/>
          <w:numId w:val="20"/>
        </w:numPr>
        <w:rPr>
          <w:rFonts w:ascii="Arial" w:cs="Arial" w:eastAsia="Arial" w:hAnsi="Arial"/>
          <w:sz w:val="21"/>
          <w:szCs w:val="21"/>
          <w:color w:val="auto"/>
        </w:rPr>
      </w:pPr>
      <w:r>
        <w:rPr>
          <w:rFonts w:ascii="Arial" w:cs="Arial" w:eastAsia="Arial" w:hAnsi="Arial"/>
          <w:sz w:val="21"/>
          <w:szCs w:val="21"/>
          <w:color w:val="auto"/>
        </w:rPr>
        <w:t>taxes and other expenses charged by the government departments on the Partnership Enterprise, or on the proceeds or assets of the Partnership Enterprise, or on the transaction or operation of the Partnership Enterprise; and</w:t>
      </w:r>
    </w:p>
    <w:p>
      <w:pPr>
        <w:spacing w:after="0" w:line="177" w:lineRule="exact"/>
        <w:rPr>
          <w:rFonts w:ascii="Arial" w:cs="Arial" w:eastAsia="Arial" w:hAnsi="Arial"/>
          <w:sz w:val="21"/>
          <w:szCs w:val="21"/>
          <w:color w:val="auto"/>
        </w:rPr>
      </w:pPr>
    </w:p>
    <w:p>
      <w:pPr>
        <w:ind w:left="680" w:hanging="312"/>
        <w:spacing w:after="0"/>
        <w:tabs>
          <w:tab w:leader="none" w:pos="6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liquidation expenses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other expenses to be duly borne by the Partnership Enterprise as specified in the Partnership Agreement.</w:t>
      </w:r>
    </w:p>
    <w:p>
      <w:pPr>
        <w:spacing w:after="0" w:line="23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8.1.3 The following expenses incurred by the Partnership Enterprise, which are necessary costs of the professional services provided by the Fund Manager to implement the investment management business of the Partnership Enterprise and the entrusted partnership affairs, have been included in the management fees charged by the Fund Manager, and therefore, are borne by the Fund Manager and not payable from the assets of the Partnership Enterprise:</w:t>
      </w:r>
    </w:p>
    <w:p>
      <w:pPr>
        <w:spacing w:after="0" w:line="201" w:lineRule="exact"/>
        <w:rPr>
          <w:sz w:val="20"/>
          <w:szCs w:val="20"/>
          <w:color w:val="auto"/>
        </w:rPr>
      </w:pPr>
    </w:p>
    <w:p>
      <w:pPr>
        <w:ind w:left="680" w:hanging="312"/>
        <w:spacing w:after="0"/>
        <w:tabs>
          <w:tab w:leader="none" w:pos="6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general and necessary personnel expenses of the Executive Partner or the Manager, including salaries, bonuses, and perks;</w:t>
      </w:r>
    </w:p>
    <w:p>
      <w:pPr>
        <w:spacing w:after="0" w:line="267" w:lineRule="exact"/>
        <w:rPr>
          <w:rFonts w:ascii="Arial" w:cs="Arial" w:eastAsia="Arial" w:hAnsi="Arial"/>
          <w:sz w:val="19"/>
          <w:szCs w:val="19"/>
          <w:color w:val="auto"/>
        </w:rPr>
      </w:pPr>
    </w:p>
    <w:p>
      <w:pPr>
        <w:ind w:firstLine="368"/>
        <w:spacing w:after="0" w:line="250" w:lineRule="auto"/>
        <w:tabs>
          <w:tab w:leader="none" w:pos="722" w:val="left"/>
        </w:tabs>
        <w:numPr>
          <w:ilvl w:val="0"/>
          <w:numId w:val="21"/>
        </w:numPr>
        <w:rPr>
          <w:rFonts w:ascii="Arial" w:cs="Arial" w:eastAsia="Arial" w:hAnsi="Arial"/>
          <w:sz w:val="22"/>
          <w:szCs w:val="22"/>
          <w:color w:val="auto"/>
        </w:rPr>
      </w:pPr>
      <w:r>
        <w:rPr>
          <w:rFonts w:ascii="Arial" w:cs="Arial" w:eastAsia="Arial" w:hAnsi="Arial"/>
          <w:sz w:val="22"/>
          <w:szCs w:val="22"/>
          <w:color w:val="auto"/>
        </w:rPr>
        <w:t>expenses incurred by the Executive Partner or the Manager for administrative management, office premises, and facilities;</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travel expenses, and daily expenses and expenditures related to the operations of the Executive Partner or the Manager;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left="680" w:hanging="312"/>
        <w:spacing w:after="0"/>
        <w:tabs>
          <w:tab w:leader="none" w:pos="6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 expenses and expenditures incurred in the daily operations of the Executive Partner or the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440" w:hanging="215"/>
        <w:spacing w:after="0"/>
        <w:tabs>
          <w:tab w:leader="none" w:pos="44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Entry into and Withdrawal from Partnership Enterprise, Transfer of Partnership Interests, and Transformation of</w:t>
      </w:r>
    </w:p>
    <w:p>
      <w:pPr>
        <w:spacing w:after="0" w:line="49" w:lineRule="exact"/>
        <w:rPr>
          <w:rFonts w:ascii="Arial" w:cs="Arial" w:eastAsia="Arial" w:hAnsi="Arial"/>
          <w:sz w:val="19"/>
          <w:szCs w:val="19"/>
          <w:b w:val="1"/>
          <w:bCs w:val="1"/>
          <w:color w:val="auto"/>
        </w:rPr>
      </w:pPr>
    </w:p>
    <w:p>
      <w:pPr>
        <w:ind w:left="526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Identity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9.1 Partners’ entry into the Partnership Enterprise</w:t>
      </w:r>
    </w:p>
    <w:p>
      <w:pPr>
        <w:spacing w:after="0" w:line="23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9"/>
          <w:szCs w:val="19"/>
          <w:color w:val="auto"/>
        </w:rPr>
        <w:t>9.1.1 Entry of a new Partner into the Partnership Enterprise is subject to consent of the GP, and the new Partner shall sign a written partnership admission agreement to undertake and agree to be bound by and perform all provisions of this Agreement. When entering into the partnership admission agreement, the GP shall truthfully inform the new Partner of the business status and financial status of the original Partnership Enterprise. The new Partner has the same rights and assumes the same responsibility as the original Partner. A newly admitted GP shall assume unlimited joint and several liability for the debts of the limited partnership enterprise existent before the admission; and a newly admitted LP shall, to the extent of the capital contribution subscribed by it, assume limited liability for the debts of the limited partnership enterprise existent before the admission.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9.2 Withdrawal of an LP</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9.2.1 During the duration of the Partnership Enterprise, no LP may request withdrawal from partnership or earlier recouping of investment principal without consent of the GP.</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9.2.2 An LP shall be deemed to have withdrawn naturally from partnership in any of the following circumstances during the duration of the Partnership Enterprise:</w:t>
      </w:r>
    </w:p>
    <w:p>
      <w:pPr>
        <w:spacing w:after="0" w:line="202" w:lineRule="exact"/>
        <w:rPr>
          <w:sz w:val="20"/>
          <w:szCs w:val="20"/>
          <w:color w:val="auto"/>
        </w:rPr>
      </w:pPr>
    </w:p>
    <w:p>
      <w:pPr>
        <w:jc w:val="both"/>
        <w:ind w:firstLine="368"/>
        <w:spacing w:after="0"/>
        <w:tabs>
          <w:tab w:leader="none" w:pos="6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legal person or other organization serving as an LP has its business license revoked according to law, or is ordered to be closed down or revoked or is declared bankrupt, and the rights transferee of the LP is unwilling to take over the identity of the LP in the Partnership Enterprise;</w:t>
      </w:r>
    </w:p>
    <w:p>
      <w:pPr>
        <w:spacing w:after="0" w:line="213" w:lineRule="exact"/>
        <w:rPr>
          <w:rFonts w:ascii="Arial" w:cs="Arial" w:eastAsia="Arial" w:hAnsi="Arial"/>
          <w:sz w:val="22"/>
          <w:szCs w:val="22"/>
          <w:color w:val="auto"/>
        </w:rPr>
      </w:pPr>
    </w:p>
    <w:p>
      <w:pPr>
        <w:ind w:left="680" w:hanging="312"/>
        <w:spacing w:after="0"/>
        <w:tabs>
          <w:tab w:leader="none" w:pos="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LP forfeits the qualifications required by laws or this Partnership Agreement;</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All participating shares held by the LP in the Partnership Enterprise are compulsorily executed by a court; and</w:t>
      </w:r>
    </w:p>
    <w:p>
      <w:pPr>
        <w:spacing w:after="0" w:line="244" w:lineRule="exact"/>
        <w:rPr>
          <w:rFonts w:ascii="Arial" w:cs="Arial" w:eastAsia="Arial" w:hAnsi="Arial"/>
          <w:sz w:val="21"/>
          <w:szCs w:val="21"/>
          <w:color w:val="auto"/>
        </w:rPr>
      </w:pPr>
    </w:p>
    <w:p>
      <w:pPr>
        <w:ind w:firstLine="368"/>
        <w:spacing w:after="0" w:line="250" w:lineRule="auto"/>
        <w:tabs>
          <w:tab w:leader="none" w:pos="6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Other circumstances in which the LP is deemed to have withdrawn naturally from partnership in accordance with the laws or this Agreement.</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In case of withdrawing naturally from partnership, the date on which the cause of withdrawal actually occurs is the effective date of the withdrawal. In case that an LP withdraws naturally from partnership according to the foregoing provisions, the Partnership Enterprise shall not be thereby dissolved.</w:t>
      </w:r>
    </w:p>
    <w:p>
      <w:pPr>
        <w:spacing w:after="0" w:line="21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9.2.3 The Executive Partner has the right to remove an LP in case that the LP falls in any of the following circumstances in the duration of the Partnership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ind w:firstLine="368"/>
        <w:spacing w:after="0" w:line="251" w:lineRule="auto"/>
        <w:tabs>
          <w:tab w:leader="none" w:pos="67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LP fails to pay the due amount of capital contribution to the Partnership Enterprise within the time limit of payment specified in this Agreement; and</w:t>
      </w:r>
    </w:p>
    <w:p>
      <w:pPr>
        <w:spacing w:after="0" w:line="200" w:lineRule="exact"/>
        <w:rPr>
          <w:rFonts w:ascii="Arial" w:cs="Arial" w:eastAsia="Arial" w:hAnsi="Arial"/>
          <w:sz w:val="22"/>
          <w:szCs w:val="22"/>
          <w:color w:val="auto"/>
        </w:rPr>
      </w:pPr>
    </w:p>
    <w:p>
      <w:pPr>
        <w:ind w:left="680" w:hanging="312"/>
        <w:spacing w:after="0"/>
        <w:tabs>
          <w:tab w:leader="none" w:pos="6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LP causes gross losses to the Partnership Enterprise out of a willful misconduct or gross negligence.</w:t>
      </w:r>
    </w:p>
    <w:p>
      <w:pPr>
        <w:spacing w:after="0" w:line="233"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9.2.4 In case that an LP withdraws from partnership, other Partners shall settle up with the withdrawing LP in accordance with the assets status of the Partnership Enterprise existent at the time of withdrawal, and return the participating shares of the withdrawing LP. The specific return plan shall be prepared by the Executive Partner, and deliberated and approved at a partners’ meeting.</w:t>
      </w:r>
    </w:p>
    <w:p>
      <w:pPr>
        <w:spacing w:after="0" w:line="21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9.2.5 In case that an LP is removed from partnership, the Partnership Enterprise has the right to deduct an amount from the participating shares refundable to the removed LP to offset the losses caused by the removed LP to the Partnership Enterprise and/or other Partners.</w:t>
      </w:r>
    </w:p>
    <w:p>
      <w:pPr>
        <w:spacing w:after="0" w:line="21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9.2.6 The removed LP shall, to the extent of the assets recovered from the Partnership Enterprise at the time of removal, be liable for the debts of the Partnership Enterprise caused by the reasons existent before the removal.</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9.2.7 In case of termination of a legal person or other organization serving as an LP, its successor or rights transferee may obtain the qualifications of the LP in the Partnership Enterprise according to law.</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9.3 Removal of the GP</w:t>
      </w:r>
    </w:p>
    <w:p>
      <w:pPr>
        <w:spacing w:after="0" w:line="239"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9.3.1 In case that the Partnership Enterprise is materially damaged by wilful misconduct or gross negligence of the GP, the Partnership Enterprise may remove the GP in accordance with this Section 9.3, and the GP shall be liable for the damage caused by its intentional misconduct or gross negligence.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9.3.2 The following procedures shall be performed in removing the GP:</w:t>
      </w:r>
    </w:p>
    <w:p>
      <w:pPr>
        <w:spacing w:after="0" w:line="233" w:lineRule="exact"/>
        <w:rPr>
          <w:sz w:val="20"/>
          <w:szCs w:val="20"/>
          <w:color w:val="auto"/>
        </w:rPr>
      </w:pPr>
    </w:p>
    <w:p>
      <w:pPr>
        <w:ind w:left="680" w:hanging="312"/>
        <w:spacing w:after="0"/>
        <w:tabs>
          <w:tab w:leader="none" w:pos="6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Partnership Enterprise may remove the GP in accordance with this Section 9.3; and</w:t>
      </w:r>
    </w:p>
    <w:p>
      <w:pPr>
        <w:spacing w:after="0" w:line="233" w:lineRule="exact"/>
        <w:rPr>
          <w:rFonts w:ascii="Arial" w:cs="Arial" w:eastAsia="Arial" w:hAnsi="Arial"/>
          <w:sz w:val="22"/>
          <w:szCs w:val="22"/>
          <w:color w:val="auto"/>
        </w:rPr>
      </w:pPr>
    </w:p>
    <w:p>
      <w:pPr>
        <w:ind w:firstLine="368"/>
        <w:spacing w:after="0" w:line="250" w:lineRule="auto"/>
        <w:tabs>
          <w:tab w:leader="none" w:pos="67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partners’ meeting makes a written resolution on the removal of the GP and the admission of a new GP, subject to the unanimous written consent of all LPs.</w:t>
      </w:r>
    </w:p>
    <w:p>
      <w:pPr>
        <w:spacing w:after="0" w:line="202" w:lineRule="exact"/>
        <w:rPr>
          <w:sz w:val="20"/>
          <w:szCs w:val="20"/>
          <w:color w:val="auto"/>
        </w:rPr>
      </w:pPr>
    </w:p>
    <w:p>
      <w:pPr>
        <w:ind w:firstLine="360"/>
        <w:spacing w:after="0" w:line="250" w:lineRule="auto"/>
        <w:rPr>
          <w:sz w:val="20"/>
          <w:szCs w:val="20"/>
          <w:color w:val="auto"/>
        </w:rPr>
      </w:pPr>
      <w:r>
        <w:rPr>
          <w:rFonts w:ascii="Arial" w:cs="Arial" w:eastAsia="Arial" w:hAnsi="Arial"/>
          <w:sz w:val="22"/>
          <w:szCs w:val="22"/>
          <w:color w:val="auto"/>
        </w:rPr>
        <w:t>9.3.3 In case that the partners’ meeting fails to make a resolution on the admission of a new GP while making a resolution on the removal of the existing GP, the Partnership Enterprise will enter a liquidation procedure.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9.4 Withdrawal of the GP</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1"/>
          <w:szCs w:val="21"/>
          <w:color w:val="auto"/>
        </w:rPr>
        <w:t>9.4.1 The GP shall be deemed to have withdrawn naturally from partnership in any of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firstLine="368"/>
        <w:spacing w:after="0" w:line="251" w:lineRule="auto"/>
        <w:tabs>
          <w:tab w:leader="none" w:pos="70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GP has its business license revoked according to law, or is ordered to be closed down or canceled or declared bankrupt;</w:t>
      </w:r>
    </w:p>
    <w:p>
      <w:pPr>
        <w:spacing w:after="0" w:line="200" w:lineRule="exact"/>
        <w:rPr>
          <w:rFonts w:ascii="Arial" w:cs="Arial" w:eastAsia="Arial" w:hAnsi="Arial"/>
          <w:sz w:val="22"/>
          <w:szCs w:val="22"/>
          <w:color w:val="auto"/>
        </w:rPr>
      </w:pPr>
    </w:p>
    <w:p>
      <w:pPr>
        <w:ind w:left="680" w:hanging="312"/>
        <w:spacing w:after="0"/>
        <w:tabs>
          <w:tab w:leader="none" w:pos="6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GP forfeits or no longer has the qualifications required by laws;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All participating shares held by the GP in the Partnership Enterprise are compulsorily executed by a court; and</w:t>
      </w:r>
    </w:p>
    <w:p>
      <w:pPr>
        <w:spacing w:after="0" w:line="244" w:lineRule="exact"/>
        <w:rPr>
          <w:rFonts w:ascii="Arial" w:cs="Arial" w:eastAsia="Arial" w:hAnsi="Arial"/>
          <w:sz w:val="21"/>
          <w:szCs w:val="21"/>
          <w:color w:val="auto"/>
        </w:rPr>
      </w:pPr>
    </w:p>
    <w:p>
      <w:pPr>
        <w:ind w:firstLine="368"/>
        <w:spacing w:after="0" w:line="250" w:lineRule="auto"/>
        <w:tabs>
          <w:tab w:leader="none" w:pos="69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Other circumstances in which the GP is deemed to have withdrawn naturally from partnership in accordance with the laws or this Agreement.</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9.4.2 In case of withdrawing naturally from partnership, the date on which the cause of withdrawal actually occurs is the effective date of the withdrawal.</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9.4.3 In case that the GP withdraws naturally from partnership according to the foregoing provisions, the Partnership Enterprise shall enter a liquidation procedure unless the Partnership Enterprise immediately accepts a new GP or unless the Partnership Enterprise still has another GP.</w:t>
      </w:r>
    </w:p>
    <w:p>
      <w:pPr>
        <w:spacing w:after="0" w:line="21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9.4.4 The GP shall not withdraw from partnership in the duration of existence of Partnership Enterprise unless one of the circumstances set out in Section 9.4.1 hereof occurs.</w:t>
      </w:r>
    </w:p>
    <w:p>
      <w:pPr>
        <w:spacing w:after="0" w:line="202"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9"/>
          <w:szCs w:val="19"/>
          <w:color w:val="auto"/>
        </w:rPr>
        <w:t>9.4.5 In case that the GP withdraws from partnership, other Partners shall settle up with the GP in accordance with the assets status of the Partnership Enterprise existent at the time of withdrawal, and return the participating shares of the GP. The specific return plan shall be prepared by the Executive Partner, and deliberated and approved at a partners’ meeting.</w:t>
      </w:r>
    </w:p>
    <w:p>
      <w:pPr>
        <w:spacing w:after="0" w:line="161" w:lineRule="exact"/>
        <w:rPr>
          <w:sz w:val="20"/>
          <w:szCs w:val="20"/>
          <w:color w:val="auto"/>
        </w:rPr>
      </w:pPr>
    </w:p>
    <w:p>
      <w:pPr>
        <w:jc w:val="both"/>
        <w:ind w:right="20" w:firstLine="360"/>
        <w:spacing w:after="0" w:line="250" w:lineRule="auto"/>
        <w:rPr>
          <w:sz w:val="20"/>
          <w:szCs w:val="20"/>
          <w:color w:val="auto"/>
        </w:rPr>
      </w:pPr>
      <w:r>
        <w:rPr>
          <w:rFonts w:ascii="Arial" w:cs="Arial" w:eastAsia="Arial" w:hAnsi="Arial"/>
          <w:sz w:val="22"/>
          <w:szCs w:val="22"/>
          <w:color w:val="auto"/>
        </w:rPr>
        <w:t>9.4.6 The withdrawing GP shall assume unlimited joint and several liability for the debts of the Partnership Enterprise caused by the reasons existent before its withdrawal.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9.5 Identity transformation</w:t>
      </w:r>
    </w:p>
    <w:p>
      <w:pPr>
        <w:spacing w:after="0" w:line="23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9"/>
          <w:szCs w:val="19"/>
          <w:color w:val="auto"/>
        </w:rPr>
        <w:t>9.5.1 Unless otherwise expressly required by laws or this Agreement, no LP may be transformed into a GP, and no GP may be transformed into an LP. An LP who changes to a GP shall assume unlimited joint and several liability for the debts incurred by the Partnership Enterprise during the period in which it serves as an LP. If a GP changes to an LP, it shall assume unlimited joint and several liability for the debts incurred by the Partnership Enterprise during the period in which it serves as a GP.</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9.6 Transfer of the interests of an LP</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9.6.1 Without consent of the GP, no LP may transfer all or part of its participating shares in the Limited Partnership Enterprise.</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9.6.2 In case that an LP transfers its participating shares in the limited partnership enterprise to a person other than the Partners with the consent of the GP, the other Partners have the right of first refusal under the same conditions except for transfer to an affiliate of the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9.7 Transfer of the interests of the GP</w:t>
      </w:r>
    </w:p>
    <w:p>
      <w:pPr>
        <w:spacing w:after="0" w:line="240"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9.7.1 Unless the transferee undertakes to assume all the responsibilities and obligations of the original GP, the GP shall not transfer all or part of rights and interests with respect to its participating shares in the Partnership Enterprise to a third party. The transfer is subject to a unanimous consent of all LPs.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 Investment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10.1 Investment scope</w:t>
      </w:r>
    </w:p>
    <w:p>
      <w:pPr>
        <w:spacing w:after="0" w:line="23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9"/>
          <w:szCs w:val="19"/>
          <w:color w:val="auto"/>
        </w:rPr>
        <w:t>10.1.1 The Partnership Enterprise sets up a special fund, and will invest specifically in a single strategic placement project to be listed on the SSE STAR Market (“</w:t>
      </w:r>
      <w:r>
        <w:rPr>
          <w:rFonts w:ascii="Arial" w:cs="Arial" w:eastAsia="Arial" w:hAnsi="Arial"/>
          <w:sz w:val="19"/>
          <w:szCs w:val="19"/>
          <w:b w:val="1"/>
          <w:bCs w:val="1"/>
          <w:color w:val="auto"/>
        </w:rPr>
        <w:t>Investment Project</w:t>
      </w:r>
      <w:r>
        <w:rPr>
          <w:rFonts w:ascii="Arial" w:cs="Arial" w:eastAsia="Arial" w:hAnsi="Arial"/>
          <w:sz w:val="19"/>
          <w:szCs w:val="19"/>
          <w:color w:val="auto"/>
        </w:rPr>
        <w:t>”) that is specified by the GP. The specific amount to be invested by the Partnership Enterprise in the Investment Project is limited to the cash balance available when the investment amount of the Partnership Enterprise is payable to the Investment Project, and shall be subject to the available investment quota apportioned to the Partnership Enterprise from the Investment Project, laws and regulations, and the relevant subscription money adjustment mechanism specified in the strategic placement agreement. The investment amount apportioned to the GP and each LP in the Investment Project is a percentage of the actual amount invested by the Partnership Enterprise to the Investment Project, and the percentage is equal to a ratio of the paid-in capital contribution of the GP or each LP in the Partnership Enterprise to the total paid-in capital contributions of the Partnership Enterprise.</w:t>
      </w:r>
    </w:p>
    <w:p>
      <w:pPr>
        <w:spacing w:after="0" w:line="185"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10.1.2 Without the unanimous consent of all Partners, the Partnership Enterprise shall not make other investments beyond the scope specified in Section 10.1.1 hereof. The uncommitted capital of the Partnership Enterprise may be invested in low-risk wealth management products of commercial banks, monetary funds, cash, and bank deposits (including term deposits, contract deposit, and other bank deposits).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10.1.3 The Partnership Enterprise shall not use financial leverage or provide a guarantee for a third party.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11. Income Distribution and Loss Sharing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11.1 Income distribution</w:t>
      </w:r>
    </w:p>
    <w:p>
      <w:pPr>
        <w:spacing w:after="0" w:line="239"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11.1.1 The Partnership Enterprise shall distribute distributable investment income after part or all of the Investment Project has been divested. The distributable investment income refers to the uncommitted capital investment income obtained by the Partnership Enterprise and any monetary income received from the Investment Project net of the costs and taxes borne by the Partnership Enterprise and net of the expenses set out in Section 8.1.1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ind w:right="20" w:firstLine="360"/>
        <w:spacing w:after="0" w:line="274" w:lineRule="auto"/>
        <w:rPr>
          <w:sz w:val="20"/>
          <w:szCs w:val="20"/>
          <w:color w:val="auto"/>
        </w:rPr>
      </w:pPr>
      <w:r>
        <w:rPr>
          <w:rFonts w:ascii="Arial" w:cs="Arial" w:eastAsia="Arial" w:hAnsi="Arial"/>
          <w:sz w:val="21"/>
          <w:szCs w:val="21"/>
          <w:color w:val="auto"/>
        </w:rPr>
        <w:t>11.1.2 Unless otherwise specially agreed between all Partners, the distributable investment income is distributed among the Partners in proportion to the paid-in capital contribution of each Partner to the Partnership Enterprise.</w:t>
      </w:r>
    </w:p>
    <w:p>
      <w:pPr>
        <w:spacing w:after="0" w:line="178"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9"/>
          <w:szCs w:val="19"/>
          <w:color w:val="auto"/>
        </w:rPr>
        <w:t>11.1.3 Unless otherwise specified in this Agreement, all default fines, late fees, and damages received by the Partnership Enterprise, and other moneys that are not the distributable income of the Investment Project shall be distributed among the relevant Partners in proportion to all the paid-in capital contributions of each Partner to the Partnership Enterprise.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11.2 Non-cash distribution</w:t>
      </w:r>
    </w:p>
    <w:p>
      <w:pPr>
        <w:spacing w:after="0" w:line="239"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1"/>
          <w:szCs w:val="21"/>
          <w:color w:val="auto"/>
        </w:rPr>
        <w:t>11.2.1 Before the liquidation of the Partnership Enterprise or before occurrence of the circumstances of terminating the Partnership Enterprise as agreed between the Partners, the GP shall use its best reasonable efforts to realize the investment of the Partnership Enterprise and avoid non-cash distribution. However, if the GP determines at its discretion that non-cash distribution is in better interests of all Partners, the non-cash distribution may apply in compliance with the laws, regulations, and other regulatory documents, subject to a unanimous consent of all Partners.</w:t>
      </w:r>
    </w:p>
    <w:p>
      <w:pPr>
        <w:spacing w:after="0" w:line="205"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11.2.2 Unless otherwise unanimously agreed by all Partners, the non-cash assets allocated during the non-cash distribution of the Partnership Enterprise shall be limited to the shares held by the Partnership Enterprise due to the implementation the Investment Project specified in Section 10.1.1 hereof.</w:t>
      </w:r>
    </w:p>
    <w:p>
      <w:pPr>
        <w:spacing w:after="0" w:line="21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11.2.3 The non-cash distribution made by the Partnership Enterprise to the Partners in accordance with this Section 11.2 shall be deemed a cash distribution made in accordance with Section 11.1 hereof.</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11.2.4 When the Partnership Enterprise carries out a non-cash distribution, the Executive Partner shall assist each Partner to go through the transfer registration procedures for the distributed assets, and in accordance with relevant laws and regulations, to perform the information disclosure obligations involved in receiving the assets.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11.3 Sharing of losses and debts</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11.3.1 The losses of the Partnership Enterprise shall be borne by all Partners in proportion to the then-current paid-in capital contribution of each Partner to the Partnership Enterprise;</w:t>
      </w:r>
    </w:p>
    <w:p>
      <w:pPr>
        <w:spacing w:after="0" w:line="20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1"/>
          <w:szCs w:val="21"/>
          <w:color w:val="auto"/>
        </w:rPr>
        <w:t>11.3.2 In case that the assets of the Partnership Enterprise are not enough for paying off the debts of the Partnership Enterprise, the GP shall bear joint and several liability for the debts of the Partnership Enterprise, and each LP shall bear liability for the debts of the Partnership Enterprise to the extent of its subscribed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12. Taxes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12.1 Income tax</w:t>
      </w:r>
    </w:p>
    <w:p>
      <w:pPr>
        <w:spacing w:after="0" w:line="2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color w:val="auto"/>
        </w:rPr>
        <w:t xml:space="preserve">12.1.1 According to the </w:t>
      </w:r>
      <w:r>
        <w:rPr>
          <w:rFonts w:ascii="Arial" w:cs="Arial" w:eastAsia="Arial" w:hAnsi="Arial"/>
          <w:sz w:val="19"/>
          <w:szCs w:val="19"/>
          <w:i w:val="1"/>
          <w:iCs w:val="1"/>
          <w:color w:val="auto"/>
        </w:rPr>
        <w:t>Partnership Enterprise Law</w:t>
      </w:r>
      <w:r>
        <w:rPr>
          <w:rFonts w:ascii="Arial" w:cs="Arial" w:eastAsia="Arial" w:hAnsi="Arial"/>
          <w:sz w:val="19"/>
          <w:szCs w:val="19"/>
          <w:color w:val="auto"/>
        </w:rPr>
        <w:t xml:space="preserve"> and the tax-related laws and regulations, the limited partnership enterprise is not a taxpayer of income tax. According to the </w:t>
      </w:r>
      <w:r>
        <w:rPr>
          <w:rFonts w:ascii="Arial" w:cs="Arial" w:eastAsia="Arial" w:hAnsi="Arial"/>
          <w:sz w:val="19"/>
          <w:szCs w:val="19"/>
          <w:i w:val="1"/>
          <w:iCs w:val="1"/>
          <w:color w:val="auto"/>
        </w:rPr>
        <w:t>Notice of the Ministry of Finance and the State Administration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Taxation on the Income Tax Issues of Partners of Partnership Enterprise </w:t>
      </w:r>
      <w:r>
        <w:rPr>
          <w:rFonts w:ascii="Arial" w:cs="Arial" w:eastAsia="Arial" w:hAnsi="Arial"/>
          <w:sz w:val="19"/>
          <w:szCs w:val="19"/>
          <w:color w:val="auto"/>
        </w:rPr>
        <w:t>(Caishui [2008] No. 159), each Partner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Partnership Enterprise is a taxpayer. The operation incomes and other proceeds of the Partnership Enterprises shall be “distributed before taxation”. That is, a taxable amount of the operation incomes and other proceeds of the Partnership Enterprise is determined for each Partner first in the distribution manner specified herein, and then a tax amount is calculated for each Partner at a tax rate applicable to the Partner. The operation incomes and other proceeds of the Partnership Enterprises include the incomes distributed by the Partnership Enterprise to all Partners and retained earnings (profits) of the Partnership Enterprise for the year. Regardless of whether the Partnership Enterprise distributes incomes, each Partner incurs a tax obligation of income tax as soon as the Partnership Enterprise obtains operation incomes or other proceeds.</w:t>
      </w:r>
    </w:p>
    <w:p>
      <w:pPr>
        <w:spacing w:after="0" w:line="18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12.1.2 According to the relevant laws and regulations, the Partner who is a legal person or another organization shall declare and pay its due income tax by itself in accordance with the tax regulations applicable to it.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13. Financial Accounting System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13.1 Fiscal year</w:t>
      </w:r>
    </w:p>
    <w:p>
      <w:pPr>
        <w:spacing w:after="0" w:line="23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21"/>
          <w:szCs w:val="21"/>
          <w:color w:val="auto"/>
        </w:rPr>
        <w:t>13.1.1 The fiscal year of the Partnership Enterprise is from January 1 to December 31 of each year, but the first fiscal year begins at the date of incorporating the Partnership Enterprise and ends at December 31 of the year of incorporation.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13.2 Accounting statement audit and financial reports</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13.2.1 The Fund Manager shall maintain in the statutory period the accounting books that comply with the relevant laws and reflect the transaction items of the Partnership Enterprise, and prepare accounting statements.</w:t>
      </w:r>
    </w:p>
    <w:p>
      <w:pPr>
        <w:spacing w:after="0" w:line="202"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13.2.2 The Partnership Enterprise shall procure an audit firm to audit the financial statements of the Partnership Enterprise after the end of each fiscal year, and submit audit reports to each LP within four months after the end of each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14. Information Disclosure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14.1 Regular information disclosure</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14.1.1 Disclosure of semi-annual reports</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In the partnership duration of the Partnership Enterprise, the Fund Manager shall disclose a semi-annual report of the Partnership Enterprise to all Partners before September 30 of each year in accordance with the then-effective laws and regulations.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14.1.2 Disclosure of annual reports</w:t>
      </w:r>
    </w:p>
    <w:p>
      <w:pPr>
        <w:spacing w:after="0" w:line="233"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During operation of the Partnership Enterprise, the Fund Manager shall disclose an annual report of the Partnership Enterprise to all Partners within six months after the end of each year in accordance with the then-effective laws and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Termination, Dissolution, and Liquidation</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The Partnership Enterprise shall be terminated and liquidated in any of the following circumstances:</w:t>
      </w:r>
    </w:p>
    <w:p>
      <w:pPr>
        <w:spacing w:after="0" w:line="239" w:lineRule="exact"/>
        <w:rPr>
          <w:sz w:val="20"/>
          <w:szCs w:val="20"/>
          <w:color w:val="auto"/>
        </w:rPr>
      </w:pPr>
    </w:p>
    <w:p>
      <w:pPr>
        <w:ind w:left="680" w:hanging="312"/>
        <w:spacing w:after="0"/>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partnership duration of the Partnership Enterprise expires and is not extended;</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Partners decide to dissolve the Partnership Enterprise with a unanimous consent;</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number of Partners has been less than a quorum for thirty (30) days;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Partnership Enterprise has its business license revoked, or is ordered to close down or canceled;</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Fund Manager is dissolved, canceled or declared bankrupt according to law; and</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(8) Other circumstances specified by laws and regulations.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15.2 Liquidation</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15.2.1 Liquidation team</w:t>
      </w:r>
    </w:p>
    <w:p>
      <w:pPr>
        <w:spacing w:after="0" w:line="23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The liquidation team of the Partnership Enterprise is organized and founded by the Fund Manager. Members of the liquidation team are appointed by the Fund Manager, and necessary staff may also be recruited for the liquidation team. The liquidation team is responsible for the custody, clean-up, valuation, realization, and distribution of the liquidated assets and other related matters, and may also carry out necessary civil activities according to law.</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The Fund Manager is responsible for:</w:t>
      </w:r>
    </w:p>
    <w:p>
      <w:pPr>
        <w:spacing w:after="0" w:line="233" w:lineRule="exact"/>
        <w:rPr>
          <w:sz w:val="20"/>
          <w:szCs w:val="20"/>
          <w:color w:val="auto"/>
        </w:rPr>
      </w:pPr>
    </w:p>
    <w:p>
      <w:pPr>
        <w:ind w:left="680" w:hanging="312"/>
        <w:spacing w:after="0"/>
        <w:tabs>
          <w:tab w:leader="none" w:pos="6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initiating a liquidation procedure, and organizing a liquidation team;</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cleaning up the assets of the Partnership Enterprise;</w:t>
      </w:r>
    </w:p>
    <w:p>
      <w:pPr>
        <w:spacing w:after="0" w:line="233" w:lineRule="exact"/>
        <w:rPr>
          <w:rFonts w:ascii="Arial" w:cs="Arial" w:eastAsia="Arial" w:hAnsi="Arial"/>
          <w:sz w:val="22"/>
          <w:szCs w:val="22"/>
          <w:color w:val="auto"/>
        </w:rPr>
      </w:pPr>
    </w:p>
    <w:p>
      <w:pPr>
        <w:ind w:firstLine="368"/>
        <w:spacing w:after="0" w:line="250" w:lineRule="auto"/>
        <w:tabs>
          <w:tab w:leader="none" w:pos="708" w:val="left"/>
        </w:tabs>
        <w:numPr>
          <w:ilvl w:val="0"/>
          <w:numId w:val="28"/>
        </w:numPr>
        <w:rPr>
          <w:rFonts w:ascii="Arial" w:cs="Arial" w:eastAsia="Arial" w:hAnsi="Arial"/>
          <w:sz w:val="22"/>
          <w:szCs w:val="22"/>
          <w:color w:val="auto"/>
        </w:rPr>
      </w:pPr>
      <w:r>
        <w:rPr>
          <w:rFonts w:ascii="Arial" w:cs="Arial" w:eastAsia="Arial" w:hAnsi="Arial"/>
          <w:sz w:val="22"/>
          <w:szCs w:val="22"/>
          <w:color w:val="auto"/>
        </w:rPr>
        <w:t>issuing monetary transfer instructions to make payments in the liquidation period except for the fees automatically deducted and charged by stock exchanges, banks, and the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ind w:left="680" w:hanging="312"/>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handling unfinished liquidation-related matters of the Partnership Enterprise;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performing accounting during the liquidation period;</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preparing a liquidation report;</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disposing of the assets of the Partnership Enterprise that remain after discharge of debts; and</w:t>
      </w:r>
    </w:p>
    <w:p>
      <w:pPr>
        <w:spacing w:after="0" w:line="233" w:lineRule="exact"/>
        <w:rPr>
          <w:rFonts w:ascii="Arial" w:cs="Arial" w:eastAsia="Arial" w:hAnsi="Arial"/>
          <w:sz w:val="22"/>
          <w:szCs w:val="22"/>
          <w:color w:val="auto"/>
        </w:rPr>
      </w:pPr>
    </w:p>
    <w:p>
      <w:pPr>
        <w:ind w:firstLine="368"/>
        <w:spacing w:after="0" w:line="250" w:lineRule="auto"/>
        <w:tabs>
          <w:tab w:leader="none" w:pos="707" w:val="left"/>
        </w:tabs>
        <w:numPr>
          <w:ilvl w:val="0"/>
          <w:numId w:val="29"/>
        </w:numPr>
        <w:rPr>
          <w:rFonts w:ascii="Arial" w:cs="Arial" w:eastAsia="Arial" w:hAnsi="Arial"/>
          <w:sz w:val="22"/>
          <w:szCs w:val="22"/>
          <w:color w:val="auto"/>
        </w:rPr>
      </w:pPr>
      <w:r>
        <w:rPr>
          <w:rFonts w:ascii="Arial" w:cs="Arial" w:eastAsia="Arial" w:hAnsi="Arial"/>
          <w:sz w:val="22"/>
          <w:szCs w:val="22"/>
          <w:color w:val="auto"/>
        </w:rPr>
        <w:t>raising a request for cancellation of accounts related to the assets of the Fund, such as securities accounts, futures accounts, escrow accounts, and other accounts related to the assets of the Fund (if any);</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submitting a fund assets liquidation report to the AMAC for the record;</w:t>
      </w:r>
    </w:p>
    <w:p>
      <w:pPr>
        <w:spacing w:after="0" w:line="233" w:lineRule="exact"/>
        <w:rPr>
          <w:rFonts w:ascii="Arial" w:cs="Arial" w:eastAsia="Arial" w:hAnsi="Arial"/>
          <w:sz w:val="22"/>
          <w:szCs w:val="22"/>
          <w:color w:val="auto"/>
        </w:rPr>
      </w:pPr>
    </w:p>
    <w:p>
      <w:pPr>
        <w:ind w:left="780" w:hanging="412"/>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performing other duties related to the Fund Manager’s obligations; and</w:t>
      </w:r>
    </w:p>
    <w:p>
      <w:pPr>
        <w:spacing w:after="0" w:line="233" w:lineRule="exact"/>
        <w:rPr>
          <w:rFonts w:ascii="Arial" w:cs="Arial" w:eastAsia="Arial" w:hAnsi="Arial"/>
          <w:sz w:val="22"/>
          <w:szCs w:val="22"/>
          <w:color w:val="auto"/>
        </w:rPr>
      </w:pPr>
    </w:p>
    <w:p>
      <w:pPr>
        <w:ind w:left="780" w:hanging="412"/>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participating in litigation or arbitration activities on behalf of the Partnership Enterprise.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15.3 Order of priority in liquidation</w:t>
      </w:r>
    </w:p>
    <w:p>
      <w:pPr>
        <w:spacing w:after="0" w:line="239" w:lineRule="exact"/>
        <w:rPr>
          <w:sz w:val="20"/>
          <w:szCs w:val="20"/>
          <w:color w:val="auto"/>
        </w:rPr>
      </w:pPr>
    </w:p>
    <w:p>
      <w:pPr>
        <w:ind w:firstLine="360"/>
        <w:spacing w:after="0" w:line="250" w:lineRule="auto"/>
        <w:rPr>
          <w:sz w:val="20"/>
          <w:szCs w:val="20"/>
          <w:color w:val="auto"/>
        </w:rPr>
      </w:pPr>
      <w:r>
        <w:rPr>
          <w:rFonts w:ascii="Arial" w:cs="Arial" w:eastAsia="Arial" w:hAnsi="Arial"/>
          <w:sz w:val="22"/>
          <w:szCs w:val="22"/>
          <w:color w:val="auto"/>
        </w:rPr>
        <w:t>15.3.1 In liquidation of the Partnership Enterprise, the assets of the Partnership Enterprise shall be used for liquidation and distribution in the following order:</w:t>
      </w:r>
    </w:p>
    <w:p>
      <w:pPr>
        <w:spacing w:after="0" w:line="202" w:lineRule="exact"/>
        <w:rPr>
          <w:sz w:val="20"/>
          <w:szCs w:val="20"/>
          <w:color w:val="auto"/>
        </w:rPr>
      </w:pPr>
    </w:p>
    <w:p>
      <w:pPr>
        <w:ind w:left="680" w:hanging="312"/>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paying liquidation fees;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paying employee salaries, social insurance premiums, and statutory compensations;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paying taxes payable;</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paying the custodian fees and the Fund management fees;</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paying off the debts of the Partnership Enterprise; and</w:t>
      </w:r>
    </w:p>
    <w:p>
      <w:pPr>
        <w:spacing w:after="0" w:line="233" w:lineRule="exact"/>
        <w:rPr>
          <w:rFonts w:ascii="Arial" w:cs="Arial" w:eastAsia="Arial" w:hAnsi="Arial"/>
          <w:sz w:val="22"/>
          <w:szCs w:val="22"/>
          <w:color w:val="auto"/>
        </w:rPr>
      </w:pPr>
    </w:p>
    <w:p>
      <w:pPr>
        <w:ind w:firstLine="368"/>
        <w:spacing w:after="0" w:line="250" w:lineRule="auto"/>
        <w:tabs>
          <w:tab w:leader="none" w:pos="67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distributing the remaining assets among all Partners in accordance with the income distribution principles and procedures specified in this Agreement.</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Items (1) to (4) above shall be settled in cash. If cash is not enough for such settlement, more other assets shall be realized to fill the deficiency. The settlement method for item (5) above shall be negotiated with the creditor.</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15.3.2 If the assets of the Partnership Enterprise is deficient to settle the debts of the Partnership Enterprise, the GP shall assume joint and several liability for paying the creditors, provided, however, that the joint and several liability is subject to the following restrictions:</w:t>
      </w:r>
    </w:p>
    <w:p>
      <w:pPr>
        <w:spacing w:after="0" w:line="213" w:lineRule="exact"/>
        <w:rPr>
          <w:sz w:val="20"/>
          <w:szCs w:val="20"/>
          <w:color w:val="auto"/>
        </w:rPr>
      </w:pPr>
    </w:p>
    <w:p>
      <w:pPr>
        <w:jc w:val="both"/>
        <w:ind w:firstLine="368"/>
        <w:spacing w:after="0" w:line="257" w:lineRule="auto"/>
        <w:tabs>
          <w:tab w:leader="none" w:pos="693"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GP shall not be required to refund the principal or expected earnings of any LP, and shall not promise safety of investment principal or a back stop of the return on investment for the LPs. The recouping of all investment principal and return on investment shall originate from the available assets of the Partnership Enterprise;</w:t>
      </w:r>
    </w:p>
    <w:p>
      <w:pPr>
        <w:spacing w:after="0" w:line="196" w:lineRule="exact"/>
        <w:rPr>
          <w:rFonts w:ascii="Arial" w:cs="Arial" w:eastAsia="Arial" w:hAnsi="Arial"/>
          <w:sz w:val="21"/>
          <w:szCs w:val="21"/>
          <w:color w:val="auto"/>
        </w:rPr>
      </w:pPr>
    </w:p>
    <w:p>
      <w:pPr>
        <w:ind w:firstLine="368"/>
        <w:spacing w:after="0" w:line="250" w:lineRule="auto"/>
        <w:tabs>
          <w:tab w:leader="none" w:pos="68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GP shall not be liable for any losses caused by acts or omission of the GP to the Partnership Enterprise or any LP, except for the losses arising from willful misconduct or gross negligence of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16. Governing Law and Dispute Settlement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16.1 Governing law</w:t>
      </w:r>
    </w:p>
    <w:p>
      <w:pPr>
        <w:spacing w:after="0" w:line="239"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The signing, modification, interpretation, and performance of this Agreement shall be governed by the laws of the People’s Republic of China (for the purpose of this Agreement only, excluding Hong Kong SAR, Macao SAR, and Taiwan region).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16.2 Dispute settlement</w:t>
      </w:r>
    </w:p>
    <w:p>
      <w:pPr>
        <w:spacing w:after="0" w:line="23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1"/>
          <w:szCs w:val="21"/>
          <w:color w:val="auto"/>
        </w:rPr>
        <w:t>The Parties agree that any dispute arising from or in connection with this Agreement shall preferably be settled through friendly negotiation between the Parties. If the negotiation fails, any of the Parties has the right to lodge the dispute to Shanghai International Economic and Trade Arbitration Commission (that is, Shanghai International Arbitration Center) for arbitration in Shanghai in accordance with the then-effective arbitration rules of this Arbitration Center. The arbitral award is final and binding upon all Parties concerned. The arbitration fee shall be borne by the losing Party. The losing Party shall compensate the prevailing party for expenses such as attorneys’ fees.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16.3 Continued performance</w:t>
      </w:r>
    </w:p>
    <w:p>
      <w:pPr>
        <w:spacing w:after="0" w:line="239" w:lineRule="exact"/>
        <w:rPr>
          <w:sz w:val="20"/>
          <w:szCs w:val="20"/>
          <w:color w:val="auto"/>
        </w:rPr>
      </w:pPr>
    </w:p>
    <w:p>
      <w:pPr>
        <w:jc w:val="both"/>
        <w:ind w:right="20" w:firstLine="360"/>
        <w:spacing w:after="0" w:line="250" w:lineRule="auto"/>
        <w:rPr>
          <w:sz w:val="20"/>
          <w:szCs w:val="20"/>
          <w:color w:val="auto"/>
        </w:rPr>
      </w:pPr>
      <w:r>
        <w:rPr>
          <w:rFonts w:ascii="Arial" w:cs="Arial" w:eastAsia="Arial" w:hAnsi="Arial"/>
          <w:sz w:val="22"/>
          <w:szCs w:val="22"/>
          <w:color w:val="auto"/>
        </w:rPr>
        <w:t>During the arbitration, this Agreement shall continue to be performed in accordance with the provisions other than those relating to the underway arbitration or directly or substantively affected by the arbitration.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17. Backup of the Participating Shares Information</w:t>
      </w:r>
    </w:p>
    <w:p>
      <w:pPr>
        <w:spacing w:after="0" w:line="233"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All Partners agree that the Fund Manager will handle the backup of the registration data of the participating shares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Fund (for all Partners) in accordance with the provisions of the AMAC.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Submission of Disclosed Information</w:t>
      </w:r>
    </w:p>
    <w:p>
      <w:pPr>
        <w:spacing w:after="0" w:line="233" w:lineRule="exact"/>
        <w:rPr>
          <w:sz w:val="20"/>
          <w:szCs w:val="20"/>
          <w:color w:val="auto"/>
        </w:rPr>
      </w:pPr>
    </w:p>
    <w:p>
      <w:pPr>
        <w:jc w:val="both"/>
        <w:ind w:right="20" w:firstLine="362"/>
        <w:spacing w:after="0" w:line="256"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All Partners agree that the Fund Manager will back up and submit the disclosed information of the Fund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relevant laws and regulations and the provisions of the AMAC.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19. Confidentiality</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19.1 Confidentiality obligations</w:t>
      </w:r>
    </w:p>
    <w:p>
      <w:pPr>
        <w:spacing w:after="0" w:line="23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19.1.1 Each Party to this Agreement shall be obliged to keep confidentiality of the trade secrets of other Parties that are obtained in the process of negotiating, signing and performing this Agreement. All relevant documents of the Partnership Enterprise, including but not limited to the agreement signed between the Partnership Enterprise and a third party, the project investment plan and financial accounting reports of the Partnership Enterprise, are confidential information of the Partnership Enterprise. Without the prior written consent of other Parties, no Party may use any confidential information or disclose any confidential information to any third party for its own business purposes or other purposes.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19.1.2 The confidentiality obligations are not applicable to:</w:t>
      </w:r>
    </w:p>
    <w:p>
      <w:pPr>
        <w:spacing w:after="0" w:line="233" w:lineRule="exact"/>
        <w:rPr>
          <w:sz w:val="20"/>
          <w:szCs w:val="20"/>
          <w:color w:val="auto"/>
        </w:rPr>
      </w:pPr>
    </w:p>
    <w:p>
      <w:pPr>
        <w:ind w:left="680" w:hanging="312"/>
        <w:spacing w:after="0"/>
        <w:tabs>
          <w:tab w:leader="none" w:pos="6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information disclosed by a Party to its related parties or professional consultants for the purpose of this Agreement;</w:t>
      </w:r>
    </w:p>
    <w:p>
      <w:pPr>
        <w:spacing w:after="0" w:line="267" w:lineRule="exact"/>
        <w:rPr>
          <w:rFonts w:ascii="Arial" w:cs="Arial" w:eastAsia="Arial" w:hAnsi="Arial"/>
          <w:sz w:val="19"/>
          <w:szCs w:val="19"/>
          <w:color w:val="auto"/>
        </w:rPr>
      </w:pPr>
    </w:p>
    <w:p>
      <w:pPr>
        <w:ind w:firstLine="368"/>
        <w:spacing w:after="0" w:line="250" w:lineRule="auto"/>
        <w:tabs>
          <w:tab w:leader="none" w:pos="691"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information known to the public that is developed independently by a Party or obtained from a third party entitled to disclose the information; and</w:t>
      </w:r>
    </w:p>
    <w:p>
      <w:pPr>
        <w:spacing w:after="0" w:line="201" w:lineRule="exact"/>
        <w:rPr>
          <w:rFonts w:ascii="Arial" w:cs="Arial" w:eastAsia="Arial" w:hAnsi="Arial"/>
          <w:sz w:val="22"/>
          <w:szCs w:val="22"/>
          <w:color w:val="auto"/>
        </w:rPr>
      </w:pPr>
    </w:p>
    <w:p>
      <w:pPr>
        <w:ind w:left="680" w:hanging="312"/>
        <w:spacing w:after="0"/>
        <w:tabs>
          <w:tab w:leader="none" w:pos="6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information disclosed in accordance with laws, regulations or securities regulatory requirements.</w:t>
      </w:r>
    </w:p>
    <w:p>
      <w:pPr>
        <w:spacing w:after="0" w:line="227" w:lineRule="exact"/>
        <w:rPr>
          <w:rFonts w:ascii="Arial" w:cs="Arial" w:eastAsia="Arial" w:hAnsi="Arial"/>
          <w:sz w:val="22"/>
          <w:szCs w:val="22"/>
          <w:color w:val="auto"/>
        </w:rPr>
      </w:pPr>
    </w:p>
    <w:p>
      <w:pPr>
        <w:ind w:left="5100" w:hanging="321"/>
        <w:spacing w:after="0"/>
        <w:tabs>
          <w:tab w:leader="none" w:pos="5100"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Force Majeure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 Force majeure</w:t>
      </w:r>
    </w:p>
    <w:p>
      <w:pPr>
        <w:spacing w:after="0" w:line="239"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20.1.1 “Force Majeure” refers to all unforeseeable, unavoidable, or insurmountable events beyond the control of a Party hereto, where the events make the Party unable to perform all or part of this Agreement. The events include, but are not limited to, earthquakes, typhoons, floods, fires, wars, strikes, riots, government actions, changes in legal provisions or the applicability of the legal provisions, and any other unforeseeable, unavoidable or uncontrollable events.</w:t>
      </w:r>
    </w:p>
    <w:p>
      <w:pPr>
        <w:spacing w:after="0" w:line="201"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For the purpose of this Agreement, the Parties agree that the new coronavirus epidemic is not a force majeure event under this Agreement considering that the new coronavirus epidemic has already occurred at the time of signing this Agreement and will continue to exist.</w:t>
      </w:r>
    </w:p>
    <w:p>
      <w:pPr>
        <w:spacing w:after="0" w:line="213"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20.1.2 If a force majeure event makes a Party unable to perform all or part of its obligations under this Agreement, the performance of the obligations shall be suspended during the duration of the force majeure event. The affected Party shall notify other Parties in any quick manner within three business days after the occurrence date of the force majeure event, and provide the other Parties with a written report within fifteen business days to clarify the force majeure event and the impact on the Party’s performance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ind w:firstLine="360"/>
        <w:spacing w:after="0" w:line="297" w:lineRule="auto"/>
        <w:rPr>
          <w:sz w:val="20"/>
          <w:szCs w:val="20"/>
          <w:color w:val="auto"/>
        </w:rPr>
      </w:pPr>
      <w:r>
        <w:rPr>
          <w:rFonts w:ascii="Arial" w:cs="Arial" w:eastAsia="Arial" w:hAnsi="Arial"/>
          <w:sz w:val="19"/>
          <w:szCs w:val="19"/>
          <w:color w:val="auto"/>
        </w:rPr>
        <w:t>20.1.3 The Parties shall negotiate on the reduction or mitigation of the impact of the force majeure event within ten business days after service of the written report of the force majeure event specified in Section 20.1.2. Subject to a consensus reached through negotiation, performance of all or part of this Agreement may be postponed, or this Agreement may be terminated.</w:t>
      </w:r>
    </w:p>
    <w:p>
      <w:pPr>
        <w:spacing w:after="0" w:line="161"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2"/>
          <w:szCs w:val="22"/>
          <w:color w:val="auto"/>
        </w:rPr>
        <w:t>20.1.4 If the Parties, through negotiation, decide to postpone the performance of this Agreement or part of provisions hereof, the postponement of performance shall end when the impact of the force majeure event vanishes. After the impact of the force majeure event vanishes, the affected Party shall use its best efforts to resume the performance of its obligations under this Agreement.</w:t>
      </w:r>
    </w:p>
    <w:p>
      <w:pPr>
        <w:spacing w:after="0" w:line="212"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1"/>
          <w:szCs w:val="21"/>
          <w:color w:val="auto"/>
        </w:rPr>
        <w:t>20.1.5 The affected Party is not held liable to other Parties for breach of contract or damage if, as confirmed unanimously by other Parties, the affected Party is unable to perform its obligations under this Agreement due to the force majeure event, provided that the affected Party has performed the notification obligation specified in Section 20.1.2 hereof and has taken necessary and appropriate measures to reduce or mitigate the effects of the force majeure event. However, if a force majeure event occurs after the breaching Party postpones performance of its obligations under this Agreement, the breaching Party has no right to disclaim any liability on the pretext of the force majeure event.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 Notices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21.1 Postal addresses</w:t>
      </w:r>
    </w:p>
    <w:p>
      <w:pPr>
        <w:spacing w:after="0" w:line="23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Any notice, requirement or information under this Agreement shall be communicated in writing, and shall be deemed as having been served upon being delivered or sent to the following postal addresses:</w:t>
      </w:r>
    </w:p>
    <w:p>
      <w:pPr>
        <w:spacing w:after="0" w:line="202" w:lineRule="exact"/>
        <w:rPr>
          <w:sz w:val="20"/>
          <w:szCs w:val="20"/>
          <w:color w:val="auto"/>
        </w:rPr>
      </w:pPr>
    </w:p>
    <w:p>
      <w:pPr>
        <w:ind w:left="360" w:right="8400" w:firstLine="8"/>
        <w:spacing w:after="0" w:line="239" w:lineRule="auto"/>
        <w:tabs>
          <w:tab w:leader="none" w:pos="666" w:val="left"/>
        </w:tabs>
        <w:numPr>
          <w:ilvl w:val="0"/>
          <w:numId w:val="33"/>
        </w:numPr>
        <w:rPr>
          <w:rFonts w:ascii="Arial" w:cs="Arial" w:eastAsia="Arial" w:hAnsi="Arial"/>
          <w:sz w:val="22"/>
          <w:szCs w:val="22"/>
          <w:color w:val="auto"/>
        </w:rPr>
      </w:pPr>
      <w:r>
        <w:rPr>
          <w:rFonts w:ascii="Arial" w:cs="Arial" w:eastAsia="Arial" w:hAnsi="Arial"/>
          <w:sz w:val="22"/>
          <w:szCs w:val="22"/>
          <w:color w:val="auto"/>
        </w:rPr>
        <w:t>Postal address of the GP: Addressee: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Address: Suite 2F-B, Building 8, No. 27, Xinjinqiao Road, Pudong New District, Shanghai</w:t>
      </w:r>
    </w:p>
    <w:p>
      <w:pPr>
        <w:ind w:left="360"/>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right="2519" w:firstLine="8"/>
        <w:spacing w:after="0" w:line="239" w:lineRule="auto"/>
        <w:tabs>
          <w:tab w:leader="none" w:pos="306" w:val="left"/>
        </w:tabs>
        <w:numPr>
          <w:ilvl w:val="0"/>
          <w:numId w:val="34"/>
        </w:numPr>
        <w:rPr>
          <w:rFonts w:ascii="Arial" w:cs="Arial" w:eastAsia="Arial" w:hAnsi="Arial"/>
          <w:sz w:val="22"/>
          <w:szCs w:val="22"/>
          <w:color w:val="auto"/>
        </w:rPr>
      </w:pPr>
      <w:r>
        <w:rPr>
          <w:rFonts w:ascii="Arial" w:cs="Arial" w:eastAsia="Arial" w:hAnsi="Arial"/>
          <w:sz w:val="22"/>
          <w:szCs w:val="22"/>
          <w:color w:val="auto"/>
        </w:rPr>
        <w:t>Postal address of Shanghai Sinyang Semiconductor Materials Co., Ltd as an LP: Addressee: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Address: 3600 Sixian Road, Songjiang District, Shanghai</w:t>
      </w:r>
    </w:p>
    <w:p>
      <w:pPr>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right="2619" w:firstLine="8"/>
        <w:spacing w:after="0" w:line="239" w:lineRule="auto"/>
        <w:tabs>
          <w:tab w:leader="none" w:pos="306" w:val="left"/>
        </w:tabs>
        <w:numPr>
          <w:ilvl w:val="0"/>
          <w:numId w:val="34"/>
        </w:numPr>
        <w:rPr>
          <w:rFonts w:ascii="Arial" w:cs="Arial" w:eastAsia="Arial" w:hAnsi="Arial"/>
          <w:sz w:val="22"/>
          <w:szCs w:val="22"/>
          <w:color w:val="auto"/>
        </w:rPr>
      </w:pPr>
      <w:r>
        <w:rPr>
          <w:rFonts w:ascii="Arial" w:cs="Arial" w:eastAsia="Arial" w:hAnsi="Arial"/>
          <w:sz w:val="22"/>
          <w:szCs w:val="22"/>
          <w:color w:val="auto"/>
        </w:rPr>
        <w:t>Postal address of Advanced Micro-Fabrication Equipment Inc. China as an LP: Addressee: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spacing w:after="0"/>
        <w:rPr>
          <w:rFonts w:ascii="Arial" w:cs="Arial" w:eastAsia="Arial" w:hAnsi="Arial"/>
          <w:sz w:val="22"/>
          <w:szCs w:val="22"/>
          <w:color w:val="auto"/>
        </w:rPr>
      </w:pPr>
      <w:r>
        <w:rPr>
          <w:rFonts w:ascii="Arial" w:cs="Arial" w:eastAsia="Arial" w:hAnsi="Arial"/>
          <w:sz w:val="19"/>
          <w:szCs w:val="19"/>
          <w:color w:val="auto"/>
        </w:rPr>
        <w:t>Address: 188 Taihua Road, Jinqiao Export Processing Area (South Area), Pudong New District, Shanghai</w:t>
      </w:r>
    </w:p>
    <w:p>
      <w:pPr>
        <w:spacing w:after="0" w:line="2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left="320" w:hanging="312"/>
        <w:spacing w:after="0"/>
        <w:tabs>
          <w:tab w:leader="none" w:pos="3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Postal address of Zing Semiconductor Corporation as an LP:</w:t>
      </w:r>
    </w:p>
    <w:p>
      <w:pPr>
        <w:spacing w:after="0" w:line="238" w:lineRule="auto"/>
        <w:rPr>
          <w:sz w:val="20"/>
          <w:szCs w:val="20"/>
          <w:color w:val="auto"/>
        </w:rPr>
      </w:pPr>
      <w:r>
        <w:rPr>
          <w:rFonts w:ascii="Arial" w:cs="Arial" w:eastAsia="Arial" w:hAnsi="Arial"/>
          <w:sz w:val="22"/>
          <w:szCs w:val="22"/>
          <w:color w:val="auto"/>
        </w:rPr>
        <w:t>Addressee: [***]</w:t>
      </w:r>
    </w:p>
    <w:p>
      <w:pPr>
        <w:spacing w:after="0" w:line="230" w:lineRule="auto"/>
        <w:rPr>
          <w:sz w:val="20"/>
          <w:szCs w:val="20"/>
          <w:color w:val="auto"/>
        </w:rPr>
      </w:pPr>
      <w:r>
        <w:rPr>
          <w:rFonts w:ascii="Arial" w:cs="Arial" w:eastAsia="Arial" w:hAnsi="Arial"/>
          <w:sz w:val="22"/>
          <w:szCs w:val="22"/>
          <w:color w:val="auto"/>
        </w:rPr>
        <w:t>Tel.: [***]</w:t>
      </w:r>
    </w:p>
    <w:p>
      <w:pPr>
        <w:spacing w:after="0" w:line="231" w:lineRule="auto"/>
        <w:rPr>
          <w:sz w:val="20"/>
          <w:szCs w:val="20"/>
          <w:color w:val="auto"/>
        </w:rPr>
      </w:pPr>
      <w:r>
        <w:rPr>
          <w:rFonts w:ascii="Arial" w:cs="Arial" w:eastAsia="Arial" w:hAnsi="Arial"/>
          <w:sz w:val="22"/>
          <w:szCs w:val="22"/>
          <w:color w:val="auto"/>
        </w:rPr>
        <w:t>Address: 4/F, Building 5, No. 865, Changning Road, Shanghai</w:t>
      </w:r>
    </w:p>
    <w:p>
      <w:pPr>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right="3999" w:firstLine="8"/>
        <w:spacing w:after="0" w:line="239" w:lineRule="auto"/>
        <w:tabs>
          <w:tab w:leader="none" w:pos="306" w:val="left"/>
        </w:tabs>
        <w:numPr>
          <w:ilvl w:val="0"/>
          <w:numId w:val="35"/>
        </w:numPr>
        <w:rPr>
          <w:rFonts w:ascii="Arial" w:cs="Arial" w:eastAsia="Arial" w:hAnsi="Arial"/>
          <w:sz w:val="22"/>
          <w:szCs w:val="22"/>
          <w:color w:val="auto"/>
        </w:rPr>
      </w:pPr>
      <w:r>
        <w:rPr>
          <w:rFonts w:ascii="Arial" w:cs="Arial" w:eastAsia="Arial" w:hAnsi="Arial"/>
          <w:sz w:val="22"/>
          <w:szCs w:val="22"/>
          <w:color w:val="auto"/>
        </w:rPr>
        <w:t>Postal address of Montage-Tech Investment Co., Ltd. as an LP: Addressee: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Address: 6/F, Block A, 900 Yishan Road, Xuhui District, Shanghai</w:t>
      </w:r>
    </w:p>
    <w:p>
      <w:pPr>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right="3199" w:firstLine="8"/>
        <w:spacing w:after="0" w:line="239" w:lineRule="auto"/>
        <w:tabs>
          <w:tab w:leader="none" w:pos="306" w:val="left"/>
        </w:tabs>
        <w:numPr>
          <w:ilvl w:val="0"/>
          <w:numId w:val="35"/>
        </w:numPr>
        <w:rPr>
          <w:rFonts w:ascii="Arial" w:cs="Arial" w:eastAsia="Arial" w:hAnsi="Arial"/>
          <w:sz w:val="22"/>
          <w:szCs w:val="22"/>
          <w:color w:val="auto"/>
        </w:rPr>
      </w:pPr>
      <w:r>
        <w:rPr>
          <w:rFonts w:ascii="Arial" w:cs="Arial" w:eastAsia="Arial" w:hAnsi="Arial"/>
          <w:sz w:val="22"/>
          <w:szCs w:val="22"/>
          <w:color w:val="auto"/>
        </w:rPr>
        <w:t>Postal address of Tianjin Zhonghuan Semiconductor Co., Ltd., as an LP: Addressee: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spacing w:after="0"/>
        <w:rPr>
          <w:rFonts w:ascii="Arial" w:cs="Arial" w:eastAsia="Arial" w:hAnsi="Arial"/>
          <w:sz w:val="22"/>
          <w:szCs w:val="22"/>
          <w:color w:val="auto"/>
        </w:rPr>
      </w:pPr>
      <w:r>
        <w:rPr>
          <w:rFonts w:ascii="Arial" w:cs="Arial" w:eastAsia="Arial" w:hAnsi="Arial"/>
          <w:sz w:val="19"/>
          <w:szCs w:val="19"/>
          <w:color w:val="auto"/>
        </w:rPr>
        <w:t>Address: 12 Haitai East Road, Huayuan Industrial Zone (Out the Ring), High-tech Industrial Park, Tianjin</w:t>
      </w:r>
    </w:p>
    <w:p>
      <w:pPr>
        <w:spacing w:after="0" w:line="2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left="320" w:hanging="312"/>
        <w:spacing w:after="0"/>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Postal address of Will Semiconductor Co., Ltd. as an LP:</w:t>
      </w:r>
    </w:p>
    <w:p>
      <w:pPr>
        <w:spacing w:after="0" w:line="238" w:lineRule="auto"/>
        <w:rPr>
          <w:sz w:val="20"/>
          <w:szCs w:val="20"/>
          <w:color w:val="auto"/>
        </w:rPr>
      </w:pPr>
      <w:r>
        <w:rPr>
          <w:rFonts w:ascii="Arial" w:cs="Arial" w:eastAsia="Arial" w:hAnsi="Arial"/>
          <w:sz w:val="22"/>
          <w:szCs w:val="22"/>
          <w:color w:val="auto"/>
        </w:rPr>
        <w:t>Addressee: [***]</w:t>
      </w:r>
    </w:p>
    <w:p>
      <w:pPr>
        <w:spacing w:after="0" w:line="230" w:lineRule="auto"/>
        <w:rPr>
          <w:sz w:val="20"/>
          <w:szCs w:val="20"/>
          <w:color w:val="auto"/>
        </w:rPr>
      </w:pPr>
      <w:r>
        <w:rPr>
          <w:rFonts w:ascii="Arial" w:cs="Arial" w:eastAsia="Arial" w:hAnsi="Arial"/>
          <w:sz w:val="22"/>
          <w:szCs w:val="22"/>
          <w:color w:val="auto"/>
        </w:rPr>
        <w:t>Tel.: [***]</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Address: 7/F, Haowei Science and Technology Park, 88 Shangke Road, Pudong New District, Shanghai</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right="3659" w:firstLine="8"/>
        <w:spacing w:after="0" w:line="239"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Postal address of Shenzhen Goodix Technology Co., Ltd. as an LP: Addressee: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spacing w:after="0" w:line="230" w:lineRule="auto"/>
        <w:rPr>
          <w:rFonts w:ascii="Arial" w:cs="Arial" w:eastAsia="Arial" w:hAnsi="Arial"/>
          <w:sz w:val="22"/>
          <w:szCs w:val="22"/>
          <w:color w:val="auto"/>
        </w:rPr>
      </w:pPr>
      <w:r>
        <w:rPr>
          <w:rFonts w:ascii="Arial" w:cs="Arial" w:eastAsia="Arial" w:hAnsi="Arial"/>
          <w:sz w:val="22"/>
          <w:szCs w:val="22"/>
          <w:color w:val="auto"/>
        </w:rPr>
        <w:t>Address: 8/F, Block D, Building 4, Software Industry Base, Nanshan District, Shenzhen</w:t>
      </w:r>
    </w:p>
    <w:p>
      <w:pPr>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261620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79"/>
          </w:cols>
          <w:pgMar w:left="680" w:top="118" w:right="1440" w:bottom="1440" w:gutter="0" w:footer="0" w:header="0"/>
        </w:sectPr>
      </w:pPr>
    </w:p>
    <w:bookmarkStart w:id="33" w:name="page34"/>
    <w:bookmarkEnd w:id="33"/>
    <w:p>
      <w:pPr>
        <w:ind w:left="360" w:right="5040" w:firstLine="8"/>
        <w:spacing w:after="0" w:line="239" w:lineRule="auto"/>
        <w:tabs>
          <w:tab w:leader="none" w:pos="666" w:val="left"/>
        </w:tabs>
        <w:numPr>
          <w:ilvl w:val="0"/>
          <w:numId w:val="37"/>
        </w:numPr>
        <w:rPr>
          <w:rFonts w:ascii="Arial" w:cs="Arial" w:eastAsia="Arial" w:hAnsi="Arial"/>
          <w:sz w:val="22"/>
          <w:szCs w:val="22"/>
          <w:color w:val="auto"/>
        </w:rPr>
      </w:pPr>
      <w:r>
        <w:rPr>
          <w:rFonts w:ascii="Arial" w:cs="Arial" w:eastAsia="Arial" w:hAnsi="Arial"/>
          <w:sz w:val="22"/>
          <w:szCs w:val="22"/>
          <w:color w:val="auto"/>
        </w:rPr>
        <w:t>Postal address of Giantec Semiconductor Corporation as an LP: Addressee: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Address: No. 12, Lane 647, Songtao Road, Zhangjiang Hi-Tech Park, Pudong New District, Shanghai</w:t>
      </w:r>
    </w:p>
    <w:p>
      <w:pPr>
        <w:ind w:left="360"/>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left="780" w:hanging="412"/>
        <w:spacing w:after="0"/>
        <w:tabs>
          <w:tab w:leader="none" w:pos="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Postal address of Anji Microelectronics Technology (Shanghai) Co., Ltd. as an LP:</w:t>
      </w:r>
    </w:p>
    <w:p>
      <w:pPr>
        <w:ind w:left="360"/>
        <w:spacing w:after="0" w:line="238" w:lineRule="auto"/>
        <w:rPr>
          <w:sz w:val="20"/>
          <w:szCs w:val="20"/>
          <w:color w:val="auto"/>
        </w:rPr>
      </w:pPr>
      <w:r>
        <w:rPr>
          <w:rFonts w:ascii="Arial" w:cs="Arial" w:eastAsia="Arial" w:hAnsi="Arial"/>
          <w:sz w:val="22"/>
          <w:szCs w:val="22"/>
          <w:color w:val="auto"/>
        </w:rPr>
        <w:t>Addressee: [***]</w:t>
      </w:r>
    </w:p>
    <w:p>
      <w:pPr>
        <w:ind w:left="360"/>
        <w:spacing w:after="0" w:line="230" w:lineRule="auto"/>
        <w:rPr>
          <w:sz w:val="20"/>
          <w:szCs w:val="20"/>
          <w:color w:val="auto"/>
        </w:rPr>
      </w:pPr>
      <w:r>
        <w:rPr>
          <w:rFonts w:ascii="Arial" w:cs="Arial" w:eastAsia="Arial" w:hAnsi="Arial"/>
          <w:sz w:val="22"/>
          <w:szCs w:val="22"/>
          <w:color w:val="auto"/>
        </w:rPr>
        <w:t>Tel.: [***]12</w:t>
      </w:r>
    </w:p>
    <w:p>
      <w:pPr>
        <w:ind w:left="360"/>
        <w:spacing w:after="0" w:line="231" w:lineRule="auto"/>
        <w:rPr>
          <w:sz w:val="20"/>
          <w:szCs w:val="20"/>
          <w:color w:val="auto"/>
        </w:rPr>
      </w:pPr>
      <w:r>
        <w:rPr>
          <w:rFonts w:ascii="Arial" w:cs="Arial" w:eastAsia="Arial" w:hAnsi="Arial"/>
          <w:sz w:val="22"/>
          <w:szCs w:val="22"/>
          <w:color w:val="auto"/>
        </w:rPr>
        <w:t>Address: 1-3/F, Block E, 258 Chenhui Road, Pudong New District, Shanghai</w:t>
      </w:r>
    </w:p>
    <w:p>
      <w:pPr>
        <w:ind w:left="360"/>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left="360" w:right="5300" w:firstLine="8"/>
        <w:spacing w:after="0" w:line="239" w:lineRule="auto"/>
        <w:tabs>
          <w:tab w:leader="none" w:pos="766" w:val="left"/>
        </w:tabs>
        <w:numPr>
          <w:ilvl w:val="0"/>
          <w:numId w:val="38"/>
        </w:numPr>
        <w:rPr>
          <w:rFonts w:ascii="Arial" w:cs="Arial" w:eastAsia="Arial" w:hAnsi="Arial"/>
          <w:sz w:val="22"/>
          <w:szCs w:val="22"/>
          <w:color w:val="auto"/>
        </w:rPr>
      </w:pPr>
      <w:r>
        <w:rPr>
          <w:rFonts w:ascii="Arial" w:cs="Arial" w:eastAsia="Arial" w:hAnsi="Arial"/>
          <w:sz w:val="22"/>
          <w:szCs w:val="22"/>
          <w:color w:val="auto"/>
        </w:rPr>
        <w:t>Postal address of Allwinner Technology Co., Ltd. as an LP: Addressee: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Address: No. 9, Technology Road 2, Tangjiawan Town, Hi-Tech Zone, Zhuhai</w:t>
      </w:r>
    </w:p>
    <w:p>
      <w:pPr>
        <w:ind w:left="360"/>
        <w:spacing w:after="0"/>
        <w:rPr>
          <w:rFonts w:ascii="Arial" w:cs="Arial" w:eastAsia="Arial" w:hAnsi="Arial"/>
          <w:sz w:val="22"/>
          <w:szCs w:val="22"/>
          <w:color w:val="auto"/>
        </w:rPr>
      </w:pPr>
      <w:r>
        <w:rPr>
          <w:rFonts w:ascii="Arial" w:cs="Arial" w:eastAsia="Arial" w:hAnsi="Arial"/>
          <w:sz w:val="22"/>
          <w:szCs w:val="22"/>
          <w:color w:val="auto"/>
        </w:rPr>
        <w:t>Email: [***]</w:t>
      </w:r>
    </w:p>
    <w:p>
      <w:pPr>
        <w:spacing w:after="0" w:line="215" w:lineRule="exact"/>
        <w:rPr>
          <w:rFonts w:ascii="Arial" w:cs="Arial" w:eastAsia="Arial" w:hAnsi="Arial"/>
          <w:sz w:val="22"/>
          <w:szCs w:val="22"/>
          <w:color w:val="auto"/>
        </w:rPr>
      </w:pPr>
    </w:p>
    <w:p>
      <w:pPr>
        <w:ind w:left="780" w:hanging="412"/>
        <w:spacing w:after="0"/>
        <w:tabs>
          <w:tab w:leader="none" w:pos="7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Postal address of ACM Research (Shanghai), Inc. as an LP:</w:t>
      </w:r>
    </w:p>
    <w:p>
      <w:pPr>
        <w:ind w:left="360"/>
        <w:spacing w:after="0" w:line="238" w:lineRule="auto"/>
        <w:rPr>
          <w:sz w:val="20"/>
          <w:szCs w:val="20"/>
          <w:color w:val="auto"/>
        </w:rPr>
      </w:pPr>
      <w:r>
        <w:rPr>
          <w:rFonts w:ascii="Arial" w:cs="Arial" w:eastAsia="Arial" w:hAnsi="Arial"/>
          <w:sz w:val="22"/>
          <w:szCs w:val="22"/>
          <w:color w:val="auto"/>
        </w:rPr>
        <w:t>Addressee: [***]</w:t>
      </w:r>
    </w:p>
    <w:p>
      <w:pPr>
        <w:ind w:left="360"/>
        <w:spacing w:after="0" w:line="230" w:lineRule="auto"/>
        <w:rPr>
          <w:sz w:val="20"/>
          <w:szCs w:val="20"/>
          <w:color w:val="auto"/>
        </w:rPr>
      </w:pPr>
      <w:r>
        <w:rPr>
          <w:rFonts w:ascii="Arial" w:cs="Arial" w:eastAsia="Arial" w:hAnsi="Arial"/>
          <w:sz w:val="22"/>
          <w:szCs w:val="22"/>
          <w:color w:val="auto"/>
        </w:rPr>
        <w:t>Tel.: [***]</w:t>
      </w:r>
    </w:p>
    <w:p>
      <w:pPr>
        <w:ind w:left="360"/>
        <w:spacing w:after="0" w:line="231" w:lineRule="auto"/>
        <w:rPr>
          <w:sz w:val="20"/>
          <w:szCs w:val="20"/>
          <w:color w:val="auto"/>
        </w:rPr>
      </w:pPr>
      <w:r>
        <w:rPr>
          <w:rFonts w:ascii="Arial" w:cs="Arial" w:eastAsia="Arial" w:hAnsi="Arial"/>
          <w:sz w:val="22"/>
          <w:szCs w:val="22"/>
          <w:color w:val="auto"/>
        </w:rPr>
        <w:t>Address: Building 4, No. 1690, Cailun Road, Zhangjiang Hi-Tech Park, Shanghai</w:t>
      </w:r>
    </w:p>
    <w:p>
      <w:pPr>
        <w:ind w:left="360"/>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left="360" w:right="3800" w:firstLine="8"/>
        <w:spacing w:after="0" w:line="239" w:lineRule="auto"/>
        <w:tabs>
          <w:tab w:leader="none" w:pos="774" w:val="left"/>
        </w:tabs>
        <w:numPr>
          <w:ilvl w:val="0"/>
          <w:numId w:val="39"/>
        </w:numPr>
        <w:rPr>
          <w:rFonts w:ascii="Arial" w:cs="Arial" w:eastAsia="Arial" w:hAnsi="Arial"/>
          <w:sz w:val="22"/>
          <w:szCs w:val="22"/>
          <w:color w:val="auto"/>
        </w:rPr>
      </w:pPr>
      <w:r>
        <w:rPr>
          <w:rFonts w:ascii="Arial" w:cs="Arial" w:eastAsia="Arial" w:hAnsi="Arial"/>
          <w:sz w:val="22"/>
          <w:szCs w:val="22"/>
          <w:color w:val="auto"/>
        </w:rPr>
        <w:t>Postal address of Shanghai Laimu Electronic Limited by Share Ltd as an LP: Addressee: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Address: No. 88, Lane 651, Dongxue Road, Dongjing Town, Songjiang District, Shanghai</w:t>
      </w:r>
    </w:p>
    <w:p>
      <w:pPr>
        <w:ind w:left="360"/>
        <w:spacing w:after="0"/>
        <w:rPr>
          <w:rFonts w:ascii="Arial" w:cs="Arial" w:eastAsia="Arial" w:hAnsi="Arial"/>
          <w:sz w:val="22"/>
          <w:szCs w:val="22"/>
          <w:color w:val="auto"/>
        </w:rPr>
      </w:pPr>
      <w:r>
        <w:rPr>
          <w:rFonts w:ascii="Arial" w:cs="Arial" w:eastAsia="Arial" w:hAnsi="Arial"/>
          <w:sz w:val="22"/>
          <w:szCs w:val="22"/>
          <w:color w:val="auto"/>
        </w:rPr>
        <w:t>Email: [***](14) Postal address of PNC Process Systems Co., Ltd. as an LP:</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Addressee: [***]</w:t>
      </w:r>
    </w:p>
    <w:p>
      <w:pPr>
        <w:ind w:left="360"/>
        <w:spacing w:after="0" w:line="238" w:lineRule="auto"/>
        <w:rPr>
          <w:sz w:val="20"/>
          <w:szCs w:val="20"/>
          <w:color w:val="auto"/>
        </w:rPr>
      </w:pPr>
      <w:r>
        <w:rPr>
          <w:rFonts w:ascii="Arial" w:cs="Arial" w:eastAsia="Arial" w:hAnsi="Arial"/>
          <w:sz w:val="22"/>
          <w:szCs w:val="22"/>
          <w:color w:val="auto"/>
        </w:rPr>
        <w:t>Tel.: [***]</w:t>
      </w:r>
    </w:p>
    <w:p>
      <w:pPr>
        <w:ind w:left="360"/>
        <w:spacing w:after="0" w:line="230" w:lineRule="auto"/>
        <w:rPr>
          <w:sz w:val="20"/>
          <w:szCs w:val="20"/>
          <w:color w:val="auto"/>
        </w:rPr>
      </w:pPr>
      <w:r>
        <w:rPr>
          <w:rFonts w:ascii="Arial" w:cs="Arial" w:eastAsia="Arial" w:hAnsi="Arial"/>
          <w:sz w:val="22"/>
          <w:szCs w:val="22"/>
          <w:color w:val="auto"/>
        </w:rPr>
        <w:t>Address: 170 Zihai Road, Minxing District, Shanghai</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Email: [***]</w:t>
      </w:r>
    </w:p>
    <w:p>
      <w:pPr>
        <w:spacing w:after="0" w:line="215" w:lineRule="exact"/>
        <w:rPr>
          <w:sz w:val="20"/>
          <w:szCs w:val="20"/>
          <w:color w:val="auto"/>
        </w:rPr>
      </w:pPr>
    </w:p>
    <w:p>
      <w:pPr>
        <w:ind w:left="360" w:right="4400" w:firstLine="8"/>
        <w:spacing w:after="0" w:line="239" w:lineRule="auto"/>
        <w:tabs>
          <w:tab w:leader="none" w:pos="7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Postal address of Konfoong Materials International Co., Ltd as an LP: Addressee: [***]</w:t>
      </w:r>
    </w:p>
    <w:p>
      <w:pPr>
        <w:ind w:left="360"/>
        <w:spacing w:after="0" w:line="230" w:lineRule="auto"/>
        <w:rPr>
          <w:rFonts w:ascii="Arial" w:cs="Arial" w:eastAsia="Arial" w:hAnsi="Arial"/>
          <w:sz w:val="22"/>
          <w:szCs w:val="22"/>
          <w:color w:val="auto"/>
        </w:rPr>
      </w:pPr>
      <w:r>
        <w:rPr>
          <w:rFonts w:ascii="Arial" w:cs="Arial" w:eastAsia="Arial" w:hAnsi="Arial"/>
          <w:sz w:val="22"/>
          <w:szCs w:val="22"/>
          <w:color w:val="auto"/>
        </w:rPr>
        <w:t>Tel.: [***]</w:t>
      </w:r>
    </w:p>
    <w:p>
      <w:pPr>
        <w:ind w:left="360"/>
        <w:spacing w:after="0"/>
        <w:rPr>
          <w:rFonts w:ascii="Arial" w:cs="Arial" w:eastAsia="Arial" w:hAnsi="Arial"/>
          <w:sz w:val="22"/>
          <w:szCs w:val="22"/>
          <w:color w:val="auto"/>
        </w:rPr>
      </w:pPr>
      <w:r>
        <w:rPr>
          <w:rFonts w:ascii="Arial" w:cs="Arial" w:eastAsia="Arial" w:hAnsi="Arial"/>
          <w:sz w:val="19"/>
          <w:szCs w:val="19"/>
          <w:color w:val="auto"/>
        </w:rPr>
        <w:t>Address: 198 Anshan Road, Mingbang Science and Technology Park, Yuyao Economic Development Zone, Zhejiang</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Province</w:t>
      </w:r>
    </w:p>
    <w:p>
      <w:pPr>
        <w:ind w:left="360"/>
        <w:spacing w:after="0"/>
        <w:rPr>
          <w:sz w:val="20"/>
          <w:szCs w:val="20"/>
          <w:color w:val="auto"/>
        </w:rPr>
      </w:pPr>
      <w:r>
        <w:rPr>
          <w:rFonts w:ascii="Arial" w:cs="Arial" w:eastAsia="Arial" w:hAnsi="Arial"/>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ind w:left="360"/>
        <w:spacing w:after="0"/>
        <w:rPr>
          <w:sz w:val="20"/>
          <w:szCs w:val="20"/>
          <w:color w:val="auto"/>
        </w:rPr>
      </w:pPr>
      <w:r>
        <w:rPr>
          <w:rFonts w:ascii="Arial" w:cs="Arial" w:eastAsia="Arial" w:hAnsi="Arial"/>
          <w:sz w:val="19"/>
          <w:szCs w:val="19"/>
          <w:color w:val="auto"/>
        </w:rPr>
        <w:t>Any Partner may change its postal address by sending a prior written notice to the GP and the Fund Manager at any time.</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auto"/>
        </w:rPr>
        <w:t xml:space="preserve">21.2 </w:t>
      </w:r>
      <w:r>
        <w:rPr>
          <w:rFonts w:ascii="Arial" w:cs="Arial" w:eastAsia="Arial" w:hAnsi="Arial"/>
          <w:sz w:val="21"/>
          <w:szCs w:val="21"/>
          <w:color w:val="auto"/>
        </w:rPr>
        <w:t>Unless a notice is received earlier as supported by evidence, the notice shall be deemed having been served:</w:t>
      </w:r>
    </w:p>
    <w:p>
      <w:pPr>
        <w:spacing w:after="0" w:line="251" w:lineRule="exact"/>
        <w:rPr>
          <w:sz w:val="20"/>
          <w:szCs w:val="20"/>
          <w:color w:val="auto"/>
        </w:rPr>
      </w:pPr>
    </w:p>
    <w:p>
      <w:pPr>
        <w:ind w:left="680" w:hanging="312"/>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upon delivery to the postal address specified in Section 21.1 in case that the notice is delivered in person;</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at the end of five business days after the notice is delivered by registered mail or express courier; or</w:t>
      </w:r>
    </w:p>
    <w:p>
      <w:pPr>
        <w:spacing w:after="0" w:line="233" w:lineRule="exact"/>
        <w:rPr>
          <w:rFonts w:ascii="Arial" w:cs="Arial" w:eastAsia="Arial" w:hAnsi="Arial"/>
          <w:sz w:val="22"/>
          <w:szCs w:val="22"/>
          <w:color w:val="auto"/>
        </w:rPr>
      </w:pPr>
    </w:p>
    <w:p>
      <w:pPr>
        <w:ind w:left="680" w:hanging="312"/>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upon sending an email of the notice in case that the notice is delivered by email.</w:t>
      </w:r>
    </w:p>
    <w:p>
      <w:pPr>
        <w:spacing w:after="0" w:line="227" w:lineRule="exact"/>
        <w:rPr>
          <w:rFonts w:ascii="Arial" w:cs="Arial" w:eastAsia="Arial" w:hAnsi="Arial"/>
          <w:sz w:val="22"/>
          <w:szCs w:val="22"/>
          <w:color w:val="auto"/>
        </w:rPr>
      </w:pPr>
    </w:p>
    <w:p>
      <w:pPr>
        <w:ind w:left="5140" w:hanging="326"/>
        <w:spacing w:after="0"/>
        <w:tabs>
          <w:tab w:leader="none" w:pos="5140"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 xml:space="preserve">22.1 The content contained in this </w:t>
      </w:r>
      <w:r>
        <w:rPr>
          <w:rFonts w:ascii="Arial" w:cs="Arial" w:eastAsia="Arial" w:hAnsi="Arial"/>
          <w:sz w:val="22"/>
          <w:szCs w:val="22"/>
          <w:i w:val="1"/>
          <w:iCs w:val="1"/>
          <w:color w:val="auto"/>
        </w:rPr>
        <w:t>Partnership Agreement</w:t>
      </w:r>
      <w:r>
        <w:rPr>
          <w:rFonts w:ascii="Arial" w:cs="Arial" w:eastAsia="Arial" w:hAnsi="Arial"/>
          <w:sz w:val="22"/>
          <w:szCs w:val="22"/>
          <w:color w:val="auto"/>
        </w:rPr>
        <w:t xml:space="preserve"> is the true expression of all Partners. The signing of this Agreement will supersede any previous agreement, offer, undertaking or memorandum regarding the Partnership Enterprise. In any case that the content of this </w:t>
      </w:r>
      <w:r>
        <w:rPr>
          <w:rFonts w:ascii="Arial" w:cs="Arial" w:eastAsia="Arial" w:hAnsi="Arial"/>
          <w:sz w:val="22"/>
          <w:szCs w:val="22"/>
          <w:i w:val="1"/>
          <w:iCs w:val="1"/>
          <w:color w:val="auto"/>
        </w:rPr>
        <w:t>Partnership Agreement</w:t>
      </w:r>
      <w:r>
        <w:rPr>
          <w:rFonts w:ascii="Arial" w:cs="Arial" w:eastAsia="Arial" w:hAnsi="Arial"/>
          <w:sz w:val="22"/>
          <w:szCs w:val="22"/>
          <w:color w:val="auto"/>
        </w:rPr>
        <w:t xml:space="preserve"> conflicts with the content of other agreements or documents signed between the Partners, this Partnership Agreement shall prevail, and this Partnership Agreement shall be the prevailing document to be filed with the AMAC for the record.</w:t>
      </w:r>
    </w:p>
    <w:p>
      <w:pPr>
        <w:spacing w:after="0" w:line="214"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9"/>
          <w:szCs w:val="19"/>
          <w:color w:val="auto"/>
        </w:rPr>
        <w:t>22.2 The Parties further agree that for the purpose of registration procedures, the Parties agree to sign a separate partnership agreement (“</w:t>
      </w:r>
      <w:r>
        <w:rPr>
          <w:rFonts w:ascii="Arial" w:cs="Arial" w:eastAsia="Arial" w:hAnsi="Arial"/>
          <w:sz w:val="19"/>
          <w:szCs w:val="19"/>
          <w:b w:val="1"/>
          <w:bCs w:val="1"/>
          <w:color w:val="auto"/>
        </w:rPr>
        <w:t>Shortform Partnership Agreement</w:t>
      </w:r>
      <w:r>
        <w:rPr>
          <w:rFonts w:ascii="Arial" w:cs="Arial" w:eastAsia="Arial" w:hAnsi="Arial"/>
          <w:sz w:val="19"/>
          <w:szCs w:val="19"/>
          <w:color w:val="auto"/>
        </w:rPr>
        <w:t xml:space="preserve">”) in accordance with the content and form specified in Appendix II hereto. In case that there is any discrepancy between the </w:t>
      </w:r>
      <w:r>
        <w:rPr>
          <w:rFonts w:ascii="Arial" w:cs="Arial" w:eastAsia="Arial" w:hAnsi="Arial"/>
          <w:sz w:val="19"/>
          <w:szCs w:val="19"/>
          <w:i w:val="1"/>
          <w:iCs w:val="1"/>
          <w:color w:val="auto"/>
        </w:rPr>
        <w:t>Shortform Partnership Agreement</w:t>
      </w:r>
      <w:r>
        <w:rPr>
          <w:rFonts w:ascii="Arial" w:cs="Arial" w:eastAsia="Arial" w:hAnsi="Arial"/>
          <w:sz w:val="19"/>
          <w:szCs w:val="19"/>
          <w:color w:val="auto"/>
        </w:rPr>
        <w:t xml:space="preserve"> and this Agreement, or any matter is not stipulated in the </w:t>
      </w:r>
      <w:r>
        <w:rPr>
          <w:rFonts w:ascii="Arial" w:cs="Arial" w:eastAsia="Arial" w:hAnsi="Arial"/>
          <w:sz w:val="19"/>
          <w:szCs w:val="19"/>
          <w:i w:val="1"/>
          <w:iCs w:val="1"/>
          <w:color w:val="auto"/>
        </w:rPr>
        <w:t>Shortform Partnership Agreement</w:t>
      </w:r>
      <w:r>
        <w:rPr>
          <w:rFonts w:ascii="Arial" w:cs="Arial" w:eastAsia="Arial" w:hAnsi="Arial"/>
          <w:sz w:val="19"/>
          <w:szCs w:val="19"/>
          <w:color w:val="auto"/>
        </w:rPr>
        <w:t xml:space="preserve"> but is stipulated in this Agreement, this Agreement shall prevail.</w:t>
      </w:r>
    </w:p>
    <w:p>
      <w:pPr>
        <w:spacing w:after="0" w:line="17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9"/>
          <w:szCs w:val="19"/>
          <w:color w:val="auto"/>
        </w:rPr>
        <w:t>22.3 If any provision of this Agreement is found to be invalid, or such provision is deemed invalid when being applied to a specific person or circumstance, other provisions shall remain valid, and the aforesaid provision shall remain valid when being applied to other persons or circumstances. If a provision in this Agreement is inconsistent with an effective mandatory provision of laws and administrative regulations, the effective mandatory provision of laws and administrative regulations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ind w:firstLine="360"/>
        <w:spacing w:after="0" w:line="236" w:lineRule="auto"/>
        <w:rPr>
          <w:sz w:val="20"/>
          <w:szCs w:val="20"/>
          <w:color w:val="auto"/>
        </w:rPr>
      </w:pPr>
      <w:r>
        <w:rPr>
          <w:rFonts w:ascii="Arial" w:cs="Arial" w:eastAsia="Arial" w:hAnsi="Arial"/>
          <w:sz w:val="22"/>
          <w:szCs w:val="22"/>
          <w:color w:val="auto"/>
        </w:rPr>
        <w:t>22.4 The GP has the right to independently decide to modify or supplement the terms and conditions of this Agreement with respect to the matters that are subject to independent decision of the GP as specified in this Agreement, and to make modifications or supplements to this Agreement that do not substantively impair existing benefits of the LPs. Unless otherwise expressly specified herein, a modification to any other content of this Agreement shall be subject to a consent granted at a partners’ meeting in accordance with this Agreement.</w:t>
      </w:r>
    </w:p>
    <w:p>
      <w:pPr>
        <w:spacing w:after="0" w:line="21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22.5 For the matters not covered in this Agreement, all Partners shall enter into a supplementary agreement through negotiation. The supplementary agreement shall prevail in case of any discrepancy with this Agreement.</w:t>
      </w:r>
    </w:p>
    <w:p>
      <w:pPr>
        <w:spacing w:after="0" w:line="202" w:lineRule="exact"/>
        <w:rPr>
          <w:sz w:val="20"/>
          <w:szCs w:val="20"/>
          <w:color w:val="auto"/>
        </w:rPr>
      </w:pPr>
    </w:p>
    <w:p>
      <w:pPr>
        <w:jc w:val="both"/>
        <w:ind w:right="20" w:firstLine="360"/>
        <w:spacing w:after="0" w:line="328" w:lineRule="auto"/>
        <w:rPr>
          <w:sz w:val="20"/>
          <w:szCs w:val="20"/>
          <w:color w:val="auto"/>
        </w:rPr>
      </w:pPr>
      <w:r>
        <w:rPr>
          <w:rFonts w:ascii="Arial" w:cs="Arial" w:eastAsia="Arial" w:hAnsi="Arial"/>
          <w:sz w:val="19"/>
          <w:szCs w:val="19"/>
          <w:color w:val="auto"/>
        </w:rPr>
        <w:t>22.6 The headings of the sections in this Agreement are for reference only, and shall not constitute any definition, limitation on or broadening of this Agreement or the provisions hereof and not affect the determination of the contents of this Agreement.</w:t>
      </w:r>
    </w:p>
    <w:p>
      <w:pPr>
        <w:spacing w:after="0" w:line="13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22.7 The appendices to this Agreement are an integral part of this Agreement and have the same legal effect as this Agreement.</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22.8 This Agreement shall come into effect as of the date of signing by all Partners of the Partnership Enterprise. This Agreement is made in 21 counterparts. Each Partner holds one counterpart, the Fund Manager holds one counterpart, and the Escrow Agent holds one counterpart. All counterparts have the same legal effect.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Appendix I: Partners Information</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00" w:type="dxa"/>
            <w:vAlign w:val="bottom"/>
            <w:tcBorders>
              <w:top w:val="single" w:sz="8" w:color="auto"/>
              <w:left w:val="single" w:sz="8" w:color="auto"/>
            </w:tcBorders>
          </w:tcPr>
          <w:p>
            <w:pPr>
              <w:spacing w:after="0"/>
              <w:rPr>
                <w:sz w:val="19"/>
                <w:szCs w:val="19"/>
                <w:color w:val="auto"/>
              </w:rPr>
            </w:pPr>
          </w:p>
        </w:tc>
        <w:tc>
          <w:tcPr>
            <w:tcW w:w="1600" w:type="dxa"/>
            <w:vAlign w:val="bottom"/>
            <w:tcBorders>
              <w:top w:val="single" w:sz="8" w:color="auto"/>
              <w:right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Subscribed</w:t>
            </w:r>
          </w:p>
        </w:tc>
        <w:tc>
          <w:tcPr>
            <w:tcW w:w="154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gridSpan w:val="2"/>
            <w:vMerge w:val="restart"/>
          </w:tcPr>
          <w:p>
            <w:pPr>
              <w:ind w:left="700"/>
              <w:spacing w:after="0"/>
              <w:rPr>
                <w:sz w:val="20"/>
                <w:szCs w:val="20"/>
                <w:color w:val="auto"/>
              </w:rPr>
            </w:pPr>
            <w:r>
              <w:rPr>
                <w:rFonts w:ascii="Arial" w:cs="Arial" w:eastAsia="Arial" w:hAnsi="Arial"/>
                <w:sz w:val="18"/>
                <w:szCs w:val="18"/>
                <w:color w:val="auto"/>
              </w:rPr>
              <w:t>Name of Partner</w:t>
            </w:r>
          </w:p>
        </w:tc>
        <w:tc>
          <w:tcPr>
            <w:tcW w:w="2580" w:type="dxa"/>
            <w:vAlign w:val="bottom"/>
            <w:tcBorders>
              <w:right w:val="single" w:sz="8" w:color="auto"/>
            </w:tcBorders>
            <w:gridSpan w:val="7"/>
            <w:vMerge w:val="restart"/>
          </w:tcPr>
          <w:p>
            <w:pPr>
              <w:ind w:left="240"/>
              <w:spacing w:after="0"/>
              <w:rPr>
                <w:sz w:val="20"/>
                <w:szCs w:val="20"/>
                <w:color w:val="auto"/>
              </w:rPr>
            </w:pPr>
            <w:r>
              <w:rPr>
                <w:rFonts w:ascii="Arial" w:cs="Arial" w:eastAsia="Arial" w:hAnsi="Arial"/>
                <w:sz w:val="18"/>
                <w:szCs w:val="18"/>
                <w:color w:val="auto"/>
                <w:w w:val="98"/>
              </w:rPr>
              <w:t>Domicile or place of business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Unified social credit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Legal representative</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Partner type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Form of</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gridSpan w:val="2"/>
            <w:vMerge w:val="continue"/>
          </w:tcPr>
          <w:p>
            <w:pPr>
              <w:spacing w:after="0"/>
              <w:rPr>
                <w:sz w:val="18"/>
                <w:szCs w:val="18"/>
                <w:color w:val="auto"/>
              </w:rPr>
            </w:pPr>
          </w:p>
        </w:tc>
        <w:tc>
          <w:tcPr>
            <w:tcW w:w="2580" w:type="dxa"/>
            <w:vAlign w:val="bottom"/>
            <w:tcBorders>
              <w:right w:val="single" w:sz="8" w:color="auto"/>
            </w:tcBorders>
            <w:gridSpan w:val="7"/>
            <w:vMerge w:val="continue"/>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code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contribution</w:t>
            </w:r>
          </w:p>
        </w:tc>
        <w:tc>
          <w:tcPr>
            <w:tcW w:w="154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(RMB)</w:t>
            </w:r>
          </w:p>
        </w:tc>
        <w:tc>
          <w:tcPr>
            <w:tcW w:w="1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7"/>
              </w:rPr>
              <w:t>China   Fortune-Tech   Capital</w:t>
            </w:r>
          </w:p>
        </w:tc>
        <w:tc>
          <w:tcPr>
            <w:tcW w:w="2580" w:type="dxa"/>
            <w:vAlign w:val="bottom"/>
            <w:tcBorders>
              <w:right w:val="single" w:sz="8" w:color="auto"/>
            </w:tcBorders>
            <w:gridSpan w:val="7"/>
            <w:shd w:val="clear" w:color="auto" w:fill="CCEEFF"/>
          </w:tcPr>
          <w:p>
            <w:pPr>
              <w:ind w:left="80"/>
              <w:spacing w:after="0" w:line="201" w:lineRule="exact"/>
              <w:rPr>
                <w:sz w:val="20"/>
                <w:szCs w:val="20"/>
                <w:color w:val="auto"/>
              </w:rPr>
            </w:pPr>
            <w:r>
              <w:rPr>
                <w:rFonts w:ascii="Arial" w:cs="Arial" w:eastAsia="Arial" w:hAnsi="Arial"/>
                <w:sz w:val="18"/>
                <w:szCs w:val="18"/>
                <w:color w:val="auto"/>
              </w:rPr>
              <w:t>Suite 337, Building 1, No. 738,</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Unlimited</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gridSpan w:val="2"/>
            <w:vMerge w:val="continue"/>
            <w:shd w:val="clear" w:color="auto" w:fill="CCEEFF"/>
          </w:tcPr>
          <w:p>
            <w:pPr>
              <w:spacing w:after="0"/>
              <w:rPr>
                <w:sz w:val="15"/>
                <w:szCs w:val="15"/>
                <w:color w:val="auto"/>
              </w:rPr>
            </w:pPr>
          </w:p>
        </w:tc>
        <w:tc>
          <w:tcPr>
            <w:tcW w:w="2580" w:type="dxa"/>
            <w:vAlign w:val="bottom"/>
            <w:tcBorders>
              <w:right w:val="single" w:sz="8" w:color="auto"/>
            </w:tcBorders>
            <w:gridSpan w:val="7"/>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Guangji Road, Hongkou District,</w:t>
            </w:r>
          </w:p>
        </w:tc>
        <w:tc>
          <w:tcPr>
            <w:tcW w:w="156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 million</w:t>
            </w:r>
          </w:p>
        </w:tc>
        <w:tc>
          <w:tcPr>
            <w:tcW w:w="15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4"/>
              </w:rPr>
              <w:t>GP</w:t>
            </w:r>
          </w:p>
        </w:tc>
        <w:tc>
          <w:tcPr>
            <w:tcW w:w="10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90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 Ltd.</w:t>
            </w:r>
          </w:p>
        </w:tc>
        <w:tc>
          <w:tcPr>
            <w:tcW w:w="160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Shanghai</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54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left w:val="single" w:sz="8" w:color="auto"/>
            </w:tcBorders>
          </w:tcPr>
          <w:p>
            <w:pPr>
              <w:ind w:left="120"/>
              <w:spacing w:after="0" w:line="201" w:lineRule="exact"/>
              <w:rPr>
                <w:sz w:val="20"/>
                <w:szCs w:val="20"/>
                <w:color w:val="auto"/>
              </w:rPr>
            </w:pPr>
            <w:r>
              <w:rPr>
                <w:rFonts w:ascii="Arial" w:cs="Arial" w:eastAsia="Arial" w:hAnsi="Arial"/>
                <w:sz w:val="18"/>
                <w:szCs w:val="18"/>
                <w:color w:val="auto"/>
                <w:w w:val="99"/>
              </w:rPr>
              <w:t>Shanghai</w:t>
            </w:r>
          </w:p>
        </w:tc>
        <w:tc>
          <w:tcPr>
            <w:tcW w:w="1600" w:type="dxa"/>
            <w:vAlign w:val="bottom"/>
            <w:tcBorders>
              <w:top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Sinyang</w:t>
            </w:r>
          </w:p>
        </w:tc>
        <w:tc>
          <w:tcPr>
            <w:tcW w:w="58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3600</w:t>
            </w:r>
          </w:p>
        </w:tc>
        <w:tc>
          <w:tcPr>
            <w:tcW w:w="6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Sixian</w:t>
            </w:r>
          </w:p>
        </w:tc>
        <w:tc>
          <w:tcPr>
            <w:tcW w:w="4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87"/>
              </w:rPr>
              <w:t>Road,</w:t>
            </w:r>
          </w:p>
        </w:tc>
        <w:tc>
          <w:tcPr>
            <w:tcW w:w="920" w:type="dxa"/>
            <w:vAlign w:val="bottom"/>
            <w:tcBorders>
              <w:top w:val="single" w:sz="8" w:color="auto"/>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Songjiang</w:t>
            </w:r>
          </w:p>
        </w:tc>
        <w:tc>
          <w:tcPr>
            <w:tcW w:w="15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gridSpan w:val="2"/>
          </w:tcPr>
          <w:p>
            <w:pPr>
              <w:ind w:left="120"/>
              <w:spacing w:after="0" w:line="176" w:lineRule="exact"/>
              <w:rPr>
                <w:sz w:val="20"/>
                <w:szCs w:val="20"/>
                <w:color w:val="auto"/>
              </w:rPr>
            </w:pPr>
            <w:r>
              <w:rPr>
                <w:rFonts w:ascii="Arial" w:cs="Arial" w:eastAsia="Arial" w:hAnsi="Arial"/>
                <w:sz w:val="18"/>
                <w:szCs w:val="18"/>
                <w:color w:val="auto"/>
                <w:w w:val="95"/>
              </w:rPr>
              <w:t>Semiconductor  Materials  Co.,</w:t>
            </w:r>
          </w:p>
        </w:tc>
        <w:tc>
          <w:tcPr>
            <w:tcW w:w="58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920" w:type="dxa"/>
            <w:vAlign w:val="bottom"/>
            <w:tcBorders>
              <w:right w:val="single" w:sz="8" w:color="auto"/>
            </w:tcBorders>
            <w:gridSpan w:val="2"/>
            <w:vMerge w:val="continue"/>
          </w:tcPr>
          <w:p>
            <w:pPr>
              <w:spacing w:after="0"/>
              <w:rPr>
                <w:sz w:val="15"/>
                <w:szCs w:val="15"/>
                <w:color w:val="auto"/>
              </w:rPr>
            </w:pP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300 million</w:t>
            </w:r>
          </w:p>
        </w:tc>
        <w:tc>
          <w:tcPr>
            <w:tcW w:w="15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Ltd</w:t>
            </w:r>
          </w:p>
        </w:tc>
        <w:tc>
          <w:tcPr>
            <w:tcW w:w="1600" w:type="dxa"/>
            <w:vAlign w:val="bottom"/>
            <w:tcBorders>
              <w:right w:val="single" w:sz="8" w:color="auto"/>
            </w:tcBorders>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8"/>
                <w:szCs w:val="18"/>
                <w:color w:val="auto"/>
                <w:w w:val="96"/>
              </w:rPr>
              <w:t>District, Shanghai</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vMerge w:val="continue"/>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w w:val="94"/>
              </w:rPr>
              <w:t>Advanced</w:t>
            </w:r>
          </w:p>
        </w:tc>
        <w:tc>
          <w:tcPr>
            <w:tcW w:w="1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Micro-Fabrication</w:t>
            </w:r>
          </w:p>
        </w:tc>
        <w:tc>
          <w:tcPr>
            <w:tcW w:w="2580" w:type="dxa"/>
            <w:vAlign w:val="bottom"/>
            <w:tcBorders>
              <w:right w:val="single" w:sz="8" w:color="auto"/>
            </w:tcBorders>
            <w:gridSpan w:val="7"/>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188 Taihua Road, Jinqiao Export</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tcBorders>
            <w:vMerge w:val="continue"/>
            <w:shd w:val="clear" w:color="auto" w:fill="CCEEFF"/>
          </w:tcPr>
          <w:p>
            <w:pPr>
              <w:spacing w:after="0"/>
              <w:rPr>
                <w:sz w:val="15"/>
                <w:szCs w:val="15"/>
                <w:color w:val="auto"/>
              </w:rPr>
            </w:pPr>
          </w:p>
        </w:tc>
        <w:tc>
          <w:tcPr>
            <w:tcW w:w="1600" w:type="dxa"/>
            <w:vAlign w:val="bottom"/>
            <w:tcBorders>
              <w:right w:val="single" w:sz="8" w:color="auto"/>
            </w:tcBorders>
            <w:vMerge w:val="continue"/>
            <w:shd w:val="clear" w:color="auto" w:fill="CCEEFF"/>
          </w:tcPr>
          <w:p>
            <w:pPr>
              <w:spacing w:after="0"/>
              <w:rPr>
                <w:sz w:val="15"/>
                <w:szCs w:val="15"/>
                <w:color w:val="auto"/>
              </w:rPr>
            </w:pPr>
          </w:p>
        </w:tc>
        <w:tc>
          <w:tcPr>
            <w:tcW w:w="8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85"/>
              </w:rPr>
              <w:t>Processing</w:t>
            </w:r>
          </w:p>
        </w:tc>
        <w:tc>
          <w:tcPr>
            <w:tcW w:w="60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Area</w:t>
            </w:r>
          </w:p>
        </w:tc>
        <w:tc>
          <w:tcPr>
            <w:tcW w:w="5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(South</w:t>
            </w:r>
          </w:p>
        </w:tc>
        <w:tc>
          <w:tcPr>
            <w:tcW w:w="560" w:type="dxa"/>
            <w:vAlign w:val="bottom"/>
            <w:tcBorders>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Area),</w:t>
            </w:r>
          </w:p>
        </w:tc>
        <w:tc>
          <w:tcPr>
            <w:tcW w:w="156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300 million</w:t>
            </w:r>
          </w:p>
        </w:tc>
        <w:tc>
          <w:tcPr>
            <w:tcW w:w="15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00" w:type="dxa"/>
            <w:vAlign w:val="bottom"/>
            <w:tcBorders>
              <w:left w:val="single" w:sz="8" w:color="auto"/>
              <w:bottom w:val="single" w:sz="8" w:color="CCEEFF"/>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Equipment Inc. China</w:t>
            </w:r>
          </w:p>
        </w:tc>
        <w:tc>
          <w:tcPr>
            <w:tcW w:w="2580" w:type="dxa"/>
            <w:vAlign w:val="bottom"/>
            <w:tcBorders>
              <w:bottom w:val="single" w:sz="8" w:color="CCEEFF"/>
              <w:right w:val="single" w:sz="8" w:color="auto"/>
            </w:tcBorders>
            <w:gridSpan w:val="7"/>
            <w:shd w:val="clear" w:color="auto" w:fill="CCEEFF"/>
          </w:tcPr>
          <w:p>
            <w:pPr>
              <w:ind w:left="80"/>
              <w:spacing w:after="0"/>
              <w:rPr>
                <w:sz w:val="20"/>
                <w:szCs w:val="20"/>
                <w:color w:val="auto"/>
              </w:rPr>
            </w:pPr>
            <w:r>
              <w:rPr>
                <w:rFonts w:ascii="Arial" w:cs="Arial" w:eastAsia="Arial" w:hAnsi="Arial"/>
                <w:sz w:val="18"/>
                <w:szCs w:val="18"/>
                <w:color w:val="auto"/>
                <w:w w:val="98"/>
              </w:rPr>
              <w:t>Pudong New District, Shanghai</w:t>
            </w: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54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lef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2580" w:type="dxa"/>
            <w:vAlign w:val="bottom"/>
            <w:tcBorders>
              <w:top w:val="single" w:sz="8" w:color="auto"/>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w w:val="91"/>
              </w:rPr>
              <w:t>Buildings 1-4 and 6-19, No. 1000,</w:t>
            </w:r>
          </w:p>
        </w:tc>
        <w:tc>
          <w:tcPr>
            <w:tcW w:w="15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Zing</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Semiconductor</w:t>
            </w:r>
          </w:p>
        </w:tc>
        <w:tc>
          <w:tcPr>
            <w:tcW w:w="258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5"/>
              </w:rPr>
              <w:t>Yunshui Road, Lin-gang Special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200 million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Corporation</w:t>
            </w:r>
          </w:p>
        </w:tc>
        <w:tc>
          <w:tcPr>
            <w:tcW w:w="258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8"/>
                <w:szCs w:val="18"/>
                <w:color w:val="auto"/>
                <w:w w:val="91"/>
              </w:rPr>
              <w:t>Area, China (Shanghai) Pilot Free</w:t>
            </w:r>
          </w:p>
        </w:tc>
        <w:tc>
          <w:tcPr>
            <w:tcW w:w="15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gridSpan w:val="2"/>
            <w:vMerge w:val="continue"/>
          </w:tcPr>
          <w:p>
            <w:pPr>
              <w:spacing w:after="0"/>
              <w:rPr>
                <w:sz w:val="8"/>
                <w:szCs w:val="8"/>
                <w:color w:val="auto"/>
              </w:rPr>
            </w:pPr>
          </w:p>
        </w:tc>
        <w:tc>
          <w:tcPr>
            <w:tcW w:w="2580" w:type="dxa"/>
            <w:vAlign w:val="bottom"/>
            <w:tcBorders>
              <w:right w:val="single" w:sz="8" w:color="auto"/>
            </w:tcBorders>
            <w:gridSpan w:val="7"/>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Trade Zone</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4"/>
              </w:rPr>
              <w:t>Montage-Tech Investment Co.,</w:t>
            </w:r>
          </w:p>
        </w:tc>
        <w:tc>
          <w:tcPr>
            <w:tcW w:w="2580" w:type="dxa"/>
            <w:vAlign w:val="bottom"/>
            <w:tcBorders>
              <w:right w:val="single" w:sz="8" w:color="auto"/>
            </w:tcBorders>
            <w:gridSpan w:val="7"/>
            <w:shd w:val="clear" w:color="auto" w:fill="CCEEFF"/>
          </w:tcPr>
          <w:p>
            <w:pPr>
              <w:ind w:left="80"/>
              <w:spacing w:after="0" w:line="201" w:lineRule="exact"/>
              <w:rPr>
                <w:sz w:val="20"/>
                <w:szCs w:val="20"/>
                <w:color w:val="auto"/>
              </w:rPr>
            </w:pPr>
            <w:r>
              <w:rPr>
                <w:rFonts w:ascii="Arial" w:cs="Arial" w:eastAsia="Arial" w:hAnsi="Arial"/>
                <w:sz w:val="18"/>
                <w:szCs w:val="18"/>
                <w:color w:val="auto"/>
                <w:w w:val="97"/>
              </w:rPr>
              <w:t>Suite A7-1, Building 1, No. 900,</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gridSpan w:val="2"/>
            <w:vMerge w:val="continue"/>
            <w:shd w:val="clear" w:color="auto" w:fill="CCEEFF"/>
          </w:tcPr>
          <w:p>
            <w:pPr>
              <w:spacing w:after="0"/>
              <w:rPr>
                <w:sz w:val="15"/>
                <w:szCs w:val="15"/>
                <w:color w:val="auto"/>
              </w:rPr>
            </w:pPr>
          </w:p>
        </w:tc>
        <w:tc>
          <w:tcPr>
            <w:tcW w:w="5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87"/>
              </w:rPr>
              <w:t>Yishan</w:t>
            </w:r>
          </w:p>
        </w:tc>
        <w:tc>
          <w:tcPr>
            <w:tcW w:w="6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Road,</w:t>
            </w:r>
          </w:p>
        </w:tc>
        <w:tc>
          <w:tcPr>
            <w:tcW w:w="1380" w:type="dxa"/>
            <w:vAlign w:val="bottom"/>
            <w:tcBorders>
              <w:right w:val="single" w:sz="8" w:color="auto"/>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Xuhui  District,</w:t>
            </w:r>
          </w:p>
        </w:tc>
        <w:tc>
          <w:tcPr>
            <w:tcW w:w="156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200 million</w:t>
            </w:r>
          </w:p>
        </w:tc>
        <w:tc>
          <w:tcPr>
            <w:tcW w:w="15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900" w:type="dxa"/>
            <w:vAlign w:val="bottom"/>
            <w:tcBorders>
              <w:left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Ltd.</w:t>
            </w:r>
          </w:p>
        </w:tc>
        <w:tc>
          <w:tcPr>
            <w:tcW w:w="1600" w:type="dxa"/>
            <w:vAlign w:val="bottom"/>
            <w:tcBorders>
              <w:bottom w:val="single" w:sz="8" w:color="CCEEFF"/>
              <w:right w:val="single" w:sz="8" w:color="auto"/>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Shanghai</w:t>
            </w:r>
          </w:p>
        </w:tc>
        <w:tc>
          <w:tcPr>
            <w:tcW w:w="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54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2"/>
        </w:trPr>
        <w:tc>
          <w:tcPr>
            <w:tcW w:w="90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color w:val="auto"/>
              </w:rPr>
              <w:t>Tianjin</w:t>
            </w:r>
          </w:p>
        </w:tc>
        <w:tc>
          <w:tcPr>
            <w:tcW w:w="16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Zhonghuan</w:t>
            </w:r>
          </w:p>
        </w:tc>
        <w:tc>
          <w:tcPr>
            <w:tcW w:w="2580" w:type="dxa"/>
            <w:vAlign w:val="bottom"/>
            <w:tcBorders>
              <w:top w:val="single" w:sz="8" w:color="auto"/>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w w:val="93"/>
              </w:rPr>
              <w:t>12  Haitai  East  Road,  Huayuan</w:t>
            </w:r>
          </w:p>
        </w:tc>
        <w:tc>
          <w:tcPr>
            <w:tcW w:w="15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54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86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Industrial</w:t>
            </w:r>
          </w:p>
        </w:tc>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w w:val="96"/>
              </w:rPr>
              <w:t>Zone (Out</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the</w:t>
            </w:r>
          </w:p>
        </w:tc>
        <w:tc>
          <w:tcPr>
            <w:tcW w:w="56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Ring),</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7"/>
              </w:rPr>
              <w:t>200 million</w:t>
            </w:r>
          </w:p>
        </w:tc>
        <w:tc>
          <w:tcPr>
            <w:tcW w:w="15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Semiconductor Co., Ltd</w:t>
            </w:r>
          </w:p>
        </w:tc>
        <w:tc>
          <w:tcPr>
            <w:tcW w:w="258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8"/>
                <w:szCs w:val="18"/>
                <w:color w:val="auto"/>
                <w:w w:val="94"/>
              </w:rPr>
              <w:t>High-tech Industrial Park, Tianjin</w:t>
            </w:r>
          </w:p>
        </w:tc>
        <w:tc>
          <w:tcPr>
            <w:tcW w:w="15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gridSpan w:val="7"/>
            <w:vMerge w:val="continue"/>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shd w:val="clear" w:color="auto" w:fill="CCEEFF"/>
          </w:tcPr>
          <w:p>
            <w:pPr>
              <w:spacing w:after="0"/>
              <w:rPr>
                <w:sz w:val="17"/>
                <w:szCs w:val="17"/>
                <w:color w:val="auto"/>
              </w:rPr>
            </w:pPr>
          </w:p>
        </w:tc>
        <w:tc>
          <w:tcPr>
            <w:tcW w:w="1600" w:type="dxa"/>
            <w:vAlign w:val="bottom"/>
            <w:tcBorders>
              <w:right w:val="single" w:sz="8" w:color="auto"/>
            </w:tcBorders>
            <w:shd w:val="clear" w:color="auto" w:fill="CCEEFF"/>
          </w:tcPr>
          <w:p>
            <w:pPr>
              <w:spacing w:after="0"/>
              <w:rPr>
                <w:sz w:val="17"/>
                <w:szCs w:val="17"/>
                <w:color w:val="auto"/>
              </w:rPr>
            </w:pPr>
          </w:p>
        </w:tc>
        <w:tc>
          <w:tcPr>
            <w:tcW w:w="12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7/F, Block C,</w:t>
            </w:r>
          </w:p>
        </w:tc>
        <w:tc>
          <w:tcPr>
            <w:tcW w:w="820" w:type="dxa"/>
            <w:vAlign w:val="bottom"/>
            <w:gridSpan w:val="3"/>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Building</w:t>
            </w:r>
          </w:p>
        </w:tc>
        <w:tc>
          <w:tcPr>
            <w:tcW w:w="5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 No.</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Will Semiconductor Co., Ltd.</w:t>
            </w:r>
          </w:p>
        </w:tc>
        <w:tc>
          <w:tcPr>
            <w:tcW w:w="5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3000,</w:t>
            </w:r>
          </w:p>
        </w:tc>
        <w:tc>
          <w:tcPr>
            <w:tcW w:w="144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Longdong Avenue,</w:t>
            </w:r>
          </w:p>
        </w:tc>
        <w:tc>
          <w:tcPr>
            <w:tcW w:w="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200 million</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440" w:type="dxa"/>
            <w:vAlign w:val="bottom"/>
            <w:gridSpan w:val="5"/>
            <w:vMerge w:val="continue"/>
            <w:shd w:val="clear" w:color="auto" w:fill="CCEEFF"/>
          </w:tcPr>
          <w:p>
            <w:pPr>
              <w:spacing w:after="0"/>
              <w:rPr>
                <w:sz w:val="9"/>
                <w:szCs w:val="9"/>
                <w:color w:val="auto"/>
              </w:rPr>
            </w:pPr>
          </w:p>
        </w:tc>
        <w:tc>
          <w:tcPr>
            <w:tcW w:w="56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5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22"/>
        </w:trPr>
        <w:tc>
          <w:tcPr>
            <w:tcW w:w="900" w:type="dxa"/>
            <w:vAlign w:val="bottom"/>
            <w:tcBorders>
              <w:left w:val="single" w:sz="8" w:color="auto"/>
            </w:tcBorders>
            <w:shd w:val="clear" w:color="auto" w:fill="CCEEFF"/>
          </w:tcPr>
          <w:p>
            <w:pPr>
              <w:spacing w:after="0"/>
              <w:rPr>
                <w:sz w:val="10"/>
                <w:szCs w:val="10"/>
                <w:color w:val="auto"/>
              </w:rPr>
            </w:pPr>
          </w:p>
        </w:tc>
        <w:tc>
          <w:tcPr>
            <w:tcW w:w="1600" w:type="dxa"/>
            <w:vAlign w:val="bottom"/>
            <w:tcBorders>
              <w:right w:val="single" w:sz="8" w:color="auto"/>
            </w:tcBorders>
            <w:shd w:val="clear" w:color="auto" w:fill="CCEEFF"/>
          </w:tcPr>
          <w:p>
            <w:pPr>
              <w:spacing w:after="0"/>
              <w:rPr>
                <w:sz w:val="10"/>
                <w:szCs w:val="10"/>
                <w:color w:val="auto"/>
              </w:rPr>
            </w:pPr>
          </w:p>
        </w:tc>
        <w:tc>
          <w:tcPr>
            <w:tcW w:w="2580" w:type="dxa"/>
            <w:vAlign w:val="bottom"/>
            <w:tcBorders>
              <w:right w:val="single" w:sz="8" w:color="auto"/>
            </w:tcBorders>
            <w:gridSpan w:val="7"/>
            <w:vMerge w:val="restart"/>
            <w:shd w:val="clear" w:color="auto" w:fill="CCEEFF"/>
          </w:tcPr>
          <w:p>
            <w:pPr>
              <w:ind w:left="80"/>
              <w:spacing w:after="0"/>
              <w:rPr>
                <w:sz w:val="20"/>
                <w:szCs w:val="20"/>
                <w:color w:val="auto"/>
              </w:rPr>
            </w:pPr>
            <w:r>
              <w:rPr>
                <w:rFonts w:ascii="Arial" w:cs="Arial" w:eastAsia="Arial" w:hAnsi="Arial"/>
                <w:sz w:val="18"/>
                <w:szCs w:val="18"/>
                <w:color w:val="auto"/>
                <w:w w:val="91"/>
              </w:rPr>
              <w:t>(Shanghai) Pilot Free Trade Zone</w:t>
            </w:r>
          </w:p>
        </w:tc>
        <w:tc>
          <w:tcPr>
            <w:tcW w:w="156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5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tcBorders>
            <w:shd w:val="clear" w:color="auto" w:fill="CCEEFF"/>
          </w:tcPr>
          <w:p>
            <w:pPr>
              <w:spacing w:after="0"/>
              <w:rPr>
                <w:sz w:val="10"/>
                <w:szCs w:val="10"/>
                <w:color w:val="auto"/>
              </w:rPr>
            </w:pPr>
          </w:p>
        </w:tc>
        <w:tc>
          <w:tcPr>
            <w:tcW w:w="1600" w:type="dxa"/>
            <w:vAlign w:val="bottom"/>
            <w:tcBorders>
              <w:bottom w:val="single" w:sz="8" w:color="auto"/>
              <w:right w:val="single" w:sz="8" w:color="auto"/>
            </w:tcBorders>
            <w:shd w:val="clear" w:color="auto" w:fill="CCEEFF"/>
          </w:tcPr>
          <w:p>
            <w:pPr>
              <w:spacing w:after="0"/>
              <w:rPr>
                <w:sz w:val="10"/>
                <w:szCs w:val="10"/>
                <w:color w:val="auto"/>
              </w:rPr>
            </w:pPr>
          </w:p>
        </w:tc>
        <w:tc>
          <w:tcPr>
            <w:tcW w:w="2580" w:type="dxa"/>
            <w:vAlign w:val="bottom"/>
            <w:tcBorders>
              <w:bottom w:val="single" w:sz="8" w:color="auto"/>
              <w:right w:val="single" w:sz="8" w:color="auto"/>
            </w:tcBorders>
            <w:gridSpan w:val="7"/>
            <w:vMerge w:val="continue"/>
            <w:shd w:val="clear" w:color="auto" w:fill="CCEEFF"/>
          </w:tcPr>
          <w:p>
            <w:pPr>
              <w:spacing w:after="0"/>
              <w:rPr>
                <w:sz w:val="10"/>
                <w:szCs w:val="10"/>
                <w:color w:val="auto"/>
              </w:rPr>
            </w:pPr>
          </w:p>
        </w:tc>
        <w:tc>
          <w:tcPr>
            <w:tcW w:w="156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3"/>
              </w:rPr>
              <w:t>Shenzhen</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Goodix  Technology</w:t>
            </w:r>
          </w:p>
        </w:tc>
        <w:tc>
          <w:tcPr>
            <w:tcW w:w="2580" w:type="dxa"/>
            <w:vAlign w:val="bottom"/>
            <w:tcBorders>
              <w:right w:val="single" w:sz="8" w:color="auto"/>
            </w:tcBorders>
            <w:gridSpan w:val="7"/>
          </w:tcPr>
          <w:p>
            <w:pPr>
              <w:ind w:left="80"/>
              <w:spacing w:after="0"/>
              <w:rPr>
                <w:sz w:val="20"/>
                <w:szCs w:val="20"/>
                <w:color w:val="auto"/>
              </w:rPr>
            </w:pPr>
            <w:r>
              <w:rPr>
                <w:rFonts w:ascii="Arial" w:cs="Arial" w:eastAsia="Arial" w:hAnsi="Arial"/>
                <w:sz w:val="18"/>
                <w:szCs w:val="18"/>
                <w:color w:val="auto"/>
                <w:w w:val="96"/>
              </w:rPr>
              <w:t>13/F, Block B, Tengfei Industrial</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200 million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48"/>
        </w:trPr>
        <w:tc>
          <w:tcPr>
            <w:tcW w:w="9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Co., Ltd.</w:t>
            </w:r>
          </w:p>
        </w:tc>
        <w:tc>
          <w:tcPr>
            <w:tcW w:w="1600" w:type="dxa"/>
            <w:vAlign w:val="bottom"/>
            <w:tcBorders>
              <w:right w:val="single" w:sz="8" w:color="auto"/>
            </w:tcBorders>
          </w:tcPr>
          <w:p>
            <w:pPr>
              <w:spacing w:after="0"/>
              <w:rPr>
                <w:sz w:val="12"/>
                <w:szCs w:val="12"/>
                <w:color w:val="auto"/>
              </w:rPr>
            </w:pPr>
          </w:p>
        </w:tc>
        <w:tc>
          <w:tcPr>
            <w:tcW w:w="860" w:type="dxa"/>
            <w:vAlign w:val="bottom"/>
            <w:gridSpan w:val="2"/>
          </w:tcPr>
          <w:p>
            <w:pPr>
              <w:ind w:left="80"/>
              <w:spacing w:after="0" w:line="148" w:lineRule="exact"/>
              <w:rPr>
                <w:sz w:val="20"/>
                <w:szCs w:val="20"/>
                <w:color w:val="auto"/>
              </w:rPr>
            </w:pPr>
            <w:r>
              <w:rPr>
                <w:rFonts w:ascii="Arial" w:cs="Arial" w:eastAsia="Arial" w:hAnsi="Arial"/>
                <w:sz w:val="17"/>
                <w:szCs w:val="17"/>
                <w:color w:val="auto"/>
              </w:rPr>
              <w:t>Building,</w:t>
            </w:r>
          </w:p>
        </w:tc>
        <w:tc>
          <w:tcPr>
            <w:tcW w:w="600" w:type="dxa"/>
            <w:vAlign w:val="bottom"/>
            <w:gridSpan w:val="2"/>
          </w:tcPr>
          <w:p>
            <w:pPr>
              <w:ind w:left="20"/>
              <w:spacing w:after="0" w:line="148" w:lineRule="exact"/>
              <w:rPr>
                <w:sz w:val="20"/>
                <w:szCs w:val="20"/>
                <w:color w:val="auto"/>
              </w:rPr>
            </w:pPr>
            <w:r>
              <w:rPr>
                <w:rFonts w:ascii="Arial" w:cs="Arial" w:eastAsia="Arial" w:hAnsi="Arial"/>
                <w:sz w:val="17"/>
                <w:szCs w:val="17"/>
                <w:color w:val="auto"/>
                <w:w w:val="95"/>
              </w:rPr>
              <w:t>Bonded</w:t>
            </w:r>
          </w:p>
        </w:tc>
        <w:tc>
          <w:tcPr>
            <w:tcW w:w="560" w:type="dxa"/>
            <w:vAlign w:val="bottom"/>
            <w:gridSpan w:val="2"/>
          </w:tcPr>
          <w:p>
            <w:pPr>
              <w:jc w:val="right"/>
              <w:spacing w:after="0" w:line="148" w:lineRule="exact"/>
              <w:rPr>
                <w:sz w:val="20"/>
                <w:szCs w:val="20"/>
                <w:color w:val="auto"/>
              </w:rPr>
            </w:pPr>
            <w:r>
              <w:rPr>
                <w:rFonts w:ascii="Arial" w:cs="Arial" w:eastAsia="Arial" w:hAnsi="Arial"/>
                <w:sz w:val="17"/>
                <w:szCs w:val="17"/>
                <w:color w:val="auto"/>
              </w:rPr>
              <w:t>Area,</w:t>
            </w:r>
          </w:p>
        </w:tc>
        <w:tc>
          <w:tcPr>
            <w:tcW w:w="56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7"/>
                <w:szCs w:val="17"/>
                <w:color w:val="auto"/>
              </w:rPr>
              <w:t>Futian</w:t>
            </w:r>
          </w:p>
        </w:tc>
        <w:tc>
          <w:tcPr>
            <w:tcW w:w="156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22"/>
        </w:trPr>
        <w:tc>
          <w:tcPr>
            <w:tcW w:w="900" w:type="dxa"/>
            <w:vAlign w:val="bottom"/>
            <w:tcBorders>
              <w:left w:val="single" w:sz="8" w:color="auto"/>
            </w:tcBorders>
            <w:vMerge w:val="continue"/>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8"/>
                <w:szCs w:val="18"/>
                <w:color w:val="auto"/>
                <w:w w:val="93"/>
              </w:rPr>
              <w:t>District, Shenzhen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tcBorders>
            <w:gridSpan w:val="4"/>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Giantec</w:t>
            </w:r>
          </w:p>
        </w:tc>
        <w:tc>
          <w:tcPr>
            <w:tcW w:w="1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Semiconductor</w:t>
            </w:r>
          </w:p>
        </w:tc>
        <w:tc>
          <w:tcPr>
            <w:tcW w:w="2580" w:type="dxa"/>
            <w:vAlign w:val="bottom"/>
            <w:tcBorders>
              <w:right w:val="single" w:sz="8" w:color="auto"/>
            </w:tcBorders>
            <w:gridSpan w:val="7"/>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No. 12, Lane 647, Songtao Road,</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Limited</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tcBorders>
            <w:vMerge w:val="continue"/>
            <w:shd w:val="clear" w:color="auto" w:fill="CCEEFF"/>
          </w:tcPr>
          <w:p>
            <w:pPr>
              <w:spacing w:after="0"/>
              <w:rPr>
                <w:sz w:val="15"/>
                <w:szCs w:val="15"/>
                <w:color w:val="auto"/>
              </w:rPr>
            </w:pPr>
          </w:p>
        </w:tc>
        <w:tc>
          <w:tcPr>
            <w:tcW w:w="1600" w:type="dxa"/>
            <w:vAlign w:val="bottom"/>
            <w:tcBorders>
              <w:right w:val="single" w:sz="8" w:color="auto"/>
            </w:tcBorders>
            <w:vMerge w:val="continue"/>
            <w:shd w:val="clear" w:color="auto" w:fill="CCEEFF"/>
          </w:tcPr>
          <w:p>
            <w:pPr>
              <w:spacing w:after="0"/>
              <w:rPr>
                <w:sz w:val="15"/>
                <w:szCs w:val="15"/>
                <w:color w:val="auto"/>
              </w:rPr>
            </w:pPr>
          </w:p>
        </w:tc>
        <w:tc>
          <w:tcPr>
            <w:tcW w:w="5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China</w:t>
            </w:r>
          </w:p>
        </w:tc>
        <w:tc>
          <w:tcPr>
            <w:tcW w:w="108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(Shanghai)</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6"/>
              </w:rPr>
              <w:t>Pilot</w:t>
            </w:r>
          </w:p>
        </w:tc>
        <w:tc>
          <w:tcPr>
            <w:tcW w:w="560" w:type="dxa"/>
            <w:vAlign w:val="bottom"/>
            <w:tcBorders>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Free</w:t>
            </w:r>
          </w:p>
        </w:tc>
        <w:tc>
          <w:tcPr>
            <w:tcW w:w="156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500" w:type="dxa"/>
            <w:vAlign w:val="bottom"/>
            <w:tcBorders>
              <w:left w:val="single" w:sz="8" w:color="auto"/>
              <w:bottom w:val="single" w:sz="8" w:color="CCEEFF"/>
              <w:right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Corporation</w:t>
            </w:r>
          </w:p>
        </w:tc>
        <w:tc>
          <w:tcPr>
            <w:tcW w:w="12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Trade Zone</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shd w:val="clear" w:color="auto" w:fill="CCEEFF"/>
          </w:tcPr>
          <w:p>
            <w:pPr>
              <w:spacing w:after="0"/>
              <w:rPr>
                <w:sz w:val="24"/>
                <w:szCs w:val="24"/>
                <w:color w:val="auto"/>
              </w:rPr>
            </w:pPr>
          </w:p>
        </w:tc>
        <w:tc>
          <w:tcPr>
            <w:tcW w:w="156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54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425"/>
        </w:trPr>
        <w:tc>
          <w:tcPr>
            <w:tcW w:w="9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00" w:type="dxa"/>
            <w:vAlign w:val="bottom"/>
            <w:tcBorders>
              <w:top w:val="single" w:sz="8" w:color="auto"/>
              <w:left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Subscribed</w:t>
            </w:r>
          </w:p>
        </w:tc>
        <w:tc>
          <w:tcPr>
            <w:tcW w:w="154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gridSpan w:val="2"/>
            <w:vMerge w:val="restart"/>
          </w:tcPr>
          <w:p>
            <w:pPr>
              <w:ind w:left="700"/>
              <w:spacing w:after="0"/>
              <w:rPr>
                <w:sz w:val="20"/>
                <w:szCs w:val="20"/>
                <w:color w:val="auto"/>
              </w:rPr>
            </w:pPr>
            <w:r>
              <w:rPr>
                <w:rFonts w:ascii="Arial" w:cs="Arial" w:eastAsia="Arial" w:hAnsi="Arial"/>
                <w:sz w:val="18"/>
                <w:szCs w:val="18"/>
                <w:color w:val="auto"/>
              </w:rPr>
              <w:t>Name of Partner</w:t>
            </w:r>
          </w:p>
        </w:tc>
        <w:tc>
          <w:tcPr>
            <w:tcW w:w="2580" w:type="dxa"/>
            <w:vAlign w:val="bottom"/>
            <w:tcBorders>
              <w:right w:val="single" w:sz="8" w:color="auto"/>
            </w:tcBorders>
            <w:gridSpan w:val="9"/>
            <w:vMerge w:val="restart"/>
          </w:tcPr>
          <w:p>
            <w:pPr>
              <w:ind w:left="240"/>
              <w:spacing w:after="0"/>
              <w:rPr>
                <w:sz w:val="20"/>
                <w:szCs w:val="20"/>
                <w:color w:val="auto"/>
              </w:rPr>
            </w:pPr>
            <w:r>
              <w:rPr>
                <w:rFonts w:ascii="Arial" w:cs="Arial" w:eastAsia="Arial" w:hAnsi="Arial"/>
                <w:sz w:val="18"/>
                <w:szCs w:val="18"/>
                <w:color w:val="auto"/>
                <w:w w:val="98"/>
              </w:rPr>
              <w:t>Domicile or place of business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Unified social credit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Legal representative</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Partner type</w:t>
            </w: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Form of</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gridSpan w:val="2"/>
            <w:vMerge w:val="continue"/>
          </w:tcPr>
          <w:p>
            <w:pPr>
              <w:spacing w:after="0"/>
              <w:rPr>
                <w:sz w:val="18"/>
                <w:szCs w:val="18"/>
                <w:color w:val="auto"/>
              </w:rPr>
            </w:pPr>
          </w:p>
        </w:tc>
        <w:tc>
          <w:tcPr>
            <w:tcW w:w="2580" w:type="dxa"/>
            <w:vAlign w:val="bottom"/>
            <w:tcBorders>
              <w:right w:val="single" w:sz="8" w:color="auto"/>
            </w:tcBorders>
            <w:gridSpan w:val="9"/>
            <w:vMerge w:val="continue"/>
          </w:tcPr>
          <w:p>
            <w:pPr>
              <w:spacing w:after="0"/>
              <w:rPr>
                <w:sz w:val="18"/>
                <w:szCs w:val="18"/>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code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contribution</w:t>
            </w:r>
          </w:p>
        </w:tc>
        <w:tc>
          <w:tcPr>
            <w:tcW w:w="154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1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(RMB)</w:t>
            </w:r>
          </w:p>
        </w:tc>
        <w:tc>
          <w:tcPr>
            <w:tcW w:w="1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2580" w:type="dxa"/>
            <w:vAlign w:val="bottom"/>
            <w:tcBorders>
              <w:right w:val="single" w:sz="8" w:color="auto"/>
            </w:tcBorders>
            <w:gridSpan w:val="9"/>
            <w:shd w:val="clear" w:color="auto" w:fill="CCEEFF"/>
          </w:tcPr>
          <w:p>
            <w:pPr>
              <w:ind w:left="80"/>
              <w:spacing w:after="0" w:line="201" w:lineRule="exact"/>
              <w:rPr>
                <w:sz w:val="20"/>
                <w:szCs w:val="20"/>
                <w:color w:val="auto"/>
              </w:rPr>
            </w:pPr>
            <w:r>
              <w:rPr>
                <w:rFonts w:ascii="Arial" w:cs="Arial" w:eastAsia="Arial" w:hAnsi="Arial"/>
                <w:sz w:val="18"/>
                <w:szCs w:val="18"/>
                <w:color w:val="auto"/>
              </w:rPr>
              <w:t>Ground  Floor,  Building  T6-9,</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Anji</w:t>
            </w:r>
          </w:p>
        </w:tc>
        <w:tc>
          <w:tcPr>
            <w:tcW w:w="1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Microelectronics</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Jinqiao</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Export</w:t>
            </w:r>
          </w:p>
        </w:tc>
        <w:tc>
          <w:tcPr>
            <w:tcW w:w="8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85"/>
              </w:rPr>
              <w:t>Processing</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Area</w:t>
            </w:r>
          </w:p>
        </w:tc>
        <w:tc>
          <w:tcPr>
            <w:tcW w:w="156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Technology</w:t>
            </w:r>
          </w:p>
        </w:tc>
        <w:tc>
          <w:tcPr>
            <w:tcW w:w="1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(Shanghai)  Co.,</w:t>
            </w: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(South</w:t>
            </w:r>
          </w:p>
        </w:tc>
        <w:tc>
          <w:tcPr>
            <w:tcW w:w="58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Area),</w:t>
            </w:r>
          </w:p>
        </w:tc>
        <w:tc>
          <w:tcPr>
            <w:tcW w:w="5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5001</w:t>
            </w:r>
          </w:p>
        </w:tc>
        <w:tc>
          <w:tcPr>
            <w:tcW w:w="78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Huadong</w:t>
            </w: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tcBorders>
            <w:vMerge w:val="continue"/>
            <w:shd w:val="clear" w:color="auto" w:fill="CCEEFF"/>
          </w:tcPr>
          <w:p>
            <w:pPr>
              <w:spacing w:after="0"/>
              <w:rPr>
                <w:sz w:val="9"/>
                <w:szCs w:val="9"/>
                <w:color w:val="auto"/>
              </w:rPr>
            </w:pPr>
          </w:p>
        </w:tc>
        <w:tc>
          <w:tcPr>
            <w:tcW w:w="1500" w:type="dxa"/>
            <w:vAlign w:val="bottom"/>
            <w:tcBorders>
              <w:right w:val="single" w:sz="8" w:color="auto"/>
            </w:tcBorders>
            <w:vMerge w:val="continue"/>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780" w:type="dxa"/>
            <w:vAlign w:val="bottom"/>
            <w:tcBorders>
              <w:right w:val="single" w:sz="8" w:color="auto"/>
            </w:tcBorders>
            <w:gridSpan w:val="3"/>
            <w:vMerge w:val="continue"/>
            <w:shd w:val="clear" w:color="auto" w:fill="CCEEFF"/>
          </w:tcPr>
          <w:p>
            <w:pPr>
              <w:spacing w:after="0"/>
              <w:rPr>
                <w:sz w:val="9"/>
                <w:szCs w:val="9"/>
                <w:color w:val="auto"/>
              </w:rPr>
            </w:pPr>
          </w:p>
        </w:tc>
        <w:tc>
          <w:tcPr>
            <w:tcW w:w="156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5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Ltd.</w:t>
            </w:r>
          </w:p>
        </w:tc>
        <w:tc>
          <w:tcPr>
            <w:tcW w:w="1500" w:type="dxa"/>
            <w:vAlign w:val="bottom"/>
            <w:tcBorders>
              <w:right w:val="single" w:sz="8" w:color="auto"/>
            </w:tcBorders>
            <w:shd w:val="clear" w:color="auto" w:fill="CCEEFF"/>
          </w:tcPr>
          <w:p>
            <w:pPr>
              <w:spacing w:after="0"/>
              <w:rPr>
                <w:sz w:val="10"/>
                <w:szCs w:val="10"/>
                <w:color w:val="auto"/>
              </w:rPr>
            </w:pP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3"/>
              </w:rPr>
              <w:t>Road,</w:t>
            </w:r>
          </w:p>
        </w:tc>
        <w:tc>
          <w:tcPr>
            <w:tcW w:w="1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86"/>
              </w:rPr>
              <w:t>Pudong</w:t>
            </w:r>
          </w:p>
        </w:tc>
        <w:tc>
          <w:tcPr>
            <w:tcW w:w="1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New</w:t>
            </w:r>
          </w:p>
        </w:tc>
        <w:tc>
          <w:tcPr>
            <w:tcW w:w="14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District,</w:t>
            </w:r>
          </w:p>
        </w:tc>
        <w:tc>
          <w:tcPr>
            <w:tcW w:w="156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5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0" w:type="dxa"/>
            <w:vAlign w:val="bottom"/>
            <w:tcBorders>
              <w:left w:val="single" w:sz="8" w:color="auto"/>
            </w:tcBorders>
            <w:vMerge w:val="continue"/>
            <w:shd w:val="clear" w:color="auto" w:fill="CCEEFF"/>
          </w:tcPr>
          <w:p>
            <w:pPr>
              <w:spacing w:after="0"/>
              <w:rPr>
                <w:sz w:val="8"/>
                <w:szCs w:val="8"/>
                <w:color w:val="auto"/>
              </w:rPr>
            </w:pPr>
          </w:p>
        </w:tc>
        <w:tc>
          <w:tcPr>
            <w:tcW w:w="1500" w:type="dxa"/>
            <w:vAlign w:val="bottom"/>
            <w:tcBorders>
              <w:right w:val="single" w:sz="8" w:color="auto"/>
            </w:tcBorders>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tcBorders>
              <w:right w:val="single" w:sz="8" w:color="auto"/>
            </w:tcBorders>
            <w:gridSpan w:val="2"/>
            <w:vMerge w:val="continue"/>
            <w:shd w:val="clear" w:color="auto" w:fill="CCEEFF"/>
          </w:tcPr>
          <w:p>
            <w:pPr>
              <w:spacing w:after="0"/>
              <w:rPr>
                <w:sz w:val="8"/>
                <w:szCs w:val="8"/>
                <w:color w:val="auto"/>
              </w:rPr>
            </w:pPr>
          </w:p>
        </w:tc>
        <w:tc>
          <w:tcPr>
            <w:tcW w:w="156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154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10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bottom w:val="single" w:sz="8" w:color="auto"/>
            </w:tcBorders>
            <w:shd w:val="clear" w:color="auto" w:fill="CCEEFF"/>
          </w:tcPr>
          <w:p>
            <w:pPr>
              <w:spacing w:after="0"/>
              <w:rPr>
                <w:sz w:val="20"/>
                <w:szCs w:val="20"/>
                <w:color w:val="auto"/>
              </w:rPr>
            </w:pPr>
          </w:p>
        </w:tc>
        <w:tc>
          <w:tcPr>
            <w:tcW w:w="150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4"/>
              </w:rPr>
              <w:t>Shanghai</w:t>
            </w:r>
          </w:p>
        </w:tc>
        <w:tc>
          <w:tcPr>
            <w:tcW w:w="4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500" w:type="dxa"/>
            <w:vAlign w:val="bottom"/>
          </w:tcPr>
          <w:p>
            <w:pPr>
              <w:ind w:left="80"/>
              <w:spacing w:after="0" w:line="201" w:lineRule="exact"/>
              <w:rPr>
                <w:sz w:val="20"/>
                <w:szCs w:val="20"/>
                <w:color w:val="auto"/>
              </w:rPr>
            </w:pPr>
            <w:r>
              <w:rPr>
                <w:rFonts w:ascii="Arial" w:cs="Arial" w:eastAsia="Arial" w:hAnsi="Arial"/>
                <w:sz w:val="18"/>
                <w:szCs w:val="18"/>
                <w:color w:val="auto"/>
              </w:rPr>
              <w:t>No.</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7"/>
                <w:szCs w:val="17"/>
                <w:color w:val="auto"/>
              </w:rPr>
            </w:pPr>
          </w:p>
        </w:tc>
        <w:tc>
          <w:tcPr>
            <w:tcW w:w="980" w:type="dxa"/>
            <w:vAlign w:val="bottom"/>
            <w:gridSpan w:val="3"/>
          </w:tcPr>
          <w:p>
            <w:pPr>
              <w:spacing w:after="0" w:line="201" w:lineRule="exact"/>
              <w:rPr>
                <w:sz w:val="20"/>
                <w:szCs w:val="20"/>
                <w:color w:val="auto"/>
              </w:rPr>
            </w:pPr>
            <w:r>
              <w:rPr>
                <w:rFonts w:ascii="Arial" w:cs="Arial" w:eastAsia="Arial" w:hAnsi="Arial"/>
                <w:sz w:val="18"/>
                <w:szCs w:val="18"/>
                <w:color w:val="auto"/>
              </w:rPr>
              <w:t>Technology</w:t>
            </w:r>
          </w:p>
        </w:tc>
        <w:tc>
          <w:tcPr>
            <w:tcW w:w="780" w:type="dxa"/>
            <w:vAlign w:val="bottom"/>
            <w:tcBorders>
              <w:right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Road  2,</w:t>
            </w:r>
          </w:p>
        </w:tc>
        <w:tc>
          <w:tcPr>
            <w:tcW w:w="15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w w:val="95"/>
              </w:rPr>
              <w:t>Allwinner Technology Co., Ltd.</w:t>
            </w:r>
          </w:p>
        </w:tc>
        <w:tc>
          <w:tcPr>
            <w:tcW w:w="2580" w:type="dxa"/>
            <w:vAlign w:val="bottom"/>
            <w:tcBorders>
              <w:right w:val="single" w:sz="8" w:color="auto"/>
            </w:tcBorders>
            <w:gridSpan w:val="9"/>
            <w:vMerge w:val="restart"/>
          </w:tcPr>
          <w:p>
            <w:pPr>
              <w:ind w:left="80"/>
              <w:spacing w:after="0"/>
              <w:rPr>
                <w:sz w:val="20"/>
                <w:szCs w:val="20"/>
                <w:color w:val="auto"/>
              </w:rPr>
            </w:pPr>
            <w:r>
              <w:rPr>
                <w:rFonts w:ascii="Arial" w:cs="Arial" w:eastAsia="Arial" w:hAnsi="Arial"/>
                <w:sz w:val="18"/>
                <w:szCs w:val="18"/>
                <w:color w:val="auto"/>
                <w:w w:val="92"/>
              </w:rPr>
              <w:t>Tangjiawan Town, Hi-Tech Zone,</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continue"/>
          </w:tcPr>
          <w:p>
            <w:pPr>
              <w:spacing w:after="0"/>
              <w:rPr>
                <w:sz w:val="9"/>
                <w:szCs w:val="9"/>
                <w:color w:val="auto"/>
              </w:rPr>
            </w:pPr>
          </w:p>
        </w:tc>
        <w:tc>
          <w:tcPr>
            <w:tcW w:w="2580" w:type="dxa"/>
            <w:vAlign w:val="bottom"/>
            <w:tcBorders>
              <w:right w:val="single" w:sz="8" w:color="auto"/>
            </w:tcBorders>
            <w:gridSpan w:val="9"/>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color w:val="auto"/>
              </w:rPr>
              <w:t>Zhuhai</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Building</w:t>
            </w:r>
          </w:p>
        </w:tc>
        <w:tc>
          <w:tcPr>
            <w:tcW w:w="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4,  No.</w:t>
            </w:r>
          </w:p>
        </w:tc>
        <w:tc>
          <w:tcPr>
            <w:tcW w:w="5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88"/>
              </w:rPr>
              <w:t>1690,</w:t>
            </w:r>
          </w:p>
        </w:tc>
        <w:tc>
          <w:tcPr>
            <w:tcW w:w="640" w:type="dxa"/>
            <w:vAlign w:val="bottom"/>
            <w:tcBorders>
              <w:right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Cailun</w:t>
            </w:r>
          </w:p>
        </w:tc>
        <w:tc>
          <w:tcPr>
            <w:tcW w:w="156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ACM Research (Shanghai), Inc.</w:t>
            </w:r>
          </w:p>
        </w:tc>
        <w:tc>
          <w:tcPr>
            <w:tcW w:w="5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3"/>
              </w:rPr>
              <w:t>Road,</w:t>
            </w:r>
          </w:p>
        </w:tc>
        <w:tc>
          <w:tcPr>
            <w:tcW w:w="1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China</w:t>
            </w:r>
          </w:p>
        </w:tc>
        <w:tc>
          <w:tcPr>
            <w:tcW w:w="84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w w:val="90"/>
              </w:rPr>
              <w:t>(Shanghai)</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Pilot</w:t>
            </w: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HUI WANG</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gridSpan w:val="2"/>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840" w:type="dxa"/>
            <w:vAlign w:val="bottom"/>
            <w:gridSpan w:val="4"/>
            <w:vMerge w:val="continue"/>
            <w:shd w:val="clear" w:color="auto" w:fill="CCEEFF"/>
          </w:tcPr>
          <w:p>
            <w:pPr>
              <w:spacing w:after="0"/>
              <w:rPr>
                <w:sz w:val="9"/>
                <w:szCs w:val="9"/>
                <w:color w:val="auto"/>
              </w:rPr>
            </w:pPr>
          </w:p>
        </w:tc>
        <w:tc>
          <w:tcPr>
            <w:tcW w:w="500" w:type="dxa"/>
            <w:vAlign w:val="bottom"/>
            <w:tcBorders>
              <w:right w:val="single" w:sz="8" w:color="auto"/>
            </w:tcBorders>
            <w:vMerge w:val="continue"/>
            <w:shd w:val="clear" w:color="auto" w:fill="CCEEFF"/>
          </w:tcPr>
          <w:p>
            <w:pPr>
              <w:spacing w:after="0"/>
              <w:rPr>
                <w:sz w:val="9"/>
                <w:szCs w:val="9"/>
                <w:color w:val="auto"/>
              </w:rPr>
            </w:pPr>
          </w:p>
        </w:tc>
        <w:tc>
          <w:tcPr>
            <w:tcW w:w="156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54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continue"/>
            <w:shd w:val="clear" w:color="auto" w:fill="CCEEFF"/>
          </w:tcPr>
          <w:p>
            <w:pPr>
              <w:spacing w:after="0"/>
              <w:rPr>
                <w:sz w:val="9"/>
                <w:szCs w:val="9"/>
                <w:color w:val="auto"/>
              </w:rPr>
            </w:pPr>
          </w:p>
        </w:tc>
        <w:tc>
          <w:tcPr>
            <w:tcW w:w="102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tcBorders>
            <w:shd w:val="clear" w:color="auto" w:fill="CCEEFF"/>
          </w:tcPr>
          <w:p>
            <w:pPr>
              <w:spacing w:after="0"/>
              <w:rPr>
                <w:sz w:val="10"/>
                <w:szCs w:val="10"/>
                <w:color w:val="auto"/>
              </w:rPr>
            </w:pPr>
          </w:p>
        </w:tc>
        <w:tc>
          <w:tcPr>
            <w:tcW w:w="1500" w:type="dxa"/>
            <w:vAlign w:val="bottom"/>
            <w:tcBorders>
              <w:right w:val="single" w:sz="8" w:color="auto"/>
            </w:tcBorders>
            <w:shd w:val="clear" w:color="auto" w:fill="CCEEFF"/>
          </w:tcPr>
          <w:p>
            <w:pPr>
              <w:spacing w:after="0"/>
              <w:rPr>
                <w:sz w:val="10"/>
                <w:szCs w:val="10"/>
                <w:color w:val="auto"/>
              </w:rPr>
            </w:pPr>
          </w:p>
        </w:tc>
        <w:tc>
          <w:tcPr>
            <w:tcW w:w="1420" w:type="dxa"/>
            <w:vAlign w:val="bottom"/>
            <w:gridSpan w:val="5"/>
            <w:vMerge w:val="restart"/>
            <w:shd w:val="clear" w:color="auto" w:fill="CCEEFF"/>
          </w:tcPr>
          <w:p>
            <w:pPr>
              <w:ind w:left="80"/>
              <w:spacing w:after="0"/>
              <w:rPr>
                <w:sz w:val="20"/>
                <w:szCs w:val="20"/>
                <w:color w:val="auto"/>
              </w:rPr>
            </w:pPr>
            <w:r>
              <w:rPr>
                <w:rFonts w:ascii="Arial" w:cs="Arial" w:eastAsia="Arial" w:hAnsi="Arial"/>
                <w:sz w:val="18"/>
                <w:szCs w:val="18"/>
                <w:color w:val="auto"/>
                <w:w w:val="97"/>
              </w:rPr>
              <w:t>Free Trade Zone</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56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54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shd w:val="clear" w:color="auto" w:fill="CCEEFF"/>
          </w:tcPr>
          <w:p>
            <w:pPr>
              <w:spacing w:after="0"/>
              <w:rPr>
                <w:sz w:val="10"/>
                <w:szCs w:val="10"/>
                <w:color w:val="auto"/>
              </w:rPr>
            </w:pPr>
          </w:p>
        </w:tc>
        <w:tc>
          <w:tcPr>
            <w:tcW w:w="10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bottom w:val="single" w:sz="8" w:color="auto"/>
            </w:tcBorders>
            <w:shd w:val="clear" w:color="auto" w:fill="CCEEFF"/>
          </w:tcPr>
          <w:p>
            <w:pPr>
              <w:spacing w:after="0"/>
              <w:rPr>
                <w:sz w:val="10"/>
                <w:szCs w:val="10"/>
                <w:color w:val="auto"/>
              </w:rPr>
            </w:pPr>
          </w:p>
        </w:tc>
        <w:tc>
          <w:tcPr>
            <w:tcW w:w="1500" w:type="dxa"/>
            <w:vAlign w:val="bottom"/>
            <w:tcBorders>
              <w:bottom w:val="single" w:sz="8" w:color="auto"/>
              <w:right w:val="single" w:sz="8" w:color="auto"/>
            </w:tcBorders>
            <w:shd w:val="clear" w:color="auto" w:fill="CCEEFF"/>
          </w:tcPr>
          <w:p>
            <w:pPr>
              <w:spacing w:after="0"/>
              <w:rPr>
                <w:sz w:val="10"/>
                <w:szCs w:val="10"/>
                <w:color w:val="auto"/>
              </w:rPr>
            </w:pPr>
          </w:p>
        </w:tc>
        <w:tc>
          <w:tcPr>
            <w:tcW w:w="1420" w:type="dxa"/>
            <w:vAlign w:val="bottom"/>
            <w:tcBorders>
              <w:bottom w:val="single" w:sz="8" w:color="auto"/>
            </w:tcBorders>
            <w:gridSpan w:val="5"/>
            <w:vMerge w:val="continue"/>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right w:val="single" w:sz="8" w:color="auto"/>
            </w:tcBorders>
            <w:shd w:val="clear" w:color="auto" w:fill="CCEEFF"/>
          </w:tcPr>
          <w:p>
            <w:pPr>
              <w:spacing w:after="0"/>
              <w:rPr>
                <w:sz w:val="10"/>
                <w:szCs w:val="10"/>
                <w:color w:val="auto"/>
              </w:rPr>
            </w:pPr>
          </w:p>
        </w:tc>
        <w:tc>
          <w:tcPr>
            <w:tcW w:w="156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color w:val="auto"/>
              </w:rPr>
              <w:t>Shanghai</w:t>
            </w:r>
          </w:p>
        </w:tc>
        <w:tc>
          <w:tcPr>
            <w:tcW w:w="15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Laimu   Electronic</w:t>
            </w:r>
          </w:p>
        </w:tc>
        <w:tc>
          <w:tcPr>
            <w:tcW w:w="2580" w:type="dxa"/>
            <w:vAlign w:val="bottom"/>
            <w:tcBorders>
              <w:right w:val="single" w:sz="8" w:color="auto"/>
            </w:tcBorders>
            <w:gridSpan w:val="9"/>
          </w:tcPr>
          <w:p>
            <w:pPr>
              <w:ind w:left="80"/>
              <w:spacing w:after="0" w:line="201" w:lineRule="exact"/>
              <w:rPr>
                <w:sz w:val="20"/>
                <w:szCs w:val="20"/>
                <w:color w:val="auto"/>
              </w:rPr>
            </w:pPr>
            <w:r>
              <w:rPr>
                <w:rFonts w:ascii="Arial" w:cs="Arial" w:eastAsia="Arial" w:hAnsi="Arial"/>
                <w:sz w:val="18"/>
                <w:szCs w:val="18"/>
                <w:color w:val="auto"/>
                <w:w w:val="96"/>
              </w:rPr>
              <w:t>7319 Zhongchun Road, Minxing</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Limited by Share Ltd</w:t>
            </w:r>
          </w:p>
        </w:tc>
        <w:tc>
          <w:tcPr>
            <w:tcW w:w="1420" w:type="dxa"/>
            <w:vAlign w:val="bottom"/>
            <w:gridSpan w:val="5"/>
            <w:vMerge w:val="restart"/>
          </w:tcPr>
          <w:p>
            <w:pPr>
              <w:ind w:left="80"/>
              <w:spacing w:after="0"/>
              <w:rPr>
                <w:sz w:val="20"/>
                <w:szCs w:val="20"/>
                <w:color w:val="auto"/>
              </w:rPr>
            </w:pPr>
            <w:r>
              <w:rPr>
                <w:rFonts w:ascii="Arial" w:cs="Arial" w:eastAsia="Arial" w:hAnsi="Arial"/>
                <w:sz w:val="18"/>
                <w:szCs w:val="18"/>
                <w:color w:val="auto"/>
                <w:w w:val="93"/>
              </w:rPr>
              <w:t>District, Shanghai</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115"/>
        </w:trPr>
        <w:tc>
          <w:tcPr>
            <w:tcW w:w="2500" w:type="dxa"/>
            <w:vAlign w:val="bottom"/>
            <w:tcBorders>
              <w:left w:val="single" w:sz="8" w:color="auto"/>
              <w:bottom w:val="single" w:sz="8" w:color="auto"/>
              <w:right w:val="single" w:sz="8" w:color="auto"/>
            </w:tcBorders>
            <w:gridSpan w:val="2"/>
            <w:vMerge w:val="continue"/>
          </w:tcPr>
          <w:p>
            <w:pPr>
              <w:spacing w:after="0"/>
              <w:rPr>
                <w:sz w:val="10"/>
                <w:szCs w:val="10"/>
                <w:color w:val="auto"/>
              </w:rPr>
            </w:pPr>
          </w:p>
        </w:tc>
        <w:tc>
          <w:tcPr>
            <w:tcW w:w="142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500" w:type="dxa"/>
            <w:vAlign w:val="bottom"/>
            <w:tcBorders>
              <w:left w:val="single" w:sz="8" w:color="auto"/>
              <w:right w:val="single" w:sz="8" w:color="auto"/>
            </w:tcBorders>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1"/>
              </w:rPr>
              <w:t>PNC Process Systems Co., Ltd.</w:t>
            </w:r>
          </w:p>
        </w:tc>
        <w:tc>
          <w:tcPr>
            <w:tcW w:w="2580" w:type="dxa"/>
            <w:vAlign w:val="bottom"/>
            <w:tcBorders>
              <w:right w:val="single" w:sz="8" w:color="auto"/>
            </w:tcBorders>
            <w:gridSpan w:val="9"/>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170 Zihai Road, Minxing District,</w:t>
            </w:r>
          </w:p>
        </w:tc>
        <w:tc>
          <w:tcPr>
            <w:tcW w:w="1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shd w:val="clear" w:color="auto" w:fill="CCEEFF"/>
          </w:tcPr>
          <w:p>
            <w:pPr>
              <w:ind w:left="200"/>
              <w:spacing w:after="0" w:line="201" w:lineRule="exact"/>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37"/>
        </w:trPr>
        <w:tc>
          <w:tcPr>
            <w:tcW w:w="2500" w:type="dxa"/>
            <w:vAlign w:val="bottom"/>
            <w:tcBorders>
              <w:left w:val="single" w:sz="8" w:color="auto"/>
              <w:bottom w:val="single" w:sz="8" w:color="auto"/>
              <w:right w:val="single" w:sz="8" w:color="auto"/>
            </w:tcBorders>
            <w:gridSpan w:val="2"/>
            <w:vMerge w:val="continue"/>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w w:val="94"/>
              </w:rPr>
              <w:t>Shanghai</w:t>
            </w:r>
          </w:p>
        </w:tc>
        <w:tc>
          <w:tcPr>
            <w:tcW w:w="4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2580" w:type="dxa"/>
            <w:vAlign w:val="bottom"/>
            <w:tcBorders>
              <w:right w:val="single" w:sz="8" w:color="auto"/>
            </w:tcBorders>
            <w:gridSpan w:val="9"/>
          </w:tcPr>
          <w:p>
            <w:pPr>
              <w:ind w:left="80"/>
              <w:spacing w:after="0" w:line="201" w:lineRule="exact"/>
              <w:rPr>
                <w:sz w:val="20"/>
                <w:szCs w:val="20"/>
                <w:color w:val="auto"/>
              </w:rPr>
            </w:pPr>
            <w:r>
              <w:rPr>
                <w:rFonts w:ascii="Arial" w:cs="Arial" w:eastAsia="Arial" w:hAnsi="Arial"/>
                <w:sz w:val="18"/>
                <w:szCs w:val="18"/>
                <w:color w:val="auto"/>
                <w:w w:val="92"/>
              </w:rPr>
              <w:t>Anshan Road, Mingbang Science</w:t>
            </w:r>
          </w:p>
        </w:tc>
        <w:tc>
          <w:tcPr>
            <w:tcW w:w="15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Konfoong</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Materials</w:t>
            </w:r>
          </w:p>
        </w:tc>
        <w:tc>
          <w:tcPr>
            <w:tcW w:w="500" w:type="dxa"/>
            <w:vAlign w:val="bottom"/>
          </w:tcPr>
          <w:p>
            <w:pPr>
              <w:ind w:left="80"/>
              <w:spacing w:after="0"/>
              <w:rPr>
                <w:sz w:val="20"/>
                <w:szCs w:val="20"/>
                <w:color w:val="auto"/>
              </w:rPr>
            </w:pPr>
            <w:r>
              <w:rPr>
                <w:rFonts w:ascii="Arial" w:cs="Arial" w:eastAsia="Arial" w:hAnsi="Arial"/>
                <w:sz w:val="18"/>
                <w:szCs w:val="18"/>
                <w:color w:val="auto"/>
              </w:rPr>
              <w:t>and</w:t>
            </w: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2"/>
              </w:rPr>
              <w:t>Technology</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w w:val="90"/>
              </w:rPr>
              <w:t>Park,</w:t>
            </w: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6"/>
              </w:rPr>
              <w:t>Yuyao</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100 million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LP</w:t>
            </w:r>
          </w:p>
        </w:tc>
        <w:tc>
          <w:tcPr>
            <w:tcW w:w="10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International Co., Ltd</w:t>
            </w:r>
          </w:p>
        </w:tc>
        <w:tc>
          <w:tcPr>
            <w:tcW w:w="820" w:type="dxa"/>
            <w:vAlign w:val="bottom"/>
            <w:gridSpan w:val="3"/>
            <w:vMerge w:val="restart"/>
          </w:tcPr>
          <w:p>
            <w:pPr>
              <w:ind w:left="80"/>
              <w:spacing w:after="0"/>
              <w:rPr>
                <w:sz w:val="20"/>
                <w:szCs w:val="20"/>
                <w:color w:val="auto"/>
              </w:rPr>
            </w:pPr>
            <w:r>
              <w:rPr>
                <w:rFonts w:ascii="Arial" w:cs="Arial" w:eastAsia="Arial" w:hAnsi="Arial"/>
                <w:sz w:val="18"/>
                <w:szCs w:val="18"/>
                <w:color w:val="auto"/>
                <w:w w:val="91"/>
              </w:rPr>
              <w:t>Economic</w:t>
            </w:r>
          </w:p>
        </w:tc>
        <w:tc>
          <w:tcPr>
            <w:tcW w:w="1120" w:type="dxa"/>
            <w:vAlign w:val="bottom"/>
            <w:gridSpan w:val="4"/>
            <w:vMerge w:val="restart"/>
          </w:tcPr>
          <w:p>
            <w:pPr>
              <w:ind w:left="160"/>
              <w:spacing w:after="0"/>
              <w:rPr>
                <w:sz w:val="20"/>
                <w:szCs w:val="20"/>
                <w:color w:val="auto"/>
              </w:rPr>
            </w:pPr>
            <w:r>
              <w:rPr>
                <w:rFonts w:ascii="Arial" w:cs="Arial" w:eastAsia="Arial" w:hAnsi="Arial"/>
                <w:sz w:val="18"/>
                <w:szCs w:val="18"/>
                <w:color w:val="auto"/>
                <w:w w:val="88"/>
              </w:rPr>
              <w:t>Development</w:t>
            </w:r>
          </w:p>
        </w:tc>
        <w:tc>
          <w:tcPr>
            <w:tcW w:w="140" w:type="dxa"/>
            <w:vAlign w:val="bottom"/>
          </w:tcPr>
          <w:p>
            <w:pPr>
              <w:spacing w:after="0"/>
              <w:rPr>
                <w:sz w:val="10"/>
                <w:szCs w:val="10"/>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Zone,</w:t>
            </w:r>
          </w:p>
        </w:tc>
        <w:tc>
          <w:tcPr>
            <w:tcW w:w="15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1"/>
              </w:rPr>
              <w:t>Zhejiang Province</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China Fortune-Tech Capital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China Fortune-Tech Capital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Shanghai Sinyang Semiconductor Materials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Shanghai Sinyang Semiconductor Materials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Advanced Micro-Fabrication Equipment Inc. China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Advanced Micro-Fabrication Equipment Inc. China</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Zing Semiconductor Corporation (seal)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 xml:space="preserve">/s/ </w:t>
      </w:r>
      <w:r>
        <w:rPr>
          <w:rFonts w:ascii="Arial" w:cs="Arial" w:eastAsia="Arial" w:hAnsi="Arial"/>
          <w:sz w:val="22"/>
          <w:szCs w:val="22"/>
          <w:color w:val="auto"/>
        </w:rPr>
        <w:t>Zing Semiconductor Corporation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Montage-Tech Investment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Montage-Tech Investment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Tianjin Zhonghuan Semiconductor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Tianjin Zhonghuan Semiconductor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Will Semiconductor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Will Semiconductor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Legal representative (signature): [***]</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Shenzhen Goodix Technology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 Shenzhen Goodix Technology Co., Ltd. (seal)</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Giantec Semiconductor Corporation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Giantec Semiconductor Corporation</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Anji Microelectronics Technology (Shanghai)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Anji Microelectronics Technology (Shanghai)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Allwinner Technology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Allwinner Technology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Legal representative (signature): [***]</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ind w:left="360"/>
        <w:spacing w:after="0" w:line="238" w:lineRule="auto"/>
        <w:rPr>
          <w:sz w:val="20"/>
          <w:szCs w:val="20"/>
          <w:color w:val="auto"/>
        </w:rPr>
      </w:pPr>
      <w:r>
        <w:rPr>
          <w:rFonts w:ascii="Arial" w:cs="Arial" w:eastAsia="Arial" w:hAnsi="Arial"/>
          <w:sz w:val="22"/>
          <w:szCs w:val="22"/>
          <w:b w:val="1"/>
          <w:bCs w:val="1"/>
          <w:color w:val="auto"/>
        </w:rPr>
        <w:t xml:space="preserve">ACM Research (Shanghai), Inc. </w:t>
      </w:r>
      <w:r>
        <w:rPr>
          <w:rFonts w:ascii="Arial" w:cs="Arial" w:eastAsia="Arial" w:hAnsi="Arial"/>
          <w:sz w:val="22"/>
          <w:szCs w:val="22"/>
          <w:color w:val="auto"/>
        </w:rPr>
        <w:t>(seal)</w:t>
      </w:r>
    </w:p>
    <w:p>
      <w:pPr>
        <w:ind w:left="360"/>
        <w:spacing w:after="0"/>
        <w:rPr>
          <w:sz w:val="20"/>
          <w:szCs w:val="20"/>
          <w:color w:val="auto"/>
        </w:rPr>
      </w:pPr>
      <w:r>
        <w:rPr>
          <w:rFonts w:ascii="Arial" w:cs="Arial" w:eastAsia="Arial" w:hAnsi="Arial"/>
          <w:sz w:val="22"/>
          <w:szCs w:val="22"/>
          <w:color w:val="auto"/>
        </w:rPr>
        <w:t>/s/ ACM Research (Shanghai), Inc.</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Legal representative (signature): /s/ HUI WANG</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21"/>
          <w:szCs w:val="21"/>
          <w:color w:val="auto"/>
        </w:rPr>
        <w:t>Name of legal representative: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Shanghai Laimu Electronic Limited by Share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Shanghai Laimu Electronic Limited by Share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PNC Process Systems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1"/>
          <w:szCs w:val="21"/>
          <w:color w:val="auto"/>
        </w:rPr>
        <w:t>/s/ PNC Process Systems Co., Ltd.</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Legal representative (signature): [***]</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9"/>
          <w:szCs w:val="19"/>
          <w:color w:val="auto"/>
        </w:rPr>
        <w:t>(This is a signature page for the Partnership Agreement of Qingdao Fortune-Tech Xinxing Capital Partnership (L.P.))</w:t>
      </w:r>
    </w:p>
    <w:p>
      <w:pPr>
        <w:sectPr>
          <w:pgSz w:w="11900" w:h="16838" w:orient="portrait"/>
          <w:cols w:equalWidth="0" w:num="1">
            <w:col w:w="10139"/>
          </w:cols>
          <w:pgMar w:left="320" w:top="118" w:right="1440" w:bottom="1440" w:gutter="0" w:footer="0" w:header="0"/>
        </w:sect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LP:</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Konfoong Materials International Co., Ltd </w:t>
      </w:r>
      <w:r>
        <w:rPr>
          <w:rFonts w:ascii="Arial" w:cs="Arial" w:eastAsia="Arial" w:hAnsi="Arial"/>
          <w:sz w:val="19"/>
          <w:szCs w:val="19"/>
          <w:color w:val="auto"/>
        </w:rPr>
        <w:t>(seal)</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 Konfoong Materials International Co., Ltd</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Legal representative (signature): [***]</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Name of legal representative: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Supplementary Agreement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Partnership Agreement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Qingdao Fortune-Tech Xinxing Capital Partnership (L.P.)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Supplementary Agreement (hereinafter referred to as “</w:t>
      </w:r>
      <w:r>
        <w:rPr>
          <w:rFonts w:ascii="Arial" w:cs="Arial" w:eastAsia="Arial" w:hAnsi="Arial"/>
          <w:sz w:val="19"/>
          <w:szCs w:val="19"/>
          <w:b w:val="1"/>
          <w:bCs w:val="1"/>
          <w:color w:val="auto"/>
        </w:rPr>
        <w:t>this Agreement</w:t>
      </w:r>
      <w:r>
        <w:rPr>
          <w:rFonts w:ascii="Arial" w:cs="Arial" w:eastAsia="Arial" w:hAnsi="Arial"/>
          <w:sz w:val="19"/>
          <w:szCs w:val="19"/>
          <w:color w:val="auto"/>
        </w:rPr>
        <w:t xml:space="preserve">”) is executed on </w:t>
      </w:r>
      <w:r>
        <w:rPr>
          <w:rFonts w:ascii="Arial" w:cs="Arial" w:eastAsia="Arial" w:hAnsi="Arial"/>
          <w:sz w:val="19"/>
          <w:szCs w:val="19"/>
          <w:u w:val="single" w:color="auto"/>
          <w:color w:val="auto"/>
        </w:rPr>
        <w:t>June 15</w:t>
      </w:r>
      <w:r>
        <w:rPr>
          <w:rFonts w:ascii="Arial" w:cs="Arial" w:eastAsia="Arial" w:hAnsi="Arial"/>
          <w:sz w:val="19"/>
          <w:szCs w:val="19"/>
          <w:color w:val="auto"/>
        </w:rPr>
        <w:t>, 2020 by and between: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 China Fortune-Tech Capital Co., Ltd. (hereinafter referred to as “</w:t>
      </w:r>
      <w:r>
        <w:rPr>
          <w:rFonts w:ascii="Arial" w:cs="Arial" w:eastAsia="Arial" w:hAnsi="Arial"/>
          <w:sz w:val="22"/>
          <w:szCs w:val="22"/>
          <w:b w:val="1"/>
          <w:bCs w:val="1"/>
          <w:color w:val="auto"/>
        </w:rPr>
        <w:t>GP</w:t>
      </w:r>
      <w:r>
        <w:rPr>
          <w:rFonts w:ascii="Arial" w:cs="Arial" w:eastAsia="Arial" w:hAnsi="Arial"/>
          <w:sz w:val="22"/>
          <w:szCs w:val="22"/>
          <w:color w:val="auto"/>
        </w:rPr>
        <w:t>”); and</w:t>
      </w:r>
    </w:p>
    <w:p>
      <w:pPr>
        <w:spacing w:after="0" w:line="239" w:lineRule="exact"/>
        <w:rPr>
          <w:sz w:val="20"/>
          <w:szCs w:val="20"/>
          <w:color w:val="auto"/>
        </w:rPr>
      </w:pPr>
    </w:p>
    <w:p>
      <w:pPr>
        <w:jc w:val="both"/>
        <w:ind w:left="1360" w:hanging="1349"/>
        <w:spacing w:after="0" w:line="235" w:lineRule="auto"/>
        <w:rPr>
          <w:sz w:val="20"/>
          <w:szCs w:val="20"/>
          <w:color w:val="auto"/>
        </w:rPr>
      </w:pPr>
      <w:r>
        <w:rPr>
          <w:rFonts w:ascii="Arial" w:cs="Arial" w:eastAsia="Arial" w:hAnsi="Arial"/>
          <w:sz w:val="22"/>
          <w:szCs w:val="22"/>
          <w:color w:val="auto"/>
        </w:rPr>
        <w:t>Limited Partners: Shanghai Sinyang Semiconductor Materials Co., Ltd, Advanced Micro-Fabrication Equipment Inc. China, Zing Semiconductor Corporation, Montage-Tech Investment Co., Ltd., Tianjin Zhonghuan Semiconductor Co., Ltd., Will Semiconductor Co., Ltd., Shenzhen Goodix Technology Co., Ltd., Giantec Semiconductor Corporation, Anji Microelectronics Technology (Shanghai) Co., Ltd., Allwinner Technology Co., Ltd., ACM Research (Shanghai), Inc., Shanghai Laimu Electronic Limited by Share Ltd, PNC Process Systems Co., Ltd., and Konfoong Materials International Co., Ltd.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46" w:lineRule="exact"/>
        <w:rPr>
          <w:sz w:val="20"/>
          <w:szCs w:val="20"/>
          <w:color w:val="auto"/>
        </w:rPr>
      </w:pPr>
    </w:p>
    <w:p>
      <w:pPr>
        <w:jc w:val="both"/>
        <w:ind w:left="820" w:hanging="812"/>
        <w:spacing w:after="0" w:line="286"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GP and all Limited Partners (collectively referred to as “LPs”) signed a </w:t>
      </w:r>
      <w:r>
        <w:rPr>
          <w:rFonts w:ascii="Arial" w:cs="Arial" w:eastAsia="Arial" w:hAnsi="Arial"/>
          <w:sz w:val="17"/>
          <w:szCs w:val="17"/>
          <w:i w:val="1"/>
          <w:iCs w:val="1"/>
          <w:color w:val="auto"/>
        </w:rPr>
        <w:t>Partnership Agreement</w:t>
      </w:r>
      <w:r>
        <w:rPr>
          <w:rFonts w:ascii="Arial" w:cs="Arial" w:eastAsia="Arial" w:hAnsi="Arial"/>
          <w:sz w:val="17"/>
          <w:szCs w:val="17"/>
          <w:color w:val="auto"/>
        </w:rPr>
        <w:t xml:space="preserve"> of </w:t>
      </w:r>
      <w:r>
        <w:rPr>
          <w:rFonts w:ascii="Arial" w:cs="Arial" w:eastAsia="Arial" w:hAnsi="Arial"/>
          <w:sz w:val="17"/>
          <w:szCs w:val="17"/>
          <w:i w:val="1"/>
          <w:iCs w:val="1"/>
          <w:color w:val="auto"/>
        </w:rPr>
        <w:t>Qingdao Fortune-Tech Xinxing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Partnership (L.P.) </w:t>
      </w:r>
      <w:r>
        <w:rPr>
          <w:rFonts w:ascii="Arial" w:cs="Arial" w:eastAsia="Arial" w:hAnsi="Arial"/>
          <w:sz w:val="17"/>
          <w:szCs w:val="17"/>
          <w:color w:val="auto"/>
        </w:rPr>
        <w:t>(hereinafter referred to as “</w:t>
      </w:r>
      <w:r>
        <w:rPr>
          <w:rFonts w:ascii="Arial" w:cs="Arial" w:eastAsia="Arial" w:hAnsi="Arial"/>
          <w:sz w:val="17"/>
          <w:szCs w:val="17"/>
          <w:b w:val="1"/>
          <w:bCs w:val="1"/>
          <w:color w:val="auto"/>
        </w:rPr>
        <w:t>Partnership Agreement</w:t>
      </w:r>
      <w:r>
        <w:rPr>
          <w:rFonts w:ascii="Arial" w:cs="Arial" w:eastAsia="Arial" w:hAnsi="Arial"/>
          <w:sz w:val="17"/>
          <w:szCs w:val="17"/>
          <w:color w:val="auto"/>
        </w:rPr>
        <w:t>”) on June 9, 2020 to agree on the matters relating to the establishment of</w:t>
      </w:r>
      <w:r>
        <w:rPr>
          <w:rFonts w:ascii="Arial" w:cs="Arial" w:eastAsia="Arial" w:hAnsi="Arial"/>
          <w:sz w:val="17"/>
          <w:szCs w:val="17"/>
          <w:i w:val="1"/>
          <w:iCs w:val="1"/>
          <w:color w:val="auto"/>
        </w:rPr>
        <w:t xml:space="preserve"> </w:t>
      </w:r>
      <w:r>
        <w:rPr>
          <w:rFonts w:ascii="Arial" w:cs="Arial" w:eastAsia="Arial" w:hAnsi="Arial"/>
          <w:sz w:val="17"/>
          <w:szCs w:val="17"/>
          <w:color w:val="auto"/>
        </w:rPr>
        <w:t>Qingdao Fortune-Tech Xinxing Capital Partnership (L.P.) (hereinafter referred to as “</w:t>
      </w:r>
      <w:r>
        <w:rPr>
          <w:rFonts w:ascii="Arial" w:cs="Arial" w:eastAsia="Arial" w:hAnsi="Arial"/>
          <w:sz w:val="17"/>
          <w:szCs w:val="17"/>
          <w:b w:val="1"/>
          <w:bCs w:val="1"/>
          <w:color w:val="auto"/>
        </w:rPr>
        <w:t>Partnership Enterprise</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4" w:name="page55"/>
    <w:bookmarkEnd w:id="54"/>
    <w:p>
      <w:pPr>
        <w:ind w:left="820" w:hanging="812"/>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Parties intend to set forth supplementary provisions on the investment decisions and income distributions to be implemented by the Partnership Enterprise with respect to the investment projects.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through friendly negotiation, the Parties hereby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 About the Investment Project</w:t>
      </w:r>
    </w:p>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Special foundation</w:t>
      </w:r>
    </w:p>
    <w:p>
      <w:pPr>
        <w:spacing w:after="0" w:line="256" w:lineRule="exact"/>
        <w:rPr>
          <w:sz w:val="20"/>
          <w:szCs w:val="20"/>
          <w:color w:val="auto"/>
        </w:rPr>
      </w:pPr>
    </w:p>
    <w:p>
      <w:pPr>
        <w:jc w:val="both"/>
        <w:ind w:left="1020" w:hanging="633"/>
        <w:spacing w:after="0" w:line="290" w:lineRule="auto"/>
        <w:tabs>
          <w:tab w:leader="none" w:pos="10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Parties unanimously acknowledge and agree that the Partnership Enterprise sets up a special fund to invest specifically in the strategic placement of shares of Semiconductor Manufacturing International Corporation (SMIC) (hereinafter referred to as “</w:t>
      </w:r>
      <w:r>
        <w:rPr>
          <w:rFonts w:ascii="Arial" w:cs="Arial" w:eastAsia="Arial" w:hAnsi="Arial"/>
          <w:sz w:val="16"/>
          <w:szCs w:val="16"/>
          <w:b w:val="1"/>
          <w:bCs w:val="1"/>
          <w:color w:val="auto"/>
        </w:rPr>
        <w:t>Project Company</w:t>
      </w:r>
      <w:r>
        <w:rPr>
          <w:rFonts w:ascii="Arial" w:cs="Arial" w:eastAsia="Arial" w:hAnsi="Arial"/>
          <w:sz w:val="16"/>
          <w:szCs w:val="16"/>
          <w:color w:val="auto"/>
        </w:rPr>
        <w:t>”) to be listed on the SSE STAR Market (hereinafter referred to as “</w:t>
      </w:r>
      <w:r>
        <w:rPr>
          <w:rFonts w:ascii="Arial" w:cs="Arial" w:eastAsia="Arial" w:hAnsi="Arial"/>
          <w:sz w:val="16"/>
          <w:szCs w:val="16"/>
          <w:b w:val="1"/>
          <w:bCs w:val="1"/>
          <w:color w:val="auto"/>
        </w:rPr>
        <w:t>Investment Project</w:t>
      </w:r>
      <w:r>
        <w:rPr>
          <w:rFonts w:ascii="Arial" w:cs="Arial" w:eastAsia="Arial" w:hAnsi="Arial"/>
          <w:sz w:val="16"/>
          <w:szCs w:val="16"/>
          <w:color w:val="auto"/>
        </w:rPr>
        <w:t>”). All the Parties shall keep the information herein strictly confidential. Before the Project Company publicly discloses its listing on the SSE STAR Market and strategic placement, no Party shall publicly disclose the information in any form. Considering that early disclosure will bring material adverse effect on the implementation of the Investment Project, in case that the LP is required to disclose the information due to a written request from the securities regulatory departments or other mandatory requirements, the LP shall actively communicate with the securities regulatory departments to obtain an exemption from or postponement of disclosing, and the GP and the LPs shall communicate to agree on response measures and plans.</w:t>
      </w:r>
    </w:p>
    <w:p>
      <w:pPr>
        <w:spacing w:after="0" w:line="192" w:lineRule="exact"/>
        <w:rPr>
          <w:sz w:val="20"/>
          <w:szCs w:val="20"/>
          <w:color w:val="auto"/>
        </w:rPr>
      </w:pPr>
    </w:p>
    <w:p>
      <w:pPr>
        <w:jc w:val="both"/>
        <w:ind w:left="1020" w:hanging="633"/>
        <w:spacing w:after="0" w:line="255" w:lineRule="auto"/>
        <w:tabs>
          <w:tab w:leader="none" w:pos="10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case that the Partnership Enterprise fails to be record-filed or approved by the Asset Management Association of China (AMAC) or fails to obtain a strategic placement quota of the Investment Project, the GP shall arrange the Partnership Enterprise to refund the capital contribution and the actually accrued bank deposit interest for the corresponding period to all Partners, and the GP shall refund the received management fee to the Partnership Enterprise. In case that the custodian fee cannot be refunded due to restrictions of the business rules of the Custodian Bank, the custodian fee that the Custodian Bank has received shall be apportioned to all Partners in proportion to the paid-in capital contribution and deducted from the refundable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both"/>
        <w:ind w:left="1020" w:hanging="633"/>
        <w:spacing w:after="0" w:line="275" w:lineRule="auto"/>
        <w:tabs>
          <w:tab w:leader="none" w:pos="10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In case that, after completion of investment in the Investment Project and deduction of the payable taxes, the surplus cash held by the Partnership Enterprise exceeds RMB 1 million because the investment quota available distributed from the Investment Project to the Partnership Enterprise is insufficient or due to round-down of the number of shares during the implementation of the strategic placement, the surplus cash shall be refunded to all Partners in proportion to each Partner’s paid-in capital contribution to the Partnership Enterprise within 15 business days after the Partnership Enterprise completes the investment in the Investment Project.</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Capital contribution by the GP</w:t>
      </w:r>
    </w:p>
    <w:p>
      <w:pPr>
        <w:spacing w:after="0" w:line="256" w:lineRule="exact"/>
        <w:rPr>
          <w:sz w:val="20"/>
          <w:szCs w:val="20"/>
          <w:color w:val="auto"/>
        </w:rPr>
      </w:pPr>
    </w:p>
    <w:p>
      <w:pPr>
        <w:jc w:val="both"/>
        <w:ind w:left="1020" w:hanging="633"/>
        <w:spacing w:after="0" w:line="255" w:lineRule="auto"/>
        <w:tabs>
          <w:tab w:leader="none" w:pos="10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Parties unanimously acknowledge and agree that the amount (RMB 5 million) of the capital contribution subscribed by the GP under the </w:t>
      </w:r>
      <w:r>
        <w:rPr>
          <w:rFonts w:ascii="Arial" w:cs="Arial" w:eastAsia="Arial" w:hAnsi="Arial"/>
          <w:sz w:val="18"/>
          <w:szCs w:val="18"/>
          <w:i w:val="1"/>
          <w:iCs w:val="1"/>
          <w:color w:val="auto"/>
        </w:rPr>
        <w:t xml:space="preserve">Partnership Agreement </w:t>
      </w:r>
      <w:r>
        <w:rPr>
          <w:rFonts w:ascii="Arial" w:cs="Arial" w:eastAsia="Arial" w:hAnsi="Arial"/>
          <w:sz w:val="18"/>
          <w:szCs w:val="18"/>
          <w:color w:val="auto"/>
        </w:rPr>
        <w:t>and specified in the industrial and commercial registration information serves the only purpose of meeting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xml:space="preserve"> and the requirements on the completeness of the industrial and commercial registration information. To meet the regulatory requirements imposed by the regulatory departments on the Investment Project, the GP does not actually make paid-in capital contributions to the Partnership Enterprise. Neither party shall require GP to assume any liability for breach of contract or other liabilities for such excuses.</w:t>
      </w:r>
    </w:p>
    <w:p>
      <w:pPr>
        <w:spacing w:after="0" w:line="219" w:lineRule="exact"/>
        <w:rPr>
          <w:sz w:val="20"/>
          <w:szCs w:val="20"/>
          <w:color w:val="auto"/>
        </w:rPr>
      </w:pPr>
    </w:p>
    <w:p>
      <w:pPr>
        <w:jc w:val="both"/>
        <w:ind w:left="1020" w:hanging="633"/>
        <w:spacing w:after="0" w:line="263" w:lineRule="auto"/>
        <w:tabs>
          <w:tab w:leader="none" w:pos="10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 xml:space="preserve">For purpose of clarity, the GP does not participate in the apportioning of stock assets under this Agreement or the distribution of investment income under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xml:space="preserve"> and this Agreement; but the Partnership Enterprise still needs to pay the GP the management fee in accordance with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xml:space="preserve"> in an amount receivable as a Fund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2. Investment Decision-making Mechanism</w:t>
      </w:r>
    </w:p>
    <w:p>
      <w:pPr>
        <w:spacing w:after="0" w:line="2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Project investment decision-making</w:t>
      </w:r>
    </w:p>
    <w:p>
      <w:pPr>
        <w:spacing w:after="0" w:line="256" w:lineRule="exact"/>
        <w:rPr>
          <w:sz w:val="20"/>
          <w:szCs w:val="20"/>
          <w:color w:val="auto"/>
        </w:rPr>
      </w:pPr>
    </w:p>
    <w:p>
      <w:pPr>
        <w:jc w:val="both"/>
        <w:ind w:left="1020" w:hanging="633"/>
        <w:spacing w:after="0" w:line="296" w:lineRule="auto"/>
        <w:tabs>
          <w:tab w:leader="none" w:pos="1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Parties hereby unanimously agree that the Partnership Enterprise will participate in the Investment Project, and the GP will act on behalf of the Partnership Enterprise to invest in the Investment Project in accordance with the laws and regulations and business rules on the strategic placement of listing on the SSE STAR Market and the requirements of the intermediary agencies that act for listing of the Project Company on the SSE STAR Market. When necessary, the GP may, in the GP’s name or in the name of the Partnership Enterprise, provide relevant documents to the outside to reflect the investment decisions of the Partnership Enterprise on Investment Project.</w:t>
      </w:r>
    </w:p>
    <w:p>
      <w:pPr>
        <w:spacing w:after="0" w:line="188" w:lineRule="exact"/>
        <w:rPr>
          <w:sz w:val="20"/>
          <w:szCs w:val="20"/>
          <w:color w:val="auto"/>
        </w:rPr>
      </w:pPr>
    </w:p>
    <w:p>
      <w:pPr>
        <w:jc w:val="both"/>
        <w:ind w:left="1020" w:hanging="633"/>
        <w:spacing w:after="0" w:line="257" w:lineRule="auto"/>
        <w:tabs>
          <w:tab w:leader="none" w:pos="10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All the LPs of the Partnership Enterprise are large enterprises that can form upstream and downstream business cooperation relationships with the GP’s significant shareholders (that is, the Project Company). The investment decisions of the Partnership Enterprise are made jointly by the GP and all LPs in accordance with this Agreement. With the stake in the Partnership Enterprise being relatively decentralized and no single participant being able to control the investment decisions of the Partnership Enterprise, the Partnership Enterprise has no actual controller.</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Apportionment of stock assets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initial number of shares owned after the Partnership Enterprise completes the investment in the Investment Project is apportioned to all the LPs in proportion to each LP’s paid-up capital contribution in the Partnership Enterprise, and is managed by the GP through establishing an internal ledger. After initially apportioning the number of shares, the GP shall notify the apportioned number to each LP in a proper manner as soon as practicable. In case of selling down the stake in the Partnership Enterprise, the GP shall set out, in a selldown proceeds distribution document, the change of the apportioned shares to each LP that participates in the selldown. Such share apportionment does not go through any procedure of securities registration and transfer. In case of capitalization from capital reserve of the Project Company, distribution of bonus shares, share placement, or other capital equity adjustments subsequently, the number of shares apportioned above and belonging to all LPs shall be adjusted proportionally. For ease of operation, the fractional portion in the number of shares caused by rounding down the apportioned number of shares in the calculation process (the resulting figure of the number is accurate to single digits, without decimal points) shall be reasonably apportioned among all LPs by the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tabs>
          <w:tab w:leader="none" w:pos="3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Divestment principles</w:t>
      </w:r>
    </w:p>
    <w:p>
      <w:pPr>
        <w:spacing w:after="0" w:line="256" w:lineRule="exact"/>
        <w:rPr>
          <w:sz w:val="20"/>
          <w:szCs w:val="20"/>
          <w:color w:val="auto"/>
        </w:rPr>
      </w:pPr>
    </w:p>
    <w:p>
      <w:pPr>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Selldown of shares shall meet the requirements of laws, regulations, and stock trading rules, and shall be applicable to non-restricted shares only.</w:t>
      </w:r>
    </w:p>
    <w:p>
      <w:pPr>
        <w:spacing w:after="0" w:line="197" w:lineRule="exact"/>
        <w:rPr>
          <w:sz w:val="20"/>
          <w:szCs w:val="20"/>
          <w:color w:val="auto"/>
        </w:rPr>
      </w:pPr>
    </w:p>
    <w:p>
      <w:pPr>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 xml:space="preserve">Each LP makes independent selldown decisions on the shares apportioned and belonging to the LP, and the GP performs selldown operations in accordance with the laws, regulations, trading rules,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and this Agreement.</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Divestment decision-making mechanism</w:t>
      </w:r>
    </w:p>
    <w:p>
      <w:pPr>
        <w:spacing w:after="0" w:line="25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Preferred divestment mechanism: block trading.</w:t>
      </w:r>
    </w:p>
    <w:p>
      <w:pPr>
        <w:spacing w:after="0" w:line="252" w:lineRule="exact"/>
        <w:rPr>
          <w:sz w:val="20"/>
          <w:szCs w:val="20"/>
          <w:color w:val="auto"/>
        </w:rPr>
      </w:pPr>
    </w:p>
    <w:p>
      <w:pPr>
        <w:jc w:val="both"/>
        <w:ind w:left="900" w:hanging="649"/>
        <w:spacing w:after="0" w:line="29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Considering the background of the establishment of the Partnership Enterprise and the rigid requirements of the stock trading rules, in order to minimize the potential conflicts of interest between the LPs arising from the selldown performed in a call auction mechanism, the shares belonging to each LP are preferably sold down in a block trading mechanism. The LP finds a suitable buyer to take the shares to be sold down in a block trading transaction, provided, however, that the LP shall send a reasonably prior written trading notice to the GP and issue a trading instruction in accordance with the GP’s requirements. The GP may also recommend a suitable buyer to the LP, and subject to consent of the LP, carry out the block trading selldown according to this Agreement. The trading instruction shall include at least: the number of shares to be sold down, the trading price, the name of the transferee, the transferee’s securities account information, and the specified trading number.</w:t>
      </w:r>
    </w:p>
    <w:p>
      <w:pPr>
        <w:spacing w:after="0" w:line="193" w:lineRule="exact"/>
        <w:rPr>
          <w:rFonts w:ascii="Arial" w:cs="Arial" w:eastAsia="Arial" w:hAnsi="Arial"/>
          <w:sz w:val="16"/>
          <w:szCs w:val="16"/>
          <w:color w:val="auto"/>
        </w:rPr>
      </w:pPr>
    </w:p>
    <w:p>
      <w:pPr>
        <w:jc w:val="both"/>
        <w:ind w:left="900" w:hanging="649"/>
        <w:spacing w:after="0" w:line="263"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principle, the GP accepts a block trading instruction of only one LP within one trading day in order to avoid conflicts of interest. If more than one LP issues a block trading instruction to the GP in one day, only the trading instruction of the LP whose prior trading notice arrives at the GP first will be executed. The specific arrangements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left="1029" w:hanging="381"/>
        <w:spacing w:after="0" w:line="259" w:lineRule="auto"/>
        <w:tabs>
          <w:tab w:leader="none" w:pos="10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LP that intends to sell down its shares in a block trading transaction in a trading day shall send a prior trading notice to the GP by email before 11:00 a.m. of the trading day, and thereafter make a telephone call to the GP to confirm that the GP has received the prior trading notice. The prior trading notice shall specify the number of shares to be sold down, and the selldown price or a lower limit of the discount rate against the closing price of the day.</w:t>
      </w:r>
    </w:p>
    <w:p>
      <w:pPr>
        <w:spacing w:after="0" w:line="213" w:lineRule="exact"/>
        <w:rPr>
          <w:rFonts w:ascii="Arial" w:cs="Arial" w:eastAsia="Arial" w:hAnsi="Arial"/>
          <w:sz w:val="18"/>
          <w:szCs w:val="18"/>
          <w:color w:val="auto"/>
        </w:rPr>
      </w:pPr>
    </w:p>
    <w:p>
      <w:pPr>
        <w:jc w:val="both"/>
        <w:ind w:left="1029" w:hanging="381"/>
        <w:spacing w:after="0" w:line="263" w:lineRule="auto"/>
        <w:tabs>
          <w:tab w:leader="none" w:pos="10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GP replies to the LP by email before 14:00 of the trading day to confirm that the LP whose prior trading notice arrives at the GP first will participate in the block trading selldown of the trading day, and that other LPs cannot participate in the block trading selldown of the trading day.</w:t>
      </w:r>
    </w:p>
    <w:p>
      <w:pPr>
        <w:spacing w:after="0" w:line="210" w:lineRule="exact"/>
        <w:rPr>
          <w:rFonts w:ascii="Arial" w:cs="Arial" w:eastAsia="Arial" w:hAnsi="Arial"/>
          <w:sz w:val="18"/>
          <w:szCs w:val="18"/>
          <w:color w:val="auto"/>
        </w:rPr>
      </w:pPr>
    </w:p>
    <w:p>
      <w:pPr>
        <w:ind w:left="1029" w:hanging="381"/>
        <w:spacing w:after="0" w:line="277" w:lineRule="auto"/>
        <w:tabs>
          <w:tab w:leader="none" w:pos="10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an LP that participates in the block trading selldown as confirmed by the GP, the LP shall send a formal block trading instruction as required by the GP.</w:t>
      </w:r>
    </w:p>
    <w:p>
      <w:pPr>
        <w:spacing w:after="0" w:line="197" w:lineRule="exact"/>
        <w:rPr>
          <w:rFonts w:ascii="Arial" w:cs="Arial" w:eastAsia="Arial" w:hAnsi="Arial"/>
          <w:sz w:val="18"/>
          <w:szCs w:val="18"/>
          <w:color w:val="auto"/>
        </w:rPr>
      </w:pPr>
    </w:p>
    <w:p>
      <w:pPr>
        <w:ind w:left="649" w:hanging="649"/>
        <w:spacing w:after="0" w:line="277"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prior trading notice and any trading instruction that do not meet the foregoing requirements hereof are invalid, and may be rejected and repudiated by the GP, and the liability arising therefrom shall be borne by the corresponding LP.</w:t>
      </w:r>
    </w:p>
    <w:p>
      <w:pPr>
        <w:spacing w:after="0" w:line="197" w:lineRule="exact"/>
        <w:rPr>
          <w:rFonts w:ascii="Arial" w:cs="Arial" w:eastAsia="Arial" w:hAnsi="Arial"/>
          <w:sz w:val="18"/>
          <w:szCs w:val="18"/>
          <w:color w:val="auto"/>
        </w:rPr>
      </w:pPr>
    </w:p>
    <w:p>
      <w:pPr>
        <w:jc w:val="both"/>
        <w:ind w:left="649" w:hanging="649"/>
        <w:spacing w:after="0" w:line="259"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Given that the time window of the block trading is 30 minutes after the closing of the trading day, the LP shall communicate with the GP as early as possible and agree on the specific arrangements for the trading. If the remaining available trading time is not enough to complete the block trading selldown operation after the LP’s trading instruction reaches the GP, the GP has the right to repudiate the instruction, and the relevant liability shall be borne by the corresponding LP.</w:t>
      </w:r>
    </w:p>
    <w:p>
      <w:pPr>
        <w:spacing w:after="0" w:line="213" w:lineRule="exact"/>
        <w:rPr>
          <w:rFonts w:ascii="Arial" w:cs="Arial" w:eastAsia="Arial" w:hAnsi="Arial"/>
          <w:sz w:val="18"/>
          <w:szCs w:val="18"/>
          <w:color w:val="auto"/>
        </w:rPr>
      </w:pPr>
    </w:p>
    <w:p>
      <w:pPr>
        <w:jc w:val="both"/>
        <w:ind w:left="649" w:hanging="649"/>
        <w:spacing w:after="0" w:line="272"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GP will exercise its best efforts to complete the trading instruction of the LP. However, the trading instruction issued by the LP under this Agreement is vulnerable to trading failure, subject to the communication and confirmation between the LP and the GP, the communication and confirmation between the GP and the trading buyer and the securities brokerage company, the securities trading rules, the time that the selldown operation takes, the requirements of the securities brokerage company on the reporting of the instruction and the procedure of circulating the instruction, and the operation collaboration of the trading counterparty, and other factors uncontrollable by the GP such as possible technical failures. The Parties agree that if any of such matters occurs, the GP shall not be held liable, and the Parties shall initiate another new block trading procedure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250190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125" w:right="339" w:bottom="1440" w:gutter="0" w:footer="0" w:header="0"/>
        </w:sectPr>
      </w:pPr>
    </w:p>
    <w:bookmarkStart w:id="59" w:name="page60"/>
    <w:bookmarkEnd w:id="59"/>
    <w:p>
      <w:pPr>
        <w:jc w:val="both"/>
        <w:ind w:hanging="633"/>
        <w:spacing w:after="0" w:line="271" w:lineRule="auto"/>
        <w:rPr>
          <w:sz w:val="20"/>
          <w:szCs w:val="20"/>
          <w:color w:val="auto"/>
        </w:rPr>
      </w:pPr>
      <w:r>
        <w:rPr>
          <w:rFonts w:ascii="Arial" w:cs="Arial" w:eastAsia="Arial" w:hAnsi="Arial"/>
          <w:sz w:val="18"/>
          <w:szCs w:val="18"/>
          <w:color w:val="auto"/>
        </w:rPr>
        <w:t>2.4.2</w:t>
      </w:r>
      <w:r>
        <w:rPr>
          <w:sz w:val="20"/>
          <w:szCs w:val="20"/>
          <w:color w:val="auto"/>
        </w:rPr>
        <w:t xml:space="preserve"> </w:t>
      </w:r>
      <w:r>
        <w:rPr>
          <w:rFonts w:ascii="Arial" w:cs="Arial" w:eastAsia="Arial" w:hAnsi="Arial"/>
          <w:sz w:val="17"/>
          <w:szCs w:val="17"/>
          <w:color w:val="auto"/>
        </w:rPr>
        <w:t>Alternative divestment mechanism: call auction mechanism. As proposed by one or more LPs who individually or aggregately hold 30% or more of the total outstanding shares of the Partnership Enterprise, the call auction mechanism may apply to selldown of the shares. Subject to the aforesaid conditions, the GP raises a selldown proposal to all LPs according to market conditions. The selldown proposal includes the upper limit of the total number of shares to be sold down, the upper limit of the number of shares that each LP can request to sell down according to the percentage of remaining shares held by the LP, the lower limit of the selldown price, the time limit of the selldown operation, and the deadline of reply from the LP. Each LP who receives the selldown proposal from the GP and agrees to the selldown proposal shall, as required by the GP, request to sell down a specific number of shares, but the request shall not include requirements such as price and time limit of the selldown operation.</w:t>
      </w:r>
    </w:p>
    <w:p>
      <w:pPr>
        <w:spacing w:after="0" w:line="198" w:lineRule="exact"/>
        <w:rPr>
          <w:sz w:val="20"/>
          <w:szCs w:val="20"/>
          <w:color w:val="auto"/>
        </w:rPr>
      </w:pPr>
    </w:p>
    <w:p>
      <w:pPr>
        <w:jc w:val="both"/>
        <w:ind w:firstLine="11"/>
        <w:spacing w:after="0" w:line="277" w:lineRule="auto"/>
        <w:rPr>
          <w:sz w:val="20"/>
          <w:szCs w:val="20"/>
          <w:color w:val="auto"/>
        </w:rPr>
      </w:pPr>
      <w:r>
        <w:rPr>
          <w:rFonts w:ascii="Arial" w:cs="Arial" w:eastAsia="Arial" w:hAnsi="Arial"/>
          <w:sz w:val="19"/>
          <w:szCs w:val="19"/>
          <w:color w:val="auto"/>
        </w:rPr>
        <w:t>The LP who agrees to participate in the share selldown shall reply to the GP in writing (including by email, the same below) before the deadline specified in the selldown proposal. By sending the written reply, the LP is deemed to agree that the GP will sell down the shares in accordance with this Agreement and the selldown proposal raised by the GP, and is deemed to issue an irrevocable selldown trading instruction to the GP. In case that the instruction is not in compliance with Section 2.4.2 hereof (including but not limited to failure to reply to the GP in writing before the deadline), the reply or instruction shall be deemed invalid, and the GP has the right to repudiate the trading instruction, with the relevant liability being borne by the corresponding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238760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25" w:right="339" w:bottom="1440" w:gutter="0" w:footer="0" w:header="0"/>
        </w:sectPr>
      </w:pPr>
    </w:p>
    <w:bookmarkStart w:id="60" w:name="page61"/>
    <w:bookmarkEnd w:id="60"/>
    <w:p>
      <w:pPr>
        <w:jc w:val="both"/>
        <w:ind w:left="1020" w:hanging="633"/>
        <w:spacing w:after="0" w:line="263" w:lineRule="auto"/>
        <w:tabs>
          <w:tab w:leader="none" w:pos="10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Other mechanisms. In case that new regulatory rules are promulgated in the future on the mechanism of selling down the shares traded on the SSE STAR Market and give rise to other applicable selldown mechanisms, the Parties may otherwise negotiate and sign a relevant written document to confirm the new selldown mechanisms.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 Income Distribution</w:t>
      </w:r>
    </w:p>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Distribution of proceeds from share selldown</w:t>
      </w:r>
    </w:p>
    <w:p>
      <w:pPr>
        <w:spacing w:after="0" w:line="256" w:lineRule="exact"/>
        <w:rPr>
          <w:sz w:val="20"/>
          <w:szCs w:val="20"/>
          <w:color w:val="auto"/>
        </w:rPr>
      </w:pPr>
    </w:p>
    <w:p>
      <w:pPr>
        <w:jc w:val="both"/>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proceeds from the share selldown implemented in a block trading transaction according to this Agreement shall be distributed to only the LPs that execute the block trading transaction, without being distributed to other LPs.</w:t>
      </w:r>
    </w:p>
    <w:p>
      <w:pPr>
        <w:spacing w:after="0" w:line="197" w:lineRule="exact"/>
        <w:rPr>
          <w:sz w:val="20"/>
          <w:szCs w:val="20"/>
          <w:color w:val="auto"/>
        </w:rPr>
      </w:pPr>
    </w:p>
    <w:p>
      <w:pPr>
        <w:jc w:val="both"/>
        <w:ind w:left="1020" w:hanging="633"/>
        <w:spacing w:after="0" w:line="263" w:lineRule="auto"/>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The proceeds from the actual share selldown implemented in a call auction mechanism shall be distributed among the LPs who participate in the share selldown in proportion to the valid requested number of selldown shares of each LP after deduction of the transaction taxes, the payable VAT, and additional taxes.</w:t>
      </w:r>
    </w:p>
    <w:p>
      <w:pPr>
        <w:spacing w:after="0" w:line="211" w:lineRule="exact"/>
        <w:rPr>
          <w:sz w:val="20"/>
          <w:szCs w:val="20"/>
          <w:color w:val="auto"/>
        </w:rPr>
      </w:pPr>
    </w:p>
    <w:p>
      <w:pPr>
        <w:jc w:val="both"/>
        <w:ind w:left="1020" w:hanging="633"/>
        <w:spacing w:after="0" w:line="279" w:lineRule="auto"/>
        <w:tabs>
          <w:tab w:leader="none" w:pos="10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The GP shall distribute cash to the LPs within 15 business days after the Partnership Enterprise receives the share selldown proceeds. Before performing cash distribution to the LPs, the GP and the LPs check and confirm in writing the amount to be distributed. Each LP shall check and confirm in accordance with the requirements of the GP and reply in writing. The LP who does not reply within three business days after receiving the notice from the GP shall be deemed to have no objection to the amount to be distributed.</w:t>
      </w:r>
    </w:p>
    <w:p>
      <w:pPr>
        <w:spacing w:after="0" w:line="198" w:lineRule="exact"/>
        <w:rPr>
          <w:sz w:val="20"/>
          <w:szCs w:val="20"/>
          <w:color w:val="auto"/>
        </w:rPr>
      </w:pPr>
    </w:p>
    <w:p>
      <w:pPr>
        <w:jc w:val="both"/>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Other related taxes and expenses arising from the share selldown shall be borne by the participating Partners of the selldown in proportion to each Partner’s number of shares sold down.</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Capital decrease procedure</w:t>
      </w:r>
    </w:p>
    <w:p>
      <w:pPr>
        <w:spacing w:after="0" w:line="256" w:lineRule="exact"/>
        <w:rPr>
          <w:sz w:val="20"/>
          <w:szCs w:val="20"/>
          <w:color w:val="auto"/>
        </w:rPr>
      </w:pPr>
    </w:p>
    <w:p>
      <w:pPr>
        <w:jc w:val="both"/>
        <w:ind w:left="1020" w:hanging="633"/>
        <w:spacing w:after="0" w:line="263" w:lineRule="auto"/>
        <w:tabs>
          <w:tab w:leader="none" w:pos="10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To avoid unnecessary management costs and minimize the formality burden of the Parties, in the process of implementing the share selldown and income distribution, the procedure in industrial and commercial registration is temporarily not handled for the capital reduction one by one unless all the shares of an LP have been sold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both"/>
        <w:ind w:left="1020" w:hanging="633"/>
        <w:spacing w:after="0" w:line="263" w:lineRule="auto"/>
        <w:tabs>
          <w:tab w:leader="none" w:pos="10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All LPs shall agree to and provide collaboration in the procedure of industrial and commercial registration that, at the fair and reasonable discretion of the GP, needs to be handled. When all the shares of an LP have been sold down, a partnership withdrawal procedure of the LP and a procedure of industrial and commercial change registration shall be handled.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 Miscellaneous</w:t>
      </w:r>
    </w:p>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Validity and miscellaneous</w:t>
      </w:r>
    </w:p>
    <w:p>
      <w:pPr>
        <w:spacing w:after="0" w:line="256" w:lineRule="exact"/>
        <w:rPr>
          <w:sz w:val="20"/>
          <w:szCs w:val="20"/>
          <w:color w:val="auto"/>
        </w:rPr>
      </w:pPr>
    </w:p>
    <w:p>
      <w:pPr>
        <w:jc w:val="both"/>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This Agreement shall come into force as of the date of signing by the Parties hereto. In case that this Agreement is inconsistent with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this Agreement shall prevail.</w:t>
      </w:r>
    </w:p>
    <w:p>
      <w:pPr>
        <w:spacing w:after="0" w:line="197" w:lineRule="exact"/>
        <w:rPr>
          <w:sz w:val="20"/>
          <w:szCs w:val="20"/>
          <w:color w:val="auto"/>
        </w:rPr>
      </w:pPr>
    </w:p>
    <w:p>
      <w:pPr>
        <w:jc w:val="both"/>
        <w:ind w:left="1020" w:hanging="633"/>
        <w:spacing w:after="0" w:line="277" w:lineRule="auto"/>
        <w:tabs>
          <w:tab w:leader="none" w:pos="10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Section 16 “Governing Law and Dispute Settlement”, Section 20 “Force Majeure”, and Section 21 “Notice” of the </w:t>
      </w:r>
      <w:r>
        <w:rPr>
          <w:rFonts w:ascii="Arial" w:cs="Arial" w:eastAsia="Arial" w:hAnsi="Arial"/>
          <w:sz w:val="18"/>
          <w:szCs w:val="18"/>
          <w:i w:val="1"/>
          <w:iCs w:val="1"/>
          <w:color w:val="auto"/>
        </w:rPr>
        <w:t>Partnership Agreement</w:t>
      </w:r>
      <w:r>
        <w:rPr>
          <w:rFonts w:ascii="Arial" w:cs="Arial" w:eastAsia="Arial" w:hAnsi="Arial"/>
          <w:sz w:val="18"/>
          <w:szCs w:val="18"/>
          <w:color w:val="auto"/>
        </w:rPr>
        <w:t xml:space="preserve"> are applicable to this Agreement and deemed to be part of this Agreement.</w:t>
      </w:r>
    </w:p>
    <w:p>
      <w:pPr>
        <w:spacing w:after="0" w:line="197" w:lineRule="exact"/>
        <w:rPr>
          <w:sz w:val="20"/>
          <w:szCs w:val="20"/>
          <w:color w:val="auto"/>
        </w:rPr>
      </w:pPr>
    </w:p>
    <w:p>
      <w:pPr>
        <w:jc w:val="both"/>
        <w:ind w:left="1020" w:right="20" w:hanging="633"/>
        <w:spacing w:after="0" w:line="277" w:lineRule="auto"/>
        <w:tabs>
          <w:tab w:leader="none" w:pos="10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This Agreement is made in 15 counterparts, and each of the Parties hereto hold one counterpart. Matters not covered herein are subject to further negotiation between the Parties hereto.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General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China Fortune-Tech Capital Co., Ltd. </w:t>
      </w:r>
      <w:r>
        <w:rPr>
          <w:rFonts w:ascii="Arial" w:cs="Arial" w:eastAsia="Arial" w:hAnsi="Arial"/>
          <w:sz w:val="22"/>
          <w:szCs w:val="22"/>
          <w:color w:val="auto"/>
        </w:rPr>
        <w:t>(seal)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China Fortune-Tech Capital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3" w:name="page64"/>
    <w:bookmarkEnd w:id="63"/>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Shanghai Sinyang Semiconductor Materials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Shanghai Sinyang Semiconductor Materials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4" w:name="page65"/>
    <w:bookmarkEnd w:id="64"/>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Advanced Micro-Fabrication Equipment Inc. China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Advanced Micro-Fabrication Equipment Inc. China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5" w:name="page66"/>
    <w:bookmarkEnd w:id="65"/>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Zing Semiconductor Corporation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Zing Semiconductor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6" w:name="page67"/>
    <w:bookmarkEnd w:id="66"/>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Montage-Tech Investment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Montage-Tech Investment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7" w:name="page68"/>
    <w:bookmarkEnd w:id="67"/>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Tianjin Zhonghuan Semiconductor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Tianjin Zhonghuan Semiconductor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8" w:name="page69"/>
    <w:bookmarkEnd w:id="68"/>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Semiconductor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Will Semiconductor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69" w:name="page70"/>
    <w:bookmarkEnd w:id="69"/>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Shenzhen Goodix Technology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 </w:t>
      </w:r>
      <w:r>
        <w:rPr>
          <w:rFonts w:ascii="Arial" w:cs="Arial" w:eastAsia="Arial" w:hAnsi="Arial"/>
          <w:sz w:val="22"/>
          <w:szCs w:val="22"/>
          <w:color w:val="auto"/>
        </w:rPr>
        <w:t>Shenzhen Goodix Technology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0" w:name="page71"/>
    <w:bookmarkEnd w:id="70"/>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Giantec Semiconductor Corporation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Giantec Semiconductor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1" w:name="page72"/>
    <w:bookmarkEnd w:id="71"/>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Anji Microelectronics Technology (Shanghai)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Anji Microelectronics Technology (Shanghai)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2" w:name="page73"/>
    <w:bookmarkEnd w:id="72"/>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Allwinner Technology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Allwinner Technology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3" w:name="page74"/>
    <w:bookmarkEnd w:id="73"/>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ACM Research (Shanghai), Inc.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ACM Research (Shanghai),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4" w:name="page75"/>
    <w:bookmarkEnd w:id="74"/>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Shanghai Laimu Electronic Limited by Share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Shanghai Laimu Electronic Limited by Share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5" w:name="page76"/>
    <w:bookmarkEnd w:id="75"/>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PNC Process Systems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PNC Process Systems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76" w:name="page77"/>
    <w:bookmarkEnd w:id="76"/>
    <w:p>
      <w:pPr>
        <w:spacing w:after="0" w:line="251" w:lineRule="auto"/>
        <w:rPr>
          <w:sz w:val="20"/>
          <w:szCs w:val="20"/>
          <w:color w:val="auto"/>
        </w:rPr>
      </w:pPr>
      <w:r>
        <w:rPr>
          <w:rFonts w:ascii="Arial" w:cs="Arial" w:eastAsia="Arial" w:hAnsi="Arial"/>
          <w:sz w:val="22"/>
          <w:szCs w:val="22"/>
          <w:color w:val="auto"/>
        </w:rPr>
        <w:t>(This is a signature page for the Supplementary Agreement to the Partnership Agreement of Qingdao Fortune-Tech Xinxing Capital Partnership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Limited Partner: [Unintelligible]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Konfoong Materials International Co., Ltd (seal)</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 Konfoong Materials International Co., Ltd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Legal representative (signature)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20"/>
      </w:cols>
      <w:pgMar w:left="32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upperLetter"/>
      <w:start w:val="1"/>
    </w:lvl>
  </w:abstractNum>
  <w:abstractNum w:abstractNumId="4">
    <w:nsid w:val="4353D0CD"/>
    <w:multiLevelType w:val="hybridMultilevel"/>
    <w:lvl w:ilvl="0">
      <w:lvlJc w:val="left"/>
      <w:lvlText w:val="%1"/>
      <w:numFmt w:val="decimal"/>
      <w:start w:val="1"/>
    </w:lvl>
    <w:lvl w:ilvl="1">
      <w:lvlJc w:val="left"/>
      <w:lvlText w:val="(%2)"/>
      <w:numFmt w:val="decimal"/>
      <w:start w:val="1"/>
    </w:lvl>
  </w:abstractNum>
  <w:abstractNum w:abstractNumId="5">
    <w:nsid w:val="B03E0C6"/>
    <w:multiLevelType w:val="hybridMultilevel"/>
    <w:lvl w:ilvl="0">
      <w:lvlJc w:val="left"/>
      <w:lvlText w:val="%1)"/>
      <w:numFmt w:val="decimal"/>
      <w:start w:val="2"/>
    </w:lvl>
    <w:lvl w:ilvl="1">
      <w:lvlJc w:val="left"/>
      <w:lvlText w:val="%2"/>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8"/>
    </w:lvl>
    <w:lvl w:ilvl="1">
      <w:lvlJc w:val="left"/>
      <w:lvlText w:val="%2."/>
      <w:numFmt w:val="decimal"/>
      <w:start w:val="4"/>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4"/>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7"/>
    </w:lvl>
  </w:abstractNum>
  <w:abstractNum w:abstractNumId="15">
    <w:nsid w:val="7C3DBD3D"/>
    <w:multiLevelType w:val="hybridMultilevel"/>
    <w:lvl w:ilvl="0">
      <w:lvlJc w:val="left"/>
      <w:lvlText w:val="(%1)"/>
      <w:numFmt w:val="decimal"/>
      <w:start w:val="1"/>
    </w:lvl>
    <w:lvl w:ilvl="1">
      <w:lvlJc w:val="left"/>
      <w:lvlText w:val="%2."/>
      <w:numFmt w:val="decimal"/>
      <w:start w:val="5"/>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7"/>
    </w:lvl>
  </w:abstractNum>
  <w:abstractNum w:abstractNumId="18">
    <w:nsid w:val="22221A70"/>
    <w:multiLevelType w:val="hybridMultilevel"/>
    <w:lvl w:ilvl="0">
      <w:lvlJc w:val="left"/>
      <w:lvlText w:val="%1."/>
      <w:numFmt w:val="decimal"/>
      <w:start w:val="8"/>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9"/>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4"/>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lvl w:ilvl="1">
      <w:lvlJc w:val="left"/>
      <w:lvlText w:val="%2."/>
      <w:numFmt w:val="decimal"/>
      <w:start w:val="20"/>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8"/>
    </w:lvl>
  </w:abstractNum>
  <w:abstractNum w:abstractNumId="36">
    <w:nsid w:val="3855585C"/>
    <w:multiLevelType w:val="hybridMultilevel"/>
    <w:lvl w:ilvl="0">
      <w:lvlJc w:val="left"/>
      <w:lvlText w:val="(%1)"/>
      <w:numFmt w:val="decimal"/>
      <w:start w:val="9"/>
    </w:lvl>
  </w:abstractNum>
  <w:abstractNum w:abstractNumId="37">
    <w:nsid w:val="70A64E2A"/>
    <w:multiLevelType w:val="hybridMultilevel"/>
    <w:lvl w:ilvl="0">
      <w:lvlJc w:val="left"/>
      <w:lvlText w:val="(%1)"/>
      <w:numFmt w:val="decimal"/>
      <w:start w:val="11"/>
    </w:lvl>
  </w:abstractNum>
  <w:abstractNum w:abstractNumId="38">
    <w:nsid w:val="6A2342EC"/>
    <w:multiLevelType w:val="hybridMultilevel"/>
    <w:lvl w:ilvl="0">
      <w:lvlJc w:val="left"/>
      <w:lvlText w:val="(%1)"/>
      <w:numFmt w:val="decimal"/>
      <w:start w:val="13"/>
    </w:lvl>
  </w:abstractNum>
  <w:abstractNum w:abstractNumId="39">
    <w:nsid w:val="2A487CB0"/>
    <w:multiLevelType w:val="hybridMultilevel"/>
    <w:lvl w:ilvl="0">
      <w:lvlJc w:val="left"/>
      <w:lvlText w:val="(%1)"/>
      <w:numFmt w:val="decimal"/>
      <w:start w:val="15"/>
    </w:lvl>
  </w:abstractNum>
  <w:abstractNum w:abstractNumId="40">
    <w:nsid w:val="1D4ED43B"/>
    <w:multiLevelType w:val="hybridMultilevel"/>
    <w:lvl w:ilvl="0">
      <w:lvlJc w:val="left"/>
      <w:lvlText w:val="(%1)"/>
      <w:numFmt w:val="decimal"/>
      <w:start w:val="1"/>
    </w:lvl>
    <w:lvl w:ilvl="1">
      <w:lvlJc w:val="left"/>
      <w:lvlText w:val="%2."/>
      <w:numFmt w:val="decimal"/>
      <w:start w:val="22"/>
    </w:lvl>
  </w:abstractNum>
  <w:abstractNum w:abstractNumId="41">
    <w:nsid w:val="725A06FB"/>
    <w:multiLevelType w:val="hybridMultilevel"/>
    <w:lvl w:ilvl="0">
      <w:lvlJc w:val="left"/>
      <w:lvlText w:val="(%1)"/>
      <w:numFmt w:val="upperLetter"/>
      <w:start w:val="1"/>
    </w:lvl>
  </w:abstractNum>
  <w:abstractNum w:abstractNumId="42">
    <w:nsid w:val="2CD89A32"/>
    <w:multiLevelType w:val="hybridMultilevel"/>
    <w:lvl w:ilvl="0">
      <w:lvlJc w:val="left"/>
      <w:lvlText w:val="(%1)"/>
      <w:numFmt w:val="upperLetter"/>
      <w:start w:val="2"/>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lvl w:ilvl="1">
      <w:lvlJc w:val="left"/>
      <w:lvlText w:val="%2."/>
      <w:numFmt w:val="upperLetter"/>
      <w:start w:val="1"/>
    </w:lvl>
  </w:abstractNum>
  <w:abstractNum w:abstractNumId="45">
    <w:nsid w:val="4B588F54"/>
    <w:multiLevelType w:val="hybridMultilevel"/>
    <w:lvl w:ilvl="0">
      <w:lvlJc w:val="left"/>
      <w:lvlText w:val="(%1)"/>
      <w:numFmt w:val="decimal"/>
      <w:start w:val="3"/>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2020-07-07T07:43:56Z</dcterms:created>
  <dcterms:modified xsi:type="dcterms:W3CDTF">2020-07-07T07:43:56Z</dcterms:modified>
</cp:coreProperties>
</file>