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Wang Jian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780"/>
        <w:spacing w:after="0" w:line="339" w:lineRule="auto"/>
        <w:rPr>
          <w:sz w:val="20"/>
          <w:szCs w:val="20"/>
          <w:color w:val="auto"/>
        </w:rPr>
      </w:pPr>
      <w:r>
        <w:rPr>
          <w:rFonts w:ascii="Arial" w:cs="Arial" w:eastAsia="Arial" w:hAnsi="Arial"/>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ACM Research,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ACMR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03"/>
        <w:spacing w:after="0"/>
        <w:rPr>
          <w:sz w:val="20"/>
          <w:szCs w:val="20"/>
          <w:color w:val="auto"/>
        </w:rPr>
      </w:pPr>
      <w:r>
        <w:rPr>
          <w:rFonts w:ascii="Arial" w:cs="Arial" w:eastAsia="Arial" w:hAnsi="Arial"/>
          <w:sz w:val="18"/>
          <w:szCs w:val="18"/>
          <w:color w:val="0000FF"/>
        </w:rPr>
        <w:t>See remarks</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2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80" w:type="dxa"/>
            <w:vAlign w:val="bottom"/>
            <w:gridSpan w:val="10"/>
          </w:tcPr>
          <w:p>
            <w:pPr>
              <w:ind w:left="52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94539</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90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6"/>
          </w:tcPr>
          <w:p>
            <w:pPr>
              <w:jc w:val="center"/>
              <w:ind w:left="2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gridSpan w:val="3"/>
          </w:tcPr>
          <w:p>
            <w:pPr>
              <w:ind w:left="400"/>
              <w:spacing w:after="0" w:line="135"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0000FF"/>
                <w:w w:val="96"/>
              </w:rPr>
              <w:t>By Shengxin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0000FF"/>
              </w:rPr>
              <w:t>(Shanghai)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2040" w:type="dxa"/>
            <w:vAlign w:val="bottom"/>
            <w:gridSpan w:val="3"/>
            <w:vMerge w:val="restart"/>
          </w:tcPr>
          <w:p>
            <w:pPr>
              <w:ind w:left="500"/>
              <w:spacing w:after="0"/>
              <w:rPr>
                <w:sz w:val="20"/>
                <w:szCs w:val="20"/>
                <w:color w:val="auto"/>
              </w:rPr>
            </w:pPr>
            <w:r>
              <w:rPr>
                <w:rFonts w:ascii="Arial" w:cs="Arial" w:eastAsia="Arial" w:hAnsi="Arial"/>
                <w:sz w:val="18"/>
                <w:szCs w:val="18"/>
                <w:color w:val="0000FF"/>
              </w:rPr>
              <w:t>08/23/2019</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color w:val="0000FF"/>
                <w:w w:val="78"/>
              </w:rPr>
              <w:t>D</w:t>
            </w:r>
          </w:p>
        </w:tc>
        <w:tc>
          <w:tcPr>
            <w:tcW w:w="540" w:type="dxa"/>
            <w:vAlign w:val="bottom"/>
          </w:tcPr>
          <w:p>
            <w:pPr>
              <w:spacing w:after="0"/>
              <w:rPr>
                <w:sz w:val="18"/>
                <w:szCs w:val="18"/>
                <w:color w:val="auto"/>
              </w:rPr>
            </w:pPr>
          </w:p>
        </w:tc>
        <w:tc>
          <w:tcPr>
            <w:tcW w:w="900" w:type="dxa"/>
            <w:vAlign w:val="bottom"/>
            <w:vMerge w:val="restart"/>
          </w:tcPr>
          <w:p>
            <w:pPr>
              <w:ind w:left="140"/>
              <w:spacing w:after="0"/>
              <w:rPr>
                <w:sz w:val="20"/>
                <w:szCs w:val="20"/>
                <w:color w:val="auto"/>
              </w:rPr>
            </w:pPr>
            <w:r>
              <w:rPr>
                <w:rFonts w:ascii="Arial" w:cs="Arial" w:eastAsia="Arial" w:hAnsi="Arial"/>
                <w:sz w:val="18"/>
                <w:szCs w:val="18"/>
                <w:color w:val="0000FF"/>
              </w:rPr>
              <w:t>154,821</w:t>
            </w:r>
          </w:p>
        </w:tc>
        <w:tc>
          <w:tcPr>
            <w:tcW w:w="1220" w:type="dxa"/>
            <w:vAlign w:val="bottom"/>
            <w:gridSpan w:val="4"/>
            <w:vMerge w:val="restart"/>
          </w:tcPr>
          <w:p>
            <w:pPr>
              <w:ind w:left="120"/>
              <w:spacing w:after="0"/>
              <w:rPr>
                <w:sz w:val="20"/>
                <w:szCs w:val="20"/>
                <w:color w:val="auto"/>
              </w:rPr>
            </w:pPr>
            <w:r>
              <w:rPr>
                <w:rFonts w:ascii="Arial" w:cs="Arial" w:eastAsia="Arial" w:hAnsi="Arial"/>
                <w:sz w:val="18"/>
                <w:szCs w:val="18"/>
                <w:color w:val="0000FF"/>
                <w:w w:val="97"/>
              </w:rPr>
              <w:t xml:space="preserve">D   </w:t>
            </w:r>
            <w:r>
              <w:rPr>
                <w:rFonts w:ascii="Arial" w:cs="Arial" w:eastAsia="Arial" w:hAnsi="Arial"/>
                <w:sz w:val="18"/>
                <w:szCs w:val="18"/>
                <w:color w:val="000000"/>
                <w:w w:val="97"/>
              </w:rPr>
              <w:t>$</w:t>
            </w:r>
            <w:r>
              <w:rPr>
                <w:rFonts w:ascii="Arial" w:cs="Arial" w:eastAsia="Arial" w:hAnsi="Arial"/>
                <w:sz w:val="18"/>
                <w:szCs w:val="18"/>
                <w:color w:val="0000FF"/>
                <w:w w:val="97"/>
              </w:rPr>
              <w:t>13.195</w:t>
            </w:r>
            <w:r>
              <w:rPr>
                <w:rFonts w:ascii="Arial" w:cs="Arial" w:eastAsia="Arial" w:hAnsi="Arial"/>
                <w:sz w:val="22"/>
                <w:szCs w:val="22"/>
                <w:color w:val="008000"/>
                <w:w w:val="97"/>
                <w:vertAlign w:val="superscript"/>
              </w:rPr>
              <w:t>(1)</w:t>
            </w:r>
          </w:p>
        </w:tc>
        <w:tc>
          <w:tcPr>
            <w:tcW w:w="1280" w:type="dxa"/>
            <w:vAlign w:val="bottom"/>
            <w:gridSpan w:val="3"/>
            <w:vMerge w:val="restart"/>
          </w:tcPr>
          <w:p>
            <w:pPr>
              <w:jc w:val="right"/>
              <w:ind w:right="299"/>
              <w:spacing w:after="0"/>
              <w:rPr>
                <w:sz w:val="20"/>
                <w:szCs w:val="20"/>
                <w:color w:val="auto"/>
              </w:rPr>
            </w:pPr>
            <w:r>
              <w:rPr>
                <w:rFonts w:ascii="Arial" w:cs="Arial" w:eastAsia="Arial" w:hAnsi="Arial"/>
                <w:sz w:val="18"/>
                <w:szCs w:val="18"/>
                <w:color w:val="0000FF"/>
              </w:rPr>
              <w:t>327,067</w:t>
            </w:r>
          </w:p>
        </w:tc>
        <w:tc>
          <w:tcPr>
            <w:tcW w:w="32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60"/>
              <w:spacing w:after="0"/>
              <w:rPr>
                <w:sz w:val="20"/>
                <w:szCs w:val="20"/>
                <w:color w:val="auto"/>
              </w:rPr>
            </w:pPr>
            <w:r>
              <w:rPr>
                <w:rFonts w:ascii="Arial" w:cs="Arial" w:eastAsia="Arial" w:hAnsi="Arial"/>
                <w:sz w:val="18"/>
                <w:szCs w:val="18"/>
                <w:color w:val="0000FF"/>
                <w:w w:val="93"/>
              </w:rPr>
              <w:t>Management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Consulting</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40" w:type="dxa"/>
            <w:vAlign w:val="bottom"/>
            <w:tcBorders>
              <w:bottom w:val="single" w:sz="8" w:color="2C2C2C"/>
            </w:tcBorders>
            <w:gridSpan w:val="5"/>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3"/>
          </w:tcPr>
          <w:p>
            <w:pPr>
              <w:jc w:val="right"/>
              <w:ind w:right="339"/>
              <w:spacing w:after="0"/>
              <w:rPr>
                <w:sz w:val="20"/>
                <w:szCs w:val="20"/>
                <w:color w:val="auto"/>
              </w:rPr>
            </w:pPr>
            <w:r>
              <w:rPr>
                <w:rFonts w:ascii="Arial" w:cs="Arial" w:eastAsia="Arial" w:hAnsi="Arial"/>
                <w:sz w:val="18"/>
                <w:szCs w:val="18"/>
                <w:color w:val="0000FF"/>
              </w:rPr>
              <w:t>84,386</w:t>
            </w:r>
          </w:p>
        </w:tc>
        <w:tc>
          <w:tcPr>
            <w:tcW w:w="32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0000FF"/>
              </w:rPr>
              <w:t>D</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900" w:type="dxa"/>
            <w:vAlign w:val="bottom"/>
            <w:tcBorders>
              <w:bottom w:val="single" w:sz="8" w:color="2C2C2C"/>
            </w:tcBorders>
            <w:gridSpan w:val="7"/>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5"/>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a public offering of Class A Common Stock by the Issuer, Shengxin (Shanghai) Management Consulting Limited Partnership ("SMC") and certain other stockholders entered into an Equity Purchase Agreement dated August 4, 2019 pursuant to which SMC and such stockholders agreed to sell, and the Issuer agreed to purchase, shares of the Issuer's Common Stock funded by the net proceeds, if any, from the Issuer's sale of Class A Common Stock pursuant to an exercise of the underwriters' over-allotment option. The obligations of the parties to the Equity Purchase Agreement became fixed and irrevocable as of the transaction date, which is the date of the closing of the underwriters' over-allotment option. The transaction being reported relates to SMC's sale under the Equity Purchase Agreement. Mr. Wang, the reporting person, is a general partner of SMC and therefore may be deemed to beneficially own the securities held by SMC.</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Research and Development of ACM Research (Shanghai), Inc., a subsidiary of the Issuer</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Mark L. Johnson,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 for Jian Wang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65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583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08/27/2019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62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2019-12-24T09:10:04Z</dcterms:created>
  <dcterms:modified xsi:type="dcterms:W3CDTF">2019-12-24T09:10:04Z</dcterms:modified>
</cp:coreProperties>
</file>