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18"/>
          <w:szCs w:val="18"/>
          <w:color w:val="auto"/>
        </w:rPr>
        <w:t>ACM Research, Inc.</w:t>
      </w:r>
    </w:p>
    <w:p>
      <w:pPr>
        <w:spacing w:after="0" w:line="23"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42307 Osgood Road, Suite I</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Fremont, CA 94539</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October 31, 2017</w:t>
      </w:r>
    </w:p>
    <w:p>
      <w:pPr>
        <w:spacing w:after="0" w:line="22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By EDGAR and FedEx</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9" w:lineRule="exact"/>
        <w:rPr>
          <w:sz w:val="24"/>
          <w:szCs w:val="24"/>
          <w:color w:val="auto"/>
        </w:rPr>
      </w:pPr>
    </w:p>
    <w:p>
      <w:pPr>
        <w:spacing w:after="0"/>
        <w:tabs>
          <w:tab w:leader="none" w:pos="112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8"/>
          <w:szCs w:val="18"/>
          <w:color w:val="auto"/>
        </w:rPr>
        <w:t>Amanda Ravitz</w:t>
      </w:r>
    </w:p>
    <w:p>
      <w:pPr>
        <w:spacing w:after="0" w:line="9" w:lineRule="exact"/>
        <w:rPr>
          <w:sz w:val="24"/>
          <w:szCs w:val="24"/>
          <w:color w:val="auto"/>
        </w:rPr>
      </w:pPr>
    </w:p>
    <w:p>
      <w:pPr>
        <w:ind w:left="1140"/>
        <w:spacing w:after="0"/>
        <w:rPr>
          <w:sz w:val="20"/>
          <w:szCs w:val="20"/>
          <w:color w:val="auto"/>
        </w:rPr>
      </w:pPr>
      <w:r>
        <w:rPr>
          <w:rFonts w:ascii="Arial" w:cs="Arial" w:eastAsia="Arial" w:hAnsi="Arial"/>
          <w:sz w:val="18"/>
          <w:szCs w:val="18"/>
          <w:color w:val="auto"/>
        </w:rPr>
        <w:t>Laurie Abbott</w:t>
      </w:r>
    </w:p>
    <w:p>
      <w:pPr>
        <w:spacing w:after="0" w:line="234" w:lineRule="exact"/>
        <w:rPr>
          <w:sz w:val="24"/>
          <w:szCs w:val="24"/>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Re:</w:t>
      </w:r>
      <w:r>
        <w:rPr>
          <w:sz w:val="20"/>
          <w:szCs w:val="20"/>
          <w:color w:val="auto"/>
        </w:rPr>
        <w:tab/>
      </w:r>
      <w:r>
        <w:rPr>
          <w:rFonts w:ascii="Arial" w:cs="Arial" w:eastAsia="Arial" w:hAnsi="Arial"/>
          <w:sz w:val="16"/>
          <w:szCs w:val="16"/>
          <w:b w:val="1"/>
          <w:bCs w:val="1"/>
          <w:color w:val="auto"/>
        </w:rPr>
        <w:t>ACM Research, Inc.</w:t>
      </w:r>
    </w:p>
    <w:p>
      <w:pPr>
        <w:spacing w:after="0" w:line="27" w:lineRule="exact"/>
        <w:rPr>
          <w:sz w:val="24"/>
          <w:szCs w:val="24"/>
          <w:color w:val="auto"/>
        </w:rPr>
      </w:pPr>
    </w:p>
    <w:p>
      <w:pPr>
        <w:ind w:left="460"/>
        <w:spacing w:after="0"/>
        <w:rPr>
          <w:sz w:val="20"/>
          <w:szCs w:val="20"/>
          <w:color w:val="auto"/>
        </w:rPr>
      </w:pPr>
      <w:r>
        <w:rPr>
          <w:rFonts w:ascii="Arial" w:cs="Arial" w:eastAsia="Arial" w:hAnsi="Arial"/>
          <w:sz w:val="18"/>
          <w:szCs w:val="18"/>
          <w:b w:val="1"/>
          <w:bCs w:val="1"/>
          <w:color w:val="auto"/>
        </w:rPr>
        <w:t>Registration Statement on Form S-1 (File No. 333-220451)</w:t>
      </w:r>
    </w:p>
    <w:p>
      <w:pPr>
        <w:spacing w:after="0" w:line="9" w:lineRule="exact"/>
        <w:rPr>
          <w:sz w:val="24"/>
          <w:szCs w:val="24"/>
          <w:color w:val="auto"/>
        </w:rPr>
      </w:pPr>
    </w:p>
    <w:p>
      <w:pPr>
        <w:ind w:left="460"/>
        <w:spacing w:after="0"/>
        <w:rPr>
          <w:sz w:val="20"/>
          <w:szCs w:val="20"/>
          <w:color w:val="auto"/>
        </w:rPr>
      </w:pPr>
      <w:r>
        <w:rPr>
          <w:rFonts w:ascii="Arial" w:cs="Arial" w:eastAsia="Arial" w:hAnsi="Arial"/>
          <w:sz w:val="18"/>
          <w:szCs w:val="18"/>
          <w:b w:val="1"/>
          <w:bCs w:val="1"/>
          <w:color w:val="auto"/>
        </w:rPr>
        <w:t>Request for Acceleration of Effective Date</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7" w:lineRule="exact"/>
        <w:rPr>
          <w:sz w:val="24"/>
          <w:szCs w:val="24"/>
          <w:color w:val="auto"/>
        </w:rPr>
      </w:pPr>
    </w:p>
    <w:p>
      <w:pPr>
        <w:spacing w:after="0" w:line="259" w:lineRule="auto"/>
        <w:rPr>
          <w:sz w:val="20"/>
          <w:szCs w:val="20"/>
          <w:color w:val="auto"/>
        </w:rPr>
      </w:pPr>
      <w:r>
        <w:rPr>
          <w:rFonts w:ascii="Arial" w:cs="Arial" w:eastAsia="Arial" w:hAnsi="Arial"/>
          <w:sz w:val="18"/>
          <w:szCs w:val="18"/>
          <w:color w:val="auto"/>
        </w:rPr>
        <w:t>Pursuant to Rule 461 under the Securities Act of 1933, as amended, ACM Research, Inc. (the “</w:t>
      </w:r>
      <w:r>
        <w:rPr>
          <w:rFonts w:ascii="Arial" w:cs="Arial" w:eastAsia="Arial" w:hAnsi="Arial"/>
          <w:sz w:val="18"/>
          <w:szCs w:val="18"/>
          <w:i w:val="1"/>
          <w:iCs w:val="1"/>
          <w:color w:val="auto"/>
        </w:rPr>
        <w:t>Registrant</w:t>
      </w:r>
      <w:r>
        <w:rPr>
          <w:rFonts w:ascii="Arial" w:cs="Arial" w:eastAsia="Arial" w:hAnsi="Arial"/>
          <w:sz w:val="18"/>
          <w:szCs w:val="18"/>
          <w:color w:val="auto"/>
        </w:rPr>
        <w:t>”) hereby requests acceleration of the effective date of the above-referenced Registration Statement on Form S-1 (File No. 333-220451) (as amended, the “</w:t>
      </w:r>
      <w:r>
        <w:rPr>
          <w:rFonts w:ascii="Arial" w:cs="Arial" w:eastAsia="Arial" w:hAnsi="Arial"/>
          <w:sz w:val="18"/>
          <w:szCs w:val="18"/>
          <w:i w:val="1"/>
          <w:iCs w:val="1"/>
          <w:color w:val="auto"/>
        </w:rPr>
        <w:t>Registration Statement</w:t>
      </w:r>
      <w:r>
        <w:rPr>
          <w:rFonts w:ascii="Arial" w:cs="Arial" w:eastAsia="Arial" w:hAnsi="Arial"/>
          <w:sz w:val="18"/>
          <w:szCs w:val="18"/>
          <w:color w:val="auto"/>
        </w:rPr>
        <w:t>”), so that it may become effective at 5:00 p.m. Eastern Time on November 2, 2017, or as soon thereafter as practicable. By separate letter, the representatives of the underwriters of the issuance of the securities being registered join this request for acceleration.</w:t>
      </w:r>
    </w:p>
    <w:p>
      <w:pPr>
        <w:spacing w:after="0" w:line="187"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Please do not hesitate to contact our legal counsel, Mark L. Johnson, at (617) 261-3260, if you have any questions or would like additional information regarding this matter.</w:t>
      </w:r>
    </w:p>
    <w:p>
      <w:pPr>
        <w:spacing w:after="0" w:line="170" w:lineRule="exact"/>
        <w:rPr>
          <w:sz w:val="24"/>
          <w:szCs w:val="24"/>
          <w:color w:val="auto"/>
        </w:rPr>
      </w:pPr>
    </w:p>
    <w:p>
      <w:pPr>
        <w:jc w:val="center"/>
        <w:ind w:right="-39"/>
        <w:spacing w:after="0"/>
        <w:rPr>
          <w:sz w:val="20"/>
          <w:szCs w:val="20"/>
          <w:color w:val="auto"/>
        </w:rPr>
      </w:pPr>
      <w:r>
        <w:rPr>
          <w:rFonts w:ascii="Arial" w:cs="Arial" w:eastAsia="Arial" w:hAnsi="Arial"/>
          <w:sz w:val="18"/>
          <w:szCs w:val="18"/>
          <w:i w:val="1"/>
          <w:iCs w:val="1"/>
          <w:color w:val="auto"/>
        </w:rPr>
        <w:t>[Signature Page Follows]</w:t>
      </w:r>
    </w:p>
    <w:p>
      <w:pPr>
        <w:sectPr>
          <w:pgSz w:w="11900" w:h="16838" w:orient="portrait"/>
          <w:cols w:equalWidth="0" w:num="1">
            <w:col w:w="11400"/>
          </w:cols>
          <w:pgMar w:left="240" w:top="233" w:right="259" w:bottom="1440" w:gutter="0" w:footer="0" w:header="0"/>
        </w:sectPr>
      </w:pPr>
    </w:p>
    <w:bookmarkStart w:id="1" w:name="page2"/>
    <w:bookmarkEnd w:id="1"/>
    <w:p>
      <w:pPr>
        <w:ind w:left="68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Sincerely,</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ACM Research, Inc.</w:t>
      </w:r>
    </w:p>
    <w:p>
      <w:pPr>
        <w:spacing w:after="0" w:line="23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David H. Wang</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David H. Wang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-130810</wp:posOffset>
            </wp:positionV>
            <wp:extent cx="271843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jc w:val="right"/>
        <w:ind w:right="239"/>
        <w:spacing w:after="0"/>
        <w:rPr>
          <w:sz w:val="20"/>
          <w:szCs w:val="20"/>
          <w:color w:val="auto"/>
        </w:rPr>
      </w:pPr>
      <w:r>
        <w:rPr>
          <w:rFonts w:ascii="Arial" w:cs="Arial" w:eastAsia="Arial" w:hAnsi="Arial"/>
          <w:sz w:val="18"/>
          <w:szCs w:val="18"/>
          <w:color w:val="auto"/>
        </w:rPr>
        <w:t>Chief Executive Officer and President</w:t>
      </w:r>
    </w:p>
    <w:p>
      <w:pPr>
        <w:spacing w:after="0" w:line="373" w:lineRule="exact"/>
        <w:rPr>
          <w:sz w:val="20"/>
          <w:szCs w:val="20"/>
          <w:color w:val="auto"/>
        </w:rPr>
      </w:pPr>
    </w:p>
    <w:p>
      <w:pPr>
        <w:ind w:left="460" w:right="7239" w:hanging="452"/>
        <w:spacing w:after="0" w:line="312" w:lineRule="auto"/>
        <w:tabs>
          <w:tab w:leader="none" w:pos="449" w:val="left"/>
        </w:tabs>
        <w:numPr>
          <w:ilvl w:val="0"/>
          <w:numId w:val="1"/>
        </w:numPr>
        <w:rPr>
          <w:rFonts w:ascii="Arial" w:cs="Arial" w:eastAsia="Arial" w:hAnsi="Arial"/>
          <w:sz w:val="16"/>
          <w:szCs w:val="16"/>
          <w:color w:val="auto"/>
        </w:rPr>
      </w:pPr>
      <w:r>
        <w:rPr>
          <w:rFonts w:ascii="Arial" w:cs="Arial" w:eastAsia="Arial" w:hAnsi="Arial"/>
          <w:sz w:val="16"/>
          <w:szCs w:val="16"/>
          <w:color w:val="auto"/>
        </w:rPr>
        <w:t>Min Xu, ACM Research, Inc. Seo Salimi, Goodwin Procter LLP Mark L. Johnson, K&amp;L Gates LLP</w:t>
      </w:r>
    </w:p>
    <w:sectPr>
      <w:pgSz w:w="11900" w:h="16838" w:orient="portrait"/>
      <w:cols w:equalWidth="0" w:num="1">
        <w:col w:w="10219"/>
      </w:cols>
      <w:pgMar w:left="240" w:top="27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29"/>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2019-12-08T06:56:15Z</dcterms:created>
  <dcterms:modified xsi:type="dcterms:W3CDTF">2019-12-08T06:56:15Z</dcterms:modified>
</cp:coreProperties>
</file>