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May 20,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May 2025 Investor Relations Activity (the “Record”). The SSE posted the Record to the SSE’s website on May 20, 2025. A copy of the Record is attached as Exhibit 99.1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288" w:hanging="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pPr>
            <w:hyperlink w:anchor="ef20049628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Record of May 2025 Investor Relations Activity filed by ACM Research (Shanghai), Inc. with the Shanghai Stock Exchange on May 20, 2025</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Unofficial English translation of original document prepared in Mandarin Chinese.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084" w:type="dxa"/>
        <w:jc w:val="left"/>
        <w:tblInd w:w="0" w:type="dxa"/>
        <w:tblLayout w:type="fixed"/>
        <w:tblCellMar>
          <w:top w:w="0" w:type="dxa"/>
          <w:left w:w="0" w:type="dxa"/>
          <w:bottom w:w="0" w:type="dxa"/>
          <w:right w:w="0" w:type="dxa"/>
        </w:tblCellMar>
      </w:tblPr>
      <w:tblGrid>
        <w:gridCol w:w="1745"/>
        <w:gridCol w:w="320"/>
        <w:gridCol w:w="2916"/>
        <w:gridCol w:w="103"/>
      </w:tblGrid>
      <w:tr>
        <w:trPr/>
        <w:tc>
          <w:tcPr>
            <w:tcW w:w="1745"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745" w:type="dxa"/>
            <w:tcBorders/>
            <w:vAlign w:val="center"/>
          </w:tcPr>
          <w:p>
            <w:pPr>
              <w:pStyle w:val="TableContents"/>
              <w:bidi w:val="0"/>
              <w:spacing w:before="0" w:after="283"/>
              <w:jc w:val="left"/>
              <w:rPr/>
            </w:pPr>
            <w:r>
              <w:rPr/>
              <w:t> </w:t>
            </w:r>
          </w:p>
        </w:tc>
        <w:tc>
          <w:tcPr>
            <w:tcW w:w="3339"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1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c>
          <w:tcPr>
            <w:tcW w:w="103"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May 23, 2025</w:t>
            </w:r>
          </w:p>
        </w:tc>
        <w:tc>
          <w:tcPr>
            <w:tcW w:w="320"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49628_ex99-1.htm"/>
      <w:bookmarkStart w:id="1" w:name="ksef20049628_ex991"/>
      <w:bookmarkStart w:id="2" w:name="ef20049628_ex99-1.htm"/>
      <w:bookmarkStart w:id="3" w:name="ksef20049628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4" w:name="z1f64132fe99e4a82b81057db291be6f5"/>
      <w:bookmarkStart w:id="5" w:name="z1f64132fe99e4a82b81057db291be6f5"/>
      <w:bookmarkEnd w:id="5"/>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266700"/>
                          </a:xfrm>
                          <a:prstGeom prst="rect">
                            <a:avLst/>
                          </a:prstGeom>
                        </pic:spPr>
                      </pic:pic>
                    </a:graphicData>
                  </a:graphic>
                </wp:inline>
              </w:drawing>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8c34b3108cc04978948523d3f502d52b"/>
      <w:bookmarkStart w:id="7" w:name="z8c34b3108cc04978948523d3f502d52b"/>
      <w:bookmarkEnd w:id="7"/>
    </w:p>
    <w:tbl>
      <w:tblPr>
        <w:tblW w:w="4180" w:type="dxa"/>
        <w:jc w:val="left"/>
        <w:tblInd w:w="0" w:type="dxa"/>
        <w:tblLayout w:type="fixed"/>
        <w:tblCellMar>
          <w:top w:w="0" w:type="dxa"/>
          <w:left w:w="0" w:type="dxa"/>
          <w:bottom w:w="0" w:type="dxa"/>
          <w:right w:w="0" w:type="dxa"/>
        </w:tblCellMar>
      </w:tblPr>
      <w:tblGrid>
        <w:gridCol w:w="1700"/>
        <w:gridCol w:w="60"/>
        <w:gridCol w:w="2420"/>
      </w:tblGrid>
      <w:tr>
        <w:trPr/>
        <w:tc>
          <w:tcPr>
            <w:tcW w:w="17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Stock Code: 688082</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Short Name: ACM Shanghai</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 (Shanghai),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Records of Investor Relation Activities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 2025-02</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24700a39ffdd41f38ce7b72df5c94dc9"/>
      <w:bookmarkStart w:id="9" w:name="z24700a39ffdd41f38ce7b72df5c94dc9"/>
      <w:bookmarkEnd w:id="9"/>
    </w:p>
    <w:tbl>
      <w:tblPr>
        <w:tblW w:w="5955" w:type="dxa"/>
        <w:jc w:val="left"/>
        <w:tblInd w:w="-15" w:type="dxa"/>
        <w:tblLayout w:type="fixed"/>
        <w:tblCellMar>
          <w:top w:w="28" w:type="dxa"/>
          <w:left w:w="28" w:type="dxa"/>
          <w:bottom w:w="28" w:type="dxa"/>
          <w:right w:w="0" w:type="dxa"/>
        </w:tblCellMar>
      </w:tblPr>
      <w:tblGrid>
        <w:gridCol w:w="60"/>
        <w:gridCol w:w="1640"/>
        <w:gridCol w:w="60"/>
        <w:gridCol w:w="2570"/>
        <w:gridCol w:w="1625"/>
      </w:tblGrid>
      <w:tr>
        <w:trPr/>
        <w:tc>
          <w:tcPr>
            <w:tcW w:w="60"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640" w:type="dxa"/>
            <w:vMerge w:val="restart"/>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b/>
                <w:sz w:val="20"/>
              </w:rPr>
            </w:pPr>
            <w:r>
              <w:rPr>
                <w:b/>
                <w:sz w:val="20"/>
              </w:rPr>
              <w:t xml:space="preserve">Type of investor </w:t>
            </w:r>
          </w:p>
          <w:p>
            <w:pPr>
              <w:pStyle w:val="TableContents"/>
              <w:bidi w:val="0"/>
              <w:spacing w:before="0" w:after="0"/>
              <w:jc w:val="left"/>
              <w:rPr>
                <w:b/>
                <w:sz w:val="20"/>
              </w:rPr>
            </w:pPr>
            <w:r>
              <w:rPr>
                <w:b/>
                <w:sz w:val="20"/>
              </w:rPr>
              <w:t>relation activities   </w:t>
            </w:r>
          </w:p>
        </w:tc>
        <w:tc>
          <w:tcPr>
            <w:tcW w:w="60" w:type="dxa"/>
            <w:tcBorders>
              <w:top w:val="single" w:sz="12" w:space="0" w:color="000000"/>
            </w:tcBorders>
            <w:tcMar>
              <w:left w:w="0" w:type="dxa"/>
              <w:bottom w:w="0" w:type="dxa"/>
            </w:tcMar>
            <w:vAlign w:val="center"/>
          </w:tcPr>
          <w:p>
            <w:pPr>
              <w:pStyle w:val="TableContents"/>
              <w:bidi w:val="0"/>
              <w:spacing w:before="0" w:after="283"/>
              <w:jc w:val="left"/>
              <w:rPr/>
            </w:pPr>
            <w:r>
              <w:rPr/>
              <w:t> </w:t>
            </w:r>
          </w:p>
        </w:tc>
        <w:tc>
          <w:tcPr>
            <w:tcW w:w="2570" w:type="dxa"/>
            <w:tcBorders>
              <w:top w:val="single" w:sz="12" w:space="0" w:color="000000"/>
            </w:tcBorders>
            <w:tcMar>
              <w:left w:w="0" w:type="dxa"/>
              <w:bottom w:w="0" w:type="dxa"/>
            </w:tcMar>
            <w:vAlign w:val="center"/>
          </w:tcPr>
          <w:p>
            <w:pPr>
              <w:pStyle w:val="TableContents"/>
              <w:bidi w:val="0"/>
              <w:spacing w:before="0" w:after="283"/>
              <w:jc w:val="left"/>
              <w:rPr/>
            </w:pPr>
            <w:r>
              <w:rPr/>
              <w:t xml:space="preserve">☐ </w:t>
            </w:r>
            <w:r>
              <w:rPr>
                <w:rFonts w:ascii="Times New Roman" w:hAnsi="Times New Roman"/>
                <w:sz w:val="20"/>
              </w:rPr>
              <w:t>Survey by specific investors</w:t>
            </w:r>
          </w:p>
        </w:tc>
        <w:tc>
          <w:tcPr>
            <w:tcW w:w="1625" w:type="dxa"/>
            <w:tcBorders>
              <w:top w:val="single" w:sz="12" w:space="0" w:color="000000"/>
              <w:right w:val="single" w:sz="12" w:space="0" w:color="000000"/>
            </w:tcBorders>
            <w:tcMar>
              <w:left w:w="0" w:type="dxa"/>
              <w:bottom w:w="0" w:type="dxa"/>
              <w:right w:w="28" w:type="dxa"/>
            </w:tcMar>
            <w:vAlign w:val="center"/>
          </w:tcPr>
          <w:p>
            <w:pPr>
              <w:pStyle w:val="TableContents"/>
              <w:bidi w:val="0"/>
              <w:spacing w:before="0" w:after="283"/>
              <w:jc w:val="left"/>
              <w:rPr/>
            </w:pPr>
            <w:r>
              <w:rPr/>
              <w:t xml:space="preserve">☐ </w:t>
            </w:r>
            <w:r>
              <w:rPr>
                <w:rFonts w:ascii="Times New Roman" w:hAnsi="Times New Roman"/>
                <w:sz w:val="20"/>
              </w:rPr>
              <w:t>Analyst meeting</w:t>
            </w:r>
          </w:p>
        </w:tc>
      </w:tr>
      <w:tr>
        <w:trPr/>
        <w:tc>
          <w:tcPr>
            <w:tcW w:w="60"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1640" w:type="dxa"/>
            <w:vMerge w:val="continue"/>
            <w:tcBorders>
              <w:top w:val="single" w:sz="12" w:space="0" w:color="000000"/>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2570" w:type="dxa"/>
            <w:tcBorders/>
            <w:tcMar>
              <w:top w:w="0" w:type="dxa"/>
              <w:left w:w="0" w:type="dxa"/>
              <w:bottom w:w="0" w:type="dxa"/>
            </w:tcMar>
            <w:vAlign w:val="center"/>
          </w:tcPr>
          <w:p>
            <w:pPr>
              <w:pStyle w:val="TableContents"/>
              <w:bidi w:val="0"/>
              <w:spacing w:before="0" w:after="283"/>
              <w:jc w:val="left"/>
              <w:rPr/>
            </w:pPr>
            <w:r>
              <w:rPr/>
              <w:t xml:space="preserve">☐ </w:t>
            </w:r>
            <w:r>
              <w:rPr>
                <w:rFonts w:ascii="Times New Roman" w:hAnsi="Times New Roman"/>
                <w:sz w:val="20"/>
              </w:rPr>
              <w:t>Media interview</w:t>
            </w:r>
          </w:p>
        </w:tc>
        <w:tc>
          <w:tcPr>
            <w:tcW w:w="1625"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xml:space="preserve">✓ </w:t>
            </w:r>
            <w:r>
              <w:rPr>
                <w:rFonts w:ascii="Times New Roman" w:hAnsi="Times New Roman"/>
                <w:sz w:val="20"/>
              </w:rPr>
              <w:t>Earnings Call</w:t>
            </w:r>
          </w:p>
        </w:tc>
      </w:tr>
      <w:tr>
        <w:trPr/>
        <w:tc>
          <w:tcPr>
            <w:tcW w:w="60"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1640" w:type="dxa"/>
            <w:vMerge w:val="continue"/>
            <w:tcBorders>
              <w:top w:val="single" w:sz="12" w:space="0" w:color="000000"/>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2570" w:type="dxa"/>
            <w:tcBorders/>
            <w:tcMar>
              <w:top w:w="0" w:type="dxa"/>
              <w:left w:w="0" w:type="dxa"/>
              <w:bottom w:w="0" w:type="dxa"/>
            </w:tcMar>
            <w:vAlign w:val="center"/>
          </w:tcPr>
          <w:p>
            <w:pPr>
              <w:pStyle w:val="TableContents"/>
              <w:bidi w:val="0"/>
              <w:spacing w:before="0" w:after="283"/>
              <w:jc w:val="left"/>
              <w:rPr/>
            </w:pPr>
            <w:r>
              <w:rPr/>
              <w:t xml:space="preserve">☐ </w:t>
            </w:r>
            <w:r>
              <w:rPr>
                <w:rFonts w:ascii="Times New Roman" w:hAnsi="Times New Roman"/>
                <w:sz w:val="20"/>
              </w:rPr>
              <w:t>Press conference</w:t>
            </w:r>
          </w:p>
        </w:tc>
        <w:tc>
          <w:tcPr>
            <w:tcW w:w="1625"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xml:space="preserve">☐ </w:t>
            </w:r>
            <w:r>
              <w:rPr>
                <w:rFonts w:ascii="Times New Roman" w:hAnsi="Times New Roman"/>
                <w:sz w:val="20"/>
              </w:rPr>
              <w:t>Roadshow</w:t>
            </w:r>
          </w:p>
        </w:tc>
      </w:tr>
      <w:tr>
        <w:trPr/>
        <w:tc>
          <w:tcPr>
            <w:tcW w:w="60"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1640" w:type="dxa"/>
            <w:vMerge w:val="continue"/>
            <w:tcBorders>
              <w:top w:val="single" w:sz="12" w:space="0" w:color="000000"/>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2570" w:type="dxa"/>
            <w:tcBorders>
              <w:bottom w:val="single" w:sz="12" w:space="0" w:color="000000"/>
            </w:tcBorders>
            <w:tcMar>
              <w:top w:w="0" w:type="dxa"/>
              <w:left w:w="0" w:type="dxa"/>
            </w:tcMar>
            <w:vAlign w:val="center"/>
          </w:tcPr>
          <w:p>
            <w:pPr>
              <w:pStyle w:val="TableContents"/>
              <w:bidi w:val="0"/>
              <w:spacing w:before="0" w:after="283"/>
              <w:jc w:val="left"/>
              <w:rPr/>
            </w:pPr>
            <w:r>
              <w:rPr/>
              <w:t xml:space="preserve">☐ </w:t>
            </w:r>
            <w:r>
              <w:rPr>
                <w:rFonts w:ascii="Times New Roman" w:hAnsi="Times New Roman"/>
                <w:sz w:val="20"/>
              </w:rPr>
              <w:t>On-site visit</w:t>
            </w:r>
          </w:p>
        </w:tc>
        <w:tc>
          <w:tcPr>
            <w:tcW w:w="162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xml:space="preserve">☐ </w:t>
            </w:r>
            <w:r>
              <w:rPr>
                <w:rFonts w:ascii="Times New Roman" w:hAnsi="Times New Roman"/>
                <w:sz w:val="20"/>
              </w:rPr>
              <w:t>Others</w:t>
            </w:r>
          </w:p>
        </w:tc>
      </w:tr>
    </w:tbl>
    <w:tbl>
      <w:tblPr>
        <w:tblW w:w="10205" w:type="dxa"/>
        <w:jc w:val="left"/>
        <w:tblInd w:w="-15" w:type="dxa"/>
        <w:tblLayout w:type="fixed"/>
        <w:tblCellMar>
          <w:top w:w="0" w:type="dxa"/>
          <w:left w:w="28" w:type="dxa"/>
          <w:bottom w:w="28" w:type="dxa"/>
          <w:right w:w="0" w:type="dxa"/>
        </w:tblCellMar>
      </w:tblPr>
      <w:tblGrid>
        <w:gridCol w:w="23"/>
        <w:gridCol w:w="1559"/>
        <w:gridCol w:w="60"/>
        <w:gridCol w:w="8502"/>
        <w:gridCol w:w="61"/>
      </w:tblGrid>
      <w:tr>
        <w:trPr/>
        <w:tc>
          <w:tcPr>
            <w:tcW w:w="23" w:type="dxa"/>
            <w:tcBorders>
              <w:left w:val="single" w:sz="12" w:space="0" w:color="000000"/>
              <w:bottom w:val="single" w:sz="12" w:space="0" w:color="000000"/>
            </w:tcBorders>
            <w:vAlign w:val="center"/>
          </w:tcPr>
          <w:p>
            <w:pPr>
              <w:pStyle w:val="TableContents"/>
              <w:bidi w:val="0"/>
              <w:spacing w:before="0" w:after="283"/>
              <w:jc w:val="left"/>
              <w:rPr/>
            </w:pPr>
            <w:r>
              <w:rPr/>
            </w:r>
          </w:p>
        </w:tc>
        <w:tc>
          <w:tcPr>
            <w:tcW w:w="1559"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Date</w:t>
            </w:r>
          </w:p>
        </w:tc>
        <w:tc>
          <w:tcPr>
            <w:tcW w:w="60" w:type="dxa"/>
            <w:tcBorders>
              <w:bottom w:val="single" w:sz="12" w:space="0" w:color="000000"/>
            </w:tcBorders>
            <w:tcMar>
              <w:left w:w="0" w:type="dxa"/>
            </w:tcMar>
            <w:vAlign w:val="center"/>
          </w:tcPr>
          <w:p>
            <w:pPr>
              <w:pStyle w:val="TableContents"/>
              <w:bidi w:val="0"/>
              <w:spacing w:before="0" w:after="283"/>
              <w:jc w:val="left"/>
              <w:rPr/>
            </w:pPr>
            <w:r>
              <w:rPr/>
              <w:t> </w:t>
            </w:r>
          </w:p>
        </w:tc>
        <w:tc>
          <w:tcPr>
            <w:tcW w:w="8502" w:type="dxa"/>
            <w:tcBorders>
              <w:bottom w:val="single" w:sz="12" w:space="0" w:color="000000"/>
            </w:tcBorders>
            <w:tcMar>
              <w:lef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May 15, 2025</w:t>
            </w:r>
          </w:p>
        </w:tc>
        <w:tc>
          <w:tcPr>
            <w:tcW w:w="61" w:type="dxa"/>
            <w:tcBorders>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vAlign w:val="center"/>
          </w:tcPr>
          <w:p>
            <w:pPr>
              <w:pStyle w:val="TableContents"/>
              <w:bidi w:val="0"/>
              <w:spacing w:before="0" w:after="283"/>
              <w:jc w:val="left"/>
              <w:rPr/>
            </w:pPr>
            <w:r>
              <w:rPr/>
            </w:r>
          </w:p>
        </w:tc>
        <w:tc>
          <w:tcPr>
            <w:tcW w:w="1559"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Venue</w:t>
            </w:r>
          </w:p>
        </w:tc>
        <w:tc>
          <w:tcPr>
            <w:tcW w:w="60" w:type="dxa"/>
            <w:tcBorders>
              <w:bottom w:val="single" w:sz="12" w:space="0" w:color="000000"/>
            </w:tcBorders>
            <w:tcMar>
              <w:left w:w="0" w:type="dxa"/>
            </w:tcMar>
            <w:vAlign w:val="center"/>
          </w:tcPr>
          <w:p>
            <w:pPr>
              <w:pStyle w:val="TableContents"/>
              <w:bidi w:val="0"/>
              <w:spacing w:before="0" w:after="283"/>
              <w:jc w:val="left"/>
              <w:rPr/>
            </w:pPr>
            <w:r>
              <w:rPr/>
              <w:t> </w:t>
            </w:r>
          </w:p>
        </w:tc>
        <w:tc>
          <w:tcPr>
            <w:tcW w:w="8502" w:type="dxa"/>
            <w:tcBorders>
              <w:bottom w:val="single" w:sz="12" w:space="0" w:color="000000"/>
            </w:tcBorders>
            <w:tcMar>
              <w:lef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Conference call</w:t>
            </w:r>
          </w:p>
        </w:tc>
        <w:tc>
          <w:tcPr>
            <w:tcW w:w="61" w:type="dxa"/>
            <w:tcBorders>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vAlign w:val="center"/>
          </w:tcPr>
          <w:p>
            <w:pPr>
              <w:pStyle w:val="TableContents"/>
              <w:bidi w:val="0"/>
              <w:spacing w:before="0" w:after="283"/>
              <w:jc w:val="left"/>
              <w:rPr/>
            </w:pPr>
            <w:r>
              <w:rPr/>
            </w:r>
          </w:p>
        </w:tc>
        <w:tc>
          <w:tcPr>
            <w:tcW w:w="1559"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Representatives of the</w:t>
            </w:r>
          </w:p>
          <w:p>
            <w:pPr>
              <w:pStyle w:val="TableContents"/>
              <w:bidi w:val="0"/>
              <w:spacing w:before="0" w:after="0"/>
              <w:jc w:val="both"/>
              <w:rPr>
                <w:rFonts w:ascii="Times New Roman" w:hAnsi="Times New Roman"/>
                <w:b/>
                <w:sz w:val="20"/>
              </w:rPr>
            </w:pPr>
            <w:r>
              <w:rPr>
                <w:rFonts w:ascii="Times New Roman" w:hAnsi="Times New Roman"/>
                <w:b/>
                <w:sz w:val="20"/>
              </w:rPr>
              <w:t>listed company</w:t>
            </w:r>
          </w:p>
        </w:tc>
        <w:tc>
          <w:tcPr>
            <w:tcW w:w="60" w:type="dxa"/>
            <w:tcBorders>
              <w:bottom w:val="single" w:sz="12" w:space="0" w:color="000000"/>
            </w:tcBorders>
            <w:tcMar>
              <w:left w:w="0" w:type="dxa"/>
            </w:tcMar>
            <w:vAlign w:val="center"/>
          </w:tcPr>
          <w:p>
            <w:pPr>
              <w:pStyle w:val="TableContents"/>
              <w:bidi w:val="0"/>
              <w:spacing w:before="0" w:after="283"/>
              <w:jc w:val="left"/>
              <w:rPr/>
            </w:pPr>
            <w:r>
              <w:rPr/>
              <w:t> </w:t>
            </w:r>
          </w:p>
        </w:tc>
        <w:tc>
          <w:tcPr>
            <w:tcW w:w="8502" w:type="dxa"/>
            <w:tcBorders>
              <w:bottom w:val="single" w:sz="12" w:space="0" w:color="000000"/>
            </w:tcBorders>
            <w:tcMar>
              <w:left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Chairman: Hui WANG</w:t>
            </w:r>
          </w:p>
          <w:p>
            <w:pPr>
              <w:pStyle w:val="TableContents"/>
              <w:bidi w:val="0"/>
              <w:spacing w:before="0" w:after="0"/>
              <w:jc w:val="both"/>
              <w:rPr>
                <w:rFonts w:ascii="Times New Roman" w:hAnsi="Times New Roman"/>
                <w:sz w:val="20"/>
              </w:rPr>
            </w:pPr>
            <w:r>
              <w:rPr>
                <w:rFonts w:ascii="Times New Roman" w:hAnsi="Times New Roman"/>
                <w:sz w:val="20"/>
              </w:rPr>
              <w:t>General Manager: Jian WANG</w:t>
            </w:r>
          </w:p>
          <w:p>
            <w:pPr>
              <w:pStyle w:val="TableContents"/>
              <w:bidi w:val="0"/>
              <w:spacing w:before="0" w:after="0"/>
              <w:jc w:val="both"/>
              <w:rPr>
                <w:rFonts w:ascii="Times New Roman" w:hAnsi="Times New Roman"/>
                <w:sz w:val="20"/>
              </w:rPr>
            </w:pPr>
            <w:r>
              <w:rPr>
                <w:rFonts w:ascii="Times New Roman" w:hAnsi="Times New Roman"/>
                <w:sz w:val="20"/>
              </w:rPr>
              <w:t>Chief Financial Officer: Lisa Yi Lu FENG</w:t>
            </w:r>
          </w:p>
          <w:p>
            <w:pPr>
              <w:pStyle w:val="TableContents"/>
              <w:bidi w:val="0"/>
              <w:spacing w:before="0" w:after="0"/>
              <w:jc w:val="both"/>
              <w:rPr>
                <w:rFonts w:ascii="Times New Roman" w:hAnsi="Times New Roman"/>
                <w:sz w:val="20"/>
              </w:rPr>
            </w:pPr>
            <w:r>
              <w:rPr>
                <w:rFonts w:ascii="Times New Roman" w:hAnsi="Times New Roman"/>
                <w:sz w:val="20"/>
              </w:rPr>
              <w:t>Board Secretary: Mingzhu LUO</w:t>
            </w:r>
          </w:p>
        </w:tc>
        <w:tc>
          <w:tcPr>
            <w:tcW w:w="61" w:type="dxa"/>
            <w:tcBorders>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vAlign w:val="center"/>
          </w:tcPr>
          <w:p>
            <w:pPr>
              <w:pStyle w:val="TableContents"/>
              <w:bidi w:val="0"/>
              <w:spacing w:before="0" w:after="283"/>
              <w:jc w:val="left"/>
              <w:rPr/>
            </w:pPr>
            <w:r>
              <w:rPr/>
            </w:r>
          </w:p>
        </w:tc>
        <w:tc>
          <w:tcPr>
            <w:tcW w:w="1559"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pPr>
            <w:r>
              <w:rPr/>
            </w:r>
          </w:p>
          <w:p>
            <w:pPr>
              <w:pStyle w:val="TableContents"/>
              <w:bidi w:val="0"/>
              <w:spacing w:before="0" w:after="0"/>
              <w:jc w:val="left"/>
              <w:rPr>
                <w:sz w:val="20"/>
              </w:rPr>
            </w:pPr>
            <w:r>
              <w:rPr>
                <w:sz w:val="20"/>
              </w:rPr>
            </w:r>
          </w:p>
        </w:tc>
        <w:tc>
          <w:tcPr>
            <w:tcW w:w="60" w:type="dxa"/>
            <w:tcBorders>
              <w:bottom w:val="single" w:sz="12" w:space="0" w:color="000000"/>
            </w:tcBorders>
            <w:tcMar>
              <w:left w:w="0" w:type="dxa"/>
            </w:tcMar>
            <w:vAlign w:val="center"/>
          </w:tcPr>
          <w:p>
            <w:pPr>
              <w:pStyle w:val="TableContents"/>
              <w:bidi w:val="0"/>
              <w:spacing w:before="0" w:after="283"/>
              <w:jc w:val="left"/>
              <w:rPr/>
            </w:pPr>
            <w:r>
              <w:rPr/>
              <w:t> </w:t>
            </w:r>
          </w:p>
        </w:tc>
        <w:tc>
          <w:tcPr>
            <w:tcW w:w="8502" w:type="dxa"/>
            <w:tcBorders>
              <w:bottom w:val="single" w:sz="12" w:space="0" w:color="000000"/>
            </w:tcBorders>
            <w:tcMar>
              <w:left w:w="0" w:type="dxa"/>
            </w:tcMar>
            <w:vAlign w:val="center"/>
          </w:tcPr>
          <w:p>
            <w:pPr>
              <w:pStyle w:val="TableContents"/>
              <w:bidi w:val="0"/>
              <w:spacing w:before="0" w:after="0"/>
              <w:jc w:val="both"/>
              <w:rPr>
                <w:rFonts w:ascii="Times New Roman" w:hAnsi="Times New Roman"/>
                <w:sz w:val="24"/>
              </w:rPr>
            </w:pPr>
            <w:r>
              <w:rPr>
                <w:rFonts w:ascii="Times New Roman" w:hAnsi="Times New Roman"/>
                <w:b/>
                <w:sz w:val="20"/>
              </w:rPr>
              <w:t>I. Company Introduction:</w:t>
            </w:r>
            <w:r>
              <w:rPr>
                <w:rFonts w:ascii="Times New Roman" w:hAnsi="Times New Roman"/>
                <w:sz w:val="24"/>
              </w:rPr>
              <w:t xml:space="preserve"> </w:t>
            </w:r>
            <w:r>
              <w:rPr>
                <w:rFonts w:ascii="Times New Roman" w:hAnsi="Times New Roman"/>
                <w:sz w:val="20"/>
              </w:rPr>
              <w:t>Leaders of ACM Research (Shanghai), Inc. (the “Company”) briefly described the performance and financial conditions of the Company for the first quarter of 2025, and answered questions of concern by investors.</w:t>
            </w:r>
          </w:p>
        </w:tc>
        <w:tc>
          <w:tcPr>
            <w:tcW w:w="61" w:type="dxa"/>
            <w:tcBorders>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8150" cy="266700"/>
                          </a:xfrm>
                          <a:prstGeom prst="rect">
                            <a:avLst/>
                          </a:prstGeom>
                        </pic:spPr>
                      </pic:pic>
                    </a:graphicData>
                  </a:graphic>
                </wp:inline>
              </w:drawing>
            </w:r>
          </w:p>
        </w:tc>
      </w:tr>
    </w:tbl>
    <w:p>
      <w:pPr>
        <w:pStyle w:val="Normal"/>
        <w:bidi w:val="0"/>
        <w:spacing w:before="0" w:after="0"/>
        <w:jc w:val="left"/>
        <w:rPr>
          <w:sz w:val="4"/>
          <w:szCs w:val="4"/>
        </w:rPr>
      </w:pPr>
      <w:r>
        <w:rPr>
          <w:sz w:val="4"/>
          <w:szCs w:val="4"/>
        </w:rPr>
      </w:r>
      <w:bookmarkStart w:id="10" w:name="zec7192f78cf54bc78945f5194e903687"/>
      <w:bookmarkStart w:id="11" w:name="zec7192f78cf54bc78945f5194e903687"/>
      <w:bookmarkEnd w:id="11"/>
    </w:p>
    <w:tbl>
      <w:tblPr>
        <w:tblW w:w="10205" w:type="dxa"/>
        <w:jc w:val="left"/>
        <w:tblInd w:w="-15" w:type="dxa"/>
        <w:tblLayout w:type="fixed"/>
        <w:tblCellMar>
          <w:top w:w="28" w:type="dxa"/>
          <w:left w:w="28" w:type="dxa"/>
          <w:bottom w:w="28" w:type="dxa"/>
          <w:right w:w="0" w:type="dxa"/>
        </w:tblCellMar>
      </w:tblPr>
      <w:tblGrid>
        <w:gridCol w:w="60"/>
        <w:gridCol w:w="964"/>
        <w:gridCol w:w="60"/>
        <w:gridCol w:w="9060"/>
        <w:gridCol w:w="61"/>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64"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investor </w:t>
            </w:r>
          </w:p>
          <w:p>
            <w:pPr>
              <w:pStyle w:val="TableContents"/>
              <w:bidi w:val="0"/>
              <w:spacing w:before="0" w:after="0"/>
              <w:jc w:val="left"/>
              <w:rPr>
                <w:rFonts w:ascii="Times New Roman" w:hAnsi="Times New Roman"/>
                <w:b/>
                <w:sz w:val="20"/>
              </w:rPr>
            </w:pPr>
            <w:r>
              <w:rPr>
                <w:rFonts w:ascii="Times New Roman" w:hAnsi="Times New Roman"/>
                <w:b/>
                <w:sz w:val="20"/>
              </w:rPr>
              <w:t>relation activities</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060" w:type="dxa"/>
            <w:tcBorders>
              <w:top w:val="single" w:sz="12" w:space="0" w:color="000000"/>
              <w:bottom w:val="single" w:sz="12" w:space="0" w:color="000000"/>
            </w:tcBorders>
            <w:tcMar>
              <w:left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II. Q&amp;A</w:t>
            </w:r>
          </w:p>
          <w:p>
            <w:pPr>
              <w:pStyle w:val="TableContents"/>
              <w:bidi w:val="0"/>
              <w:spacing w:before="0" w:after="0"/>
              <w:jc w:val="both"/>
              <w:rPr>
                <w:rFonts w:ascii="Times New Roman" w:hAnsi="Times New Roman"/>
                <w:b/>
                <w:sz w:val="20"/>
              </w:rPr>
            </w:pPr>
            <w:r>
              <w:rPr>
                <w:rFonts w:ascii="Times New Roman" w:hAnsi="Times New Roman"/>
                <w:b/>
                <w:sz w:val="20"/>
              </w:rPr>
              <w:t>1. What is your progress in 3D stacking plating equipment?</w:t>
            </w:r>
          </w:p>
          <w:p>
            <w:pPr>
              <w:pStyle w:val="TableContents"/>
              <w:bidi w:val="0"/>
              <w:spacing w:before="0" w:after="0"/>
              <w:jc w:val="both"/>
              <w:rPr>
                <w:rFonts w:ascii="Times New Roman" w:hAnsi="Times New Roman"/>
                <w:sz w:val="20"/>
              </w:rPr>
            </w:pPr>
            <w:r>
              <w:rPr>
                <w:rFonts w:ascii="Times New Roman" w:hAnsi="Times New Roman"/>
                <w:sz w:val="20"/>
              </w:rPr>
              <w:t>A: Our 3D stacking electroplating systems currently include the Ultra ECP 3d, used for filling 3D through-silicon vias (TSVs), and the Ultra ECP ap for 2.5D interposers. Built on ACM’s electroplating platform,  these tools enable high-performance, void-free copper deposition for applications with high aspect ratios (greater than 10:1). To improve production capacity, the equipment features a stacked chamber design that reduces consumables usage, lowers operating costs, and minimizes the required cleanroom footprint. The systems have demonstrated strong sales performance. For the TSV process, all upstream and downstream tools —as well as consumables— have been fully localized. Our equipment meets the technical and production needs of our Chinese customers, with commercial validation achieved across most of our major customers in Mainland China, accompanied by repeat orders.</w:t>
            </w:r>
          </w:p>
          <w:p>
            <w:pPr>
              <w:pStyle w:val="TableContents"/>
              <w:bidi w:val="0"/>
              <w:spacing w:before="0" w:after="0"/>
              <w:jc w:val="left"/>
              <w:rPr>
                <w:sz w:val="20"/>
              </w:rPr>
            </w:pPr>
            <w:r>
              <w:rPr>
                <w:sz w:val="20"/>
              </w:rPr>
            </w:r>
          </w:p>
          <w:p>
            <w:pPr>
              <w:pStyle w:val="TableContents"/>
              <w:bidi w:val="0"/>
              <w:spacing w:before="0" w:after="0"/>
              <w:jc w:val="both"/>
              <w:rPr>
                <w:rFonts w:ascii="Times New Roman" w:hAnsi="Times New Roman"/>
                <w:b/>
                <w:sz w:val="20"/>
              </w:rPr>
            </w:pPr>
            <w:r>
              <w:rPr>
                <w:rFonts w:ascii="Times New Roman" w:hAnsi="Times New Roman"/>
                <w:b/>
                <w:sz w:val="20"/>
              </w:rPr>
              <w:t>2. Can you describe new orders and performance of this year?</w:t>
            </w:r>
          </w:p>
          <w:p>
            <w:pPr>
              <w:pStyle w:val="TableContents"/>
              <w:bidi w:val="0"/>
              <w:spacing w:before="0" w:after="0"/>
              <w:jc w:val="both"/>
              <w:rPr>
                <w:rFonts w:ascii="Times New Roman" w:hAnsi="Times New Roman"/>
                <w:sz w:val="20"/>
              </w:rPr>
            </w:pPr>
            <w:r>
              <w:rPr>
                <w:rFonts w:ascii="Times New Roman" w:hAnsi="Times New Roman"/>
                <w:sz w:val="20"/>
              </w:rPr>
              <w:t>A: In January, we announced our 2025 operating performance forecast, projecting annual revenue in a range of RMB 6.5 billion to RMB 7.1 billion. In the first quarter of this year, we achieved strong growth, our core products have continued to perform well in the market, and our production capacity plans are proceeding smoothly. We expect strong shipments in the second and third quarters. Some capacity remains open for the fourth quarter, and as is customary, we plan to disclose order backlog at the end of September. Looking ahead, we remain committed to our long-term development strategy, driven by differentiated technological innovation and supported by our global footprint, with a continued focus on creating values for customers, shareholders, and society.</w:t>
            </w:r>
          </w:p>
        </w:tc>
        <w:tc>
          <w:tcPr>
            <w:tcW w:w="61"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8150" cy="266700"/>
                          </a:xfrm>
                          <a:prstGeom prst="rect">
                            <a:avLst/>
                          </a:prstGeom>
                        </pic:spPr>
                      </pic:pic>
                    </a:graphicData>
                  </a:graphic>
                </wp:inline>
              </w:drawing>
            </w:r>
          </w:p>
        </w:tc>
      </w:tr>
    </w:tbl>
    <w:p>
      <w:pPr>
        <w:pStyle w:val="Normal"/>
        <w:bidi w:val="0"/>
        <w:spacing w:before="0" w:after="0"/>
        <w:jc w:val="left"/>
        <w:rPr>
          <w:sz w:val="4"/>
          <w:szCs w:val="4"/>
        </w:rPr>
      </w:pPr>
      <w:r>
        <w:rPr>
          <w:sz w:val="4"/>
          <w:szCs w:val="4"/>
        </w:rPr>
      </w:r>
      <w:bookmarkStart w:id="12" w:name="z38176f2889e34f6dbb123299a01716c7"/>
      <w:bookmarkStart w:id="13" w:name="z38176f2889e34f6dbb123299a01716c7"/>
      <w:bookmarkEnd w:id="13"/>
    </w:p>
    <w:tbl>
      <w:tblPr>
        <w:tblW w:w="10205" w:type="dxa"/>
        <w:jc w:val="left"/>
        <w:tblInd w:w="-15" w:type="dxa"/>
        <w:tblLayout w:type="fixed"/>
        <w:tblCellMar>
          <w:top w:w="28" w:type="dxa"/>
          <w:left w:w="28" w:type="dxa"/>
          <w:bottom w:w="28" w:type="dxa"/>
          <w:right w:w="0" w:type="dxa"/>
        </w:tblCellMar>
      </w:tblPr>
      <w:tblGrid>
        <w:gridCol w:w="60"/>
        <w:gridCol w:w="60"/>
        <w:gridCol w:w="60"/>
        <w:gridCol w:w="9965"/>
        <w:gridCol w:w="6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965" w:type="dxa"/>
            <w:tcBorders>
              <w:top w:val="single" w:sz="12" w:space="0" w:color="000000"/>
              <w:bottom w:val="single" w:sz="12" w:space="0" w:color="000000"/>
            </w:tcBorders>
            <w:tcMar>
              <w:left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3. What are the differentiated advantages of your high-temperature sulfuric acid cleaning equipment?</w:t>
            </w:r>
          </w:p>
          <w:p>
            <w:pPr>
              <w:pStyle w:val="TableContents"/>
              <w:bidi w:val="0"/>
              <w:spacing w:before="0" w:after="0"/>
              <w:jc w:val="both"/>
              <w:rPr>
                <w:rFonts w:ascii="Times New Roman" w:hAnsi="Times New Roman"/>
                <w:sz w:val="20"/>
              </w:rPr>
            </w:pPr>
            <w:r>
              <w:rPr>
                <w:rFonts w:ascii="Times New Roman" w:hAnsi="Times New Roman"/>
                <w:sz w:val="20"/>
              </w:rPr>
              <w:t>A: Our sulfuric acid cleaning equipment can meet differentiated demands of customers. Given the differentiated technical advantages, we believe we are highly competitive in the market of high-temperature (&gt;170°C) sulfuric acid cleaning equipment and medium- to low-temperature sulfuric acid cleaning equipment markets, and have completed high-volume production line validation at multiple customer sites. The medium- to low-temperature Tahoe cleaning equipment can reduce sulfuric acid consumption by up to 75% and saves hundreds of thousands of dollars annually in sulfuric acid costs alone. This not only reduces production costs for customers but also implements the national policy on energy conservation and emission reduction. In addition, our single-wafer high-temperature sulfuric acid cleaning equipment leverages proprietary, patented technology developed in-house. The proprietary nozzle design can prevent acid mist spatter during the SPM process, which can improve particle performance and reduce the frequency for chamber cleaning. This can prolong the normal operating time of the equipment. It is expected to perform well in removing particles as small as 19 nm and 15 nm.</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We are confident that, leveraging our solid foundation in the Chinese market, the Company will continue to bring the sulfuric acid cleaning equipment—with clear competitive differentiation—to the global market.</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8150" cy="266700"/>
                          </a:xfrm>
                          <a:prstGeom prst="rect">
                            <a:avLst/>
                          </a:prstGeom>
                        </pic:spPr>
                      </pic:pic>
                    </a:graphicData>
                  </a:graphic>
                </wp:inline>
              </w:drawing>
            </w:r>
          </w:p>
        </w:tc>
      </w:tr>
    </w:tbl>
    <w:p>
      <w:pPr>
        <w:pStyle w:val="Normal"/>
        <w:bidi w:val="0"/>
        <w:spacing w:before="0" w:after="0"/>
        <w:jc w:val="left"/>
        <w:rPr>
          <w:sz w:val="4"/>
          <w:szCs w:val="4"/>
        </w:rPr>
      </w:pPr>
      <w:r>
        <w:rPr>
          <w:sz w:val="4"/>
          <w:szCs w:val="4"/>
        </w:rPr>
      </w:r>
      <w:bookmarkStart w:id="14" w:name="z7f7cd36b1d004947ab3ab8be0d719988"/>
      <w:bookmarkStart w:id="15" w:name="z7f7cd36b1d004947ab3ab8be0d719988"/>
      <w:bookmarkEnd w:id="15"/>
    </w:p>
    <w:tbl>
      <w:tblPr>
        <w:tblW w:w="10205" w:type="dxa"/>
        <w:jc w:val="left"/>
        <w:tblInd w:w="-15" w:type="dxa"/>
        <w:tblLayout w:type="fixed"/>
        <w:tblCellMar>
          <w:top w:w="28" w:type="dxa"/>
          <w:left w:w="28" w:type="dxa"/>
          <w:bottom w:w="28" w:type="dxa"/>
          <w:right w:w="0" w:type="dxa"/>
        </w:tblCellMar>
      </w:tblPr>
      <w:tblGrid>
        <w:gridCol w:w="60"/>
        <w:gridCol w:w="60"/>
        <w:gridCol w:w="60"/>
        <w:gridCol w:w="9965"/>
        <w:gridCol w:w="6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965" w:type="dxa"/>
            <w:tcBorders>
              <w:top w:val="single" w:sz="12" w:space="0" w:color="000000"/>
              <w:bottom w:val="single" w:sz="12" w:space="0" w:color="000000"/>
            </w:tcBorders>
            <w:tcMar>
              <w:left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4. The Company’s annual report disclosed two ALD furnace tools. Can you briefly describe the development progress and future prospects of the high-temperature furnace?</w:t>
            </w:r>
          </w:p>
          <w:p>
            <w:pPr>
              <w:pStyle w:val="TableContents"/>
              <w:bidi w:val="0"/>
              <w:spacing w:before="0" w:after="0"/>
              <w:jc w:val="both"/>
              <w:rPr>
                <w:rFonts w:ascii="Times New Roman" w:hAnsi="Times New Roman"/>
                <w:sz w:val="20"/>
              </w:rPr>
            </w:pPr>
            <w:r>
              <w:rPr>
                <w:rFonts w:ascii="Times New Roman" w:hAnsi="Times New Roman"/>
                <w:sz w:val="20"/>
              </w:rPr>
              <w:t>A: First, for high-temperature furnace, ACM’s independently developed Ultra Fn vertical furnace equipment is designed with our unique vertical furnace structure (for which the patent application is ongoing); it’s now capable of processing at up to 1,250°C and can effectively ensure the evenness of wafer surfaces. To our knowledge, no other manufacturer has achieved this temperature level and such process stability in vertical furnace equipment at present. The breakthrough in this process also reflects our profound technology accumulation from long-term investments and differentiated advantages of our high-temperature thermal treatment equipment. By now, this equipment has attracted attention from customers in both China and Europe. It is expected to be used for high-end high-pressure IGBT applications. The favorable market response also proves our differentiated innovation capabilities. At present, there remains strong demand for LPCVD furnace on the Chinese market. This tool is designed to enhance production efficiency and product quality for our customers.</w:t>
            </w:r>
          </w:p>
          <w:p>
            <w:pPr>
              <w:pStyle w:val="TableContents"/>
              <w:bidi w:val="0"/>
              <w:spacing w:before="0" w:after="0"/>
              <w:jc w:val="left"/>
              <w:rPr/>
            </w:pPr>
            <w:r>
              <w:rPr/>
              <w:t> </w:t>
            </w:r>
          </w:p>
          <w:p>
            <w:pPr>
              <w:pStyle w:val="TableContents"/>
              <w:bidi w:val="0"/>
              <w:spacing w:before="0" w:after="0"/>
              <w:ind w:left="0" w:right="0" w:firstLine="440"/>
              <w:jc w:val="both"/>
              <w:rPr>
                <w:rFonts w:ascii="Times New Roman" w:hAnsi="Times New Roman"/>
                <w:sz w:val="20"/>
              </w:rPr>
            </w:pPr>
            <w:r>
              <w:rPr>
                <w:rFonts w:ascii="Times New Roman" w:hAnsi="Times New Roman"/>
                <w:sz w:val="20"/>
              </w:rPr>
              <w:t>Second, for ALD, thanks to our enhanced R&amp;D investments in ALD in recent years, we have built a series of independently developed and patented technologies protected by global intellectual property rights, and expect to contribute more in aspects of the evenness, materials, etc. for ALD to achieve more technology breakthroughs, hence meeting diversified demands of customers with differentiated innovative processes. We expect an increase in revenue for the furnace series, including LPCVD, oxidation furnaces, and ALD in 2025, which will represent significant growth compared with small levels in 2024.</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8150" cy="266700"/>
                          </a:xfrm>
                          <a:prstGeom prst="rect">
                            <a:avLst/>
                          </a:prstGeom>
                        </pic:spPr>
                      </pic:pic>
                    </a:graphicData>
                  </a:graphic>
                </wp:inline>
              </w:drawing>
            </w:r>
          </w:p>
        </w:tc>
      </w:tr>
    </w:tbl>
    <w:p>
      <w:pPr>
        <w:pStyle w:val="Normal"/>
        <w:bidi w:val="0"/>
        <w:spacing w:before="0" w:after="0"/>
        <w:jc w:val="left"/>
        <w:rPr>
          <w:sz w:val="4"/>
          <w:szCs w:val="4"/>
        </w:rPr>
      </w:pPr>
      <w:r>
        <w:rPr>
          <w:sz w:val="4"/>
          <w:szCs w:val="4"/>
        </w:rPr>
      </w:r>
      <w:bookmarkStart w:id="16" w:name="z87d34b7602e74a03b8a08c5c38900fbf"/>
      <w:bookmarkStart w:id="17" w:name="z87d34b7602e74a03b8a08c5c38900fbf"/>
      <w:bookmarkEnd w:id="17"/>
    </w:p>
    <w:tbl>
      <w:tblPr>
        <w:tblW w:w="10205" w:type="dxa"/>
        <w:jc w:val="left"/>
        <w:tblInd w:w="-15" w:type="dxa"/>
        <w:tblLayout w:type="fixed"/>
        <w:tblCellMar>
          <w:top w:w="28" w:type="dxa"/>
          <w:left w:w="28" w:type="dxa"/>
          <w:bottom w:w="28" w:type="dxa"/>
          <w:right w:w="0" w:type="dxa"/>
        </w:tblCellMar>
      </w:tblPr>
      <w:tblGrid>
        <w:gridCol w:w="60"/>
        <w:gridCol w:w="60"/>
        <w:gridCol w:w="60"/>
        <w:gridCol w:w="9965"/>
        <w:gridCol w:w="6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965" w:type="dxa"/>
            <w:tcBorders>
              <w:top w:val="single" w:sz="12" w:space="0" w:color="000000"/>
              <w:bottom w:val="single" w:sz="12" w:space="0" w:color="000000"/>
            </w:tcBorders>
            <w:tcMar>
              <w:left w:w="0" w:type="dxa"/>
            </w:tcMar>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5. Could the management share color about the progress on overseas markets for the Company’s products, especially the progress of sales to major customers like Hynix and future prospects?</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We are committed to expanding our presence in overseas markets. Given our differentiated technologies, we have released products with competitiveness to the international market. We expect to release more differentiated products to the global market to increase the share of overseas sales.</w:t>
            </w:r>
          </w:p>
          <w:p>
            <w:pPr>
              <w:pStyle w:val="TableContents"/>
              <w:bidi w:val="0"/>
              <w:spacing w:before="0" w:after="0"/>
              <w:jc w:val="left"/>
              <w:rPr/>
            </w:pPr>
            <w:r>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Notably, our latest panel-level horizontal electroplating equipment. As the first horizontal rotary electroplating equipment in the world, it is highly innovative and unique, and can process panels of 310 x 310 mm, 515 x 510 mm, and 600 x 600 mm, which aligns with future trends in AI chip packaging and will have a broad prospect for application in the future. In March of this year, this equipment won the “Technology Enablement Award” from the 3D InCites of the United States.</w:t>
            </w:r>
          </w:p>
          <w:p>
            <w:pPr>
              <w:pStyle w:val="TableContents"/>
              <w:bidi w:val="0"/>
              <w:spacing w:before="0" w:after="0"/>
              <w:jc w:val="left"/>
              <w:rPr/>
            </w:pPr>
            <w:r>
              <w:rPr/>
              <w:t>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 present, our products are mostly sold in Mainland China. We are confident that we can continuously sell our independently developed and differentiated products to the global markets, including the United States, South Korea, Taiwan region, Singapore, and Europe. We will take active measures for overseas sales of our products to increase the share of overseas sales and contribute to the development of the global semiconductor industry.</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6. I noticed that the Company released a PECVD system in the third quarter of 2024. Can you provide an update on the verification process of this PECVD and the conversion into an official order this year? What does the Company expect for subsequent shipments of PECVD?</w:t>
            </w:r>
          </w:p>
          <w:p>
            <w:pPr>
              <w:pStyle w:val="TableContents"/>
              <w:bidi w:val="0"/>
              <w:spacing w:before="0" w:after="0"/>
              <w:jc w:val="both"/>
              <w:rPr>
                <w:rFonts w:ascii="Times New Roman" w:hAnsi="Times New Roman"/>
                <w:sz w:val="20"/>
              </w:rPr>
            </w:pPr>
            <w:r>
              <w:rPr>
                <w:rFonts w:ascii="Times New Roman" w:hAnsi="Times New Roman"/>
                <w:color w:val="000000"/>
                <w:sz w:val="20"/>
              </w:rPr>
              <w:t>A: ACM’s PECVD system features a unique “one chamber, three chucks”</w:t>
            </w:r>
            <w:r>
              <w:rPr>
                <w:rFonts w:ascii="Times New Roman" w:hAnsi="Times New Roman"/>
                <w:sz w:val="20"/>
              </w:rPr>
              <w:t> </w:t>
            </w:r>
            <w:r>
              <w:rPr>
                <w:rFonts w:ascii="Times New Roman" w:hAnsi="Times New Roman"/>
                <w:color w:val="000000"/>
                <w:sz w:val="20"/>
              </w:rPr>
              <w:t>architecture, which is the first of its kind in the world. This design enables multiple PECVD processes to be executed on a single platform, offering differentiated advantages in both process capability and throughput across domestic and international markets. It supports most process applications typically achieved by competitor systems using “one chamber, four chucks” or “one chamber, two chucks” designs.</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8150" cy="266700"/>
                          </a:xfrm>
                          <a:prstGeom prst="rect">
                            <a:avLst/>
                          </a:prstGeom>
                        </pic:spPr>
                      </pic:pic>
                    </a:graphicData>
                  </a:graphic>
                </wp:inline>
              </w:drawing>
            </w:r>
          </w:p>
        </w:tc>
      </w:tr>
    </w:tbl>
    <w:p>
      <w:pPr>
        <w:pStyle w:val="Normal"/>
        <w:bidi w:val="0"/>
        <w:spacing w:before="0" w:after="0"/>
        <w:jc w:val="left"/>
        <w:rPr>
          <w:sz w:val="4"/>
          <w:szCs w:val="4"/>
        </w:rPr>
      </w:pPr>
      <w:r>
        <w:rPr>
          <w:sz w:val="4"/>
          <w:szCs w:val="4"/>
        </w:rPr>
      </w:r>
      <w:bookmarkStart w:id="18" w:name="zeba1fd40824c489d84ad2965bb2d3040"/>
      <w:bookmarkStart w:id="19" w:name="zeba1fd40824c489d84ad2965bb2d3040"/>
      <w:bookmarkEnd w:id="19"/>
    </w:p>
    <w:tbl>
      <w:tblPr>
        <w:tblW w:w="10205" w:type="dxa"/>
        <w:jc w:val="left"/>
        <w:tblInd w:w="-15" w:type="dxa"/>
        <w:tblLayout w:type="fixed"/>
        <w:tblCellMar>
          <w:top w:w="28" w:type="dxa"/>
          <w:left w:w="28" w:type="dxa"/>
          <w:bottom w:w="28" w:type="dxa"/>
          <w:right w:w="0" w:type="dxa"/>
        </w:tblCellMar>
      </w:tblPr>
      <w:tblGrid>
        <w:gridCol w:w="60"/>
        <w:gridCol w:w="60"/>
        <w:gridCol w:w="60"/>
        <w:gridCol w:w="9965"/>
        <w:gridCol w:w="6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965" w:type="dxa"/>
            <w:tcBorders>
              <w:top w:val="single" w:sz="12" w:space="0" w:color="000000"/>
              <w:bottom w:val="single" w:sz="12" w:space="0" w:color="000000"/>
            </w:tcBorders>
            <w:tcMar>
              <w:left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Our first PECVD tool is currently undergoing customer verification with positive progress. We expect 2025 to mark its market entry, with at least three additional customers scheduled for evaluation. We are confident in the platform’s differentiated technology and strong market potential, and we plan to increase R&amp;D investments to support wider deployment of the PECVD system across both domestic and global markets.</w:t>
            </w:r>
          </w:p>
          <w:p>
            <w:pPr>
              <w:pStyle w:val="TableContents"/>
              <w:bidi w:val="0"/>
              <w:spacing w:before="0" w:after="0"/>
              <w:jc w:val="left"/>
              <w:rPr/>
            </w:pPr>
            <w:r>
              <w:rPr/>
              <w:t> </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7. I noticed a trend of M&amp;A integration in the field of semiconductor equipment manufacturers in the last one or two years. What does the management think about in this aspect?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A: In the development of the semiconductor industry, it is normal that there are mergers and acquisitions among equipment manufacturers. We will keep an eye on corresponding opportunities and will carefully evaluate whether target companies possess key competitive advantages such as proprietary IP and core technology innovation capabilities. On the other hand, we have our own differentiated technology advantages, R&amp;D capabilities for achieving continuous innovation, a comprehensive portfolio of platform-based equipment, and a solid ground for production capabilities; these factors provide strong support for us to seize market opportunities to drive organic growth. Given the current positive momentum, we will expand new product growth points based on technologies of the existing product mix, and we are optimistic about our continued growth and technological leadership.</w:t>
            </w:r>
          </w:p>
        </w:tc>
        <w:tc>
          <w:tcPr>
            <w:tcW w:w="6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8150" cy="266700"/>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Enclosure: List of Institutional Participants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IGWT Investment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JK Capital Management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Baichuan Fortune (Beijing)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Baoying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Antu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Shennong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ACRON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Beijing Yutian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Bosera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Boyu Capital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Caitong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TruValue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Northeast Securities Co., Ltd. Shanghai Securities Research and Consulting Branch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Eastmoney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Founder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Fuzhou Development Zone Sanxin Assets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Jefferies Hong Kong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Gaowei Asset Management (Shanghai)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Granford (Beijing) Capital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Guangdong Xianjin Industrial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Guangdong Zhengyuan Private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GF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Guangzhou Yourong Management Consulting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CPIC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Guoming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Gowin AMC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Guotai Haitong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Guoxin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Hainan Yangjiao Private Fund Management Partnership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Hainan Zonglvwan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Hanchuan Investment Management (Zhuhai)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HongShan Capital Equity Investment Management (Tianjin)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Hongyun Private Fund Management (Hainan)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Hunan Chuheng Assets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Huashan Ruilian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Huatai Financial Holdings (HK)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Huatai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Value Partners Group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Parallel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Jiangsu Ruihua Investment Holdings Group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Goldstate Capital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JT Asset Management Co.,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38150" cy="26670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KGI Asia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Lanhai Qicheng (Beijing)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J.P. Morgan Securities PLC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Morgan Stanley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Qingdao AVIC Saiwei Technology Development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Xiamen Zhonglue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Shanxi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Shanxi Securities International Asset Management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BYSZ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Pineboom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Bodu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Chen Yan Asset Management Center (L.P.)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Duoshi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Dunyi Assets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Hedao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Huichen Private Fund Management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Jiashi Private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Jin En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Panjing Investment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Qinmu Asset Management Partnership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Shicheng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Tianni Investment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Talent Investment Management Development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Xianhe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Bund Capital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Bank of Shanghai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Zhongyu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Zhongyu Asset Management Center (Limited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Chengyi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Chuangfu Business Investment Management Company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Getall Holding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Guohui Investment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Shangcheng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Shenzhen Zhongtian Fortune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Suzhou Oriza Holdings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Taiping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Tianfeng (Shanghai) Securities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Tongtai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Melco International Development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China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CIB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Industrial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Symbol Investment (Shanghai) Co.,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690" w:type="dxa"/>
        <w:jc w:val="right"/>
        <w:tblInd w:w="0" w:type="dxa"/>
        <w:tblLayout w:type="fixed"/>
        <w:tblCellMar>
          <w:top w:w="0" w:type="dxa"/>
          <w:left w:w="0" w:type="dxa"/>
          <w:bottom w:w="28" w:type="dxa"/>
          <w:right w:w="0" w:type="dxa"/>
        </w:tblCellMar>
      </w:tblPr>
      <w:tblGrid>
        <w:gridCol w:w="690"/>
      </w:tblGrid>
      <w:tr>
        <w:trPr/>
        <w:tc>
          <w:tcPr>
            <w:tcW w:w="690" w:type="dxa"/>
            <w:tcBorders>
              <w:bottom w:val="single" w:sz="12" w:space="0" w:color="000000"/>
            </w:tcBorders>
            <w:vAlign w:val="center"/>
          </w:tcPr>
          <w:p>
            <w:pPr>
              <w:pStyle w:val="TableContents"/>
              <w:bidi w:val="0"/>
              <w:spacing w:before="0" w:after="283"/>
              <w:jc w:val="left"/>
              <w:rPr/>
            </w:pPr>
            <w:r>
              <w:rPr/>
              <w:drawing>
                <wp:inline distT="0" distB="0" distL="0" distR="0">
                  <wp:extent cx="438150" cy="266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8150" cy="26670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Yinhua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Harvest Capitals Management (Shanghai)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Chang’an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Changjiang Securities (Shanghai) Asset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Zhejiang Free Trade Zone Fengyan Private Equity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Zheshang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Electronics Technology Group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AVIC Fund Management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AVIC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Zhongtai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CITIC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BOC International (China)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China Post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Central China Securities Co., Ltd.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Zhuhai Deruo Private Fund Management Co., Ltd.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information is provided in connection with the furnishing of the above Record of May 2025 Investor Relation Activity of ACM Research (Shanghai), Inc. (“ACMSH”) (the “Record”) pursuant to the Current Report on Form 8-K reporting requirements of ACM Research, Inc.: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3000</Words>
  <Characters>17569</Characters>
  <CharactersWithSpaces>20469</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