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10, 2023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59"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4220" w:type="dxa"/>
            <w:vAlign w:val="bottom"/>
          </w:tcPr>
          <w:p>
            <w:pPr>
              <w:jc w:val="center"/>
              <w:ind w:right="830"/>
              <w:spacing w:after="0"/>
              <w:rPr>
                <w:sz w:val="20"/>
                <w:szCs w:val="20"/>
                <w:color w:val="auto"/>
              </w:rPr>
            </w:pPr>
            <w:r>
              <w:rPr>
                <w:rFonts w:ascii="Arial" w:cs="Arial" w:eastAsia="Arial" w:hAnsi="Arial"/>
                <w:sz w:val="18"/>
                <w:szCs w:val="18"/>
                <w:b w:val="1"/>
                <w:bCs w:val="1"/>
                <w:color w:val="auto"/>
                <w:w w:val="93"/>
              </w:rPr>
              <w:t>Delaware</w:t>
            </w:r>
          </w:p>
        </w:tc>
        <w:tc>
          <w:tcPr>
            <w:tcW w:w="2880" w:type="dxa"/>
            <w:vAlign w:val="bottom"/>
          </w:tcPr>
          <w:p>
            <w:pPr>
              <w:jc w:val="right"/>
              <w:ind w:right="1230"/>
              <w:spacing w:after="0"/>
              <w:rPr>
                <w:sz w:val="20"/>
                <w:szCs w:val="20"/>
                <w:color w:val="auto"/>
              </w:rPr>
            </w:pPr>
            <w:r>
              <w:rPr>
                <w:rFonts w:ascii="Arial" w:cs="Arial" w:eastAsia="Arial" w:hAnsi="Arial"/>
                <w:sz w:val="18"/>
                <w:szCs w:val="18"/>
                <w:b w:val="1"/>
                <w:bCs w:val="1"/>
                <w:color w:val="auto"/>
              </w:rPr>
              <w:t>001-38273</w:t>
            </w:r>
          </w:p>
        </w:tc>
        <w:tc>
          <w:tcPr>
            <w:tcW w:w="3260" w:type="dxa"/>
            <w:vAlign w:val="bottom"/>
          </w:tcPr>
          <w:p>
            <w:pPr>
              <w:jc w:val="right"/>
              <w:ind w:right="690"/>
              <w:spacing w:after="0"/>
              <w:rPr>
                <w:sz w:val="20"/>
                <w:szCs w:val="20"/>
                <w:color w:val="auto"/>
              </w:rPr>
            </w:pPr>
            <w:r>
              <w:rPr>
                <w:rFonts w:ascii="Arial" w:cs="Arial" w:eastAsia="Arial" w:hAnsi="Arial"/>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Arial" w:cs="Arial" w:eastAsia="Arial" w:hAnsi="Arial"/>
                <w:sz w:val="18"/>
                <w:szCs w:val="18"/>
                <w:i w:val="1"/>
                <w:iCs w:val="1"/>
                <w:color w:val="auto"/>
                <w:w w:val="94"/>
              </w:rPr>
              <w:t>(State or Other Jurisdiction of Incorporation)</w:t>
            </w:r>
          </w:p>
        </w:tc>
        <w:tc>
          <w:tcPr>
            <w:tcW w:w="2880" w:type="dxa"/>
            <w:vAlign w:val="bottom"/>
          </w:tcPr>
          <w:p>
            <w:pPr>
              <w:jc w:val="center"/>
              <w:ind w:right="450"/>
              <w:spacing w:after="0"/>
              <w:rPr>
                <w:sz w:val="20"/>
                <w:szCs w:val="20"/>
                <w:color w:val="auto"/>
              </w:rPr>
            </w:pPr>
            <w:r>
              <w:rPr>
                <w:rFonts w:ascii="Arial" w:cs="Arial" w:eastAsia="Arial" w:hAnsi="Arial"/>
                <w:sz w:val="18"/>
                <w:szCs w:val="18"/>
                <w:i w:val="1"/>
                <w:iCs w:val="1"/>
                <w:color w:val="auto"/>
                <w:w w:val="92"/>
              </w:rPr>
              <w:t>(Commission File Number)</w:t>
            </w:r>
          </w:p>
        </w:tc>
        <w:tc>
          <w:tcPr>
            <w:tcW w:w="3260" w:type="dxa"/>
            <w:vAlign w:val="bottom"/>
          </w:tcPr>
          <w:p>
            <w:pPr>
              <w:jc w:val="center"/>
              <w:ind w:left="7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576"/>
        </w:trPr>
        <w:tc>
          <w:tcPr>
            <w:tcW w:w="4220" w:type="dxa"/>
            <w:vAlign w:val="bottom"/>
          </w:tcPr>
          <w:p>
            <w:pPr>
              <w:jc w:val="center"/>
              <w:ind w:left="890"/>
              <w:spacing w:after="0"/>
              <w:rPr>
                <w:sz w:val="20"/>
                <w:szCs w:val="20"/>
                <w:color w:val="auto"/>
              </w:rPr>
            </w:pPr>
            <w:r>
              <w:rPr>
                <w:rFonts w:ascii="Arial" w:cs="Arial" w:eastAsia="Arial" w:hAnsi="Arial"/>
                <w:sz w:val="18"/>
                <w:szCs w:val="18"/>
                <w:b w:val="1"/>
                <w:bCs w:val="1"/>
                <w:color w:val="auto"/>
                <w:w w:val="8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48"/>
        </w:trPr>
        <w:tc>
          <w:tcPr>
            <w:tcW w:w="42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Arial" w:cs="Arial" w:eastAsia="Arial" w:hAnsi="Arial"/>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Arial" w:cs="Arial" w:eastAsia="Arial" w:hAnsi="Arial"/>
                <w:sz w:val="18"/>
                <w:szCs w:val="18"/>
                <w:i w:val="1"/>
                <w:iCs w:val="1"/>
                <w:color w:val="auto"/>
                <w:w w:val="91"/>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Arial" w:cs="Arial" w:eastAsia="Arial" w:hAnsi="Arial"/>
          <w:sz w:val="18"/>
          <w:szCs w:val="18"/>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Arial" w:cs="Arial" w:eastAsia="Arial" w:hAnsi="Arial"/>
          <w:sz w:val="18"/>
          <w:szCs w:val="18"/>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Arial" w:cs="Arial" w:eastAsia="Arial" w:hAnsi="Arial"/>
          <w:sz w:val="18"/>
          <w:szCs w:val="18"/>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89"/>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5"/>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ACMR</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1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1934:Emerging growth company o</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6"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The shares of our operating subsidiary ACM Research (Shanghai), Inc., or ACM Shanghai, are listed on the Sci-Tech innovation board, or the STAR Market, of the Shanghai Stock Exchange, or the SSE.</w:t>
      </w:r>
    </w:p>
    <w:p>
      <w:pPr>
        <w:spacing w:after="0" w:line="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accordance with the SSE’s rules governing the STAR Market, ACM Shanghai filed with the SSE a Record of March 2023 Investor Relations Activity, or the Record. The SSE posted the Record to the SSE’s website on April 10, 2023. A copy of the Record is included as exhibit 99.01 to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*Unofficial English translation of original document prepared in Mandarin Chinese.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3"/>
              </w:rPr>
              <w:t>Exhibit</w:t>
            </w:r>
          </w:p>
        </w:tc>
        <w:tc>
          <w:tcPr>
            <w:tcW w:w="7600" w:type="dxa"/>
            <w:vAlign w:val="bottom"/>
          </w:tcPr>
          <w:p>
            <w:pPr>
              <w:ind w:left="334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2080" w:type="dxa"/>
            <w:vAlign w:val="bottom"/>
            <w:tcBorders>
              <w:top w:val="single" w:sz="8" w:color="auto"/>
            </w:tcBorders>
            <w:gridSpan w:val="3"/>
          </w:tcPr>
          <w:p>
            <w:pPr>
              <w:jc w:val="center"/>
              <w:ind w:right="780"/>
              <w:spacing w:after="0" w:line="20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01</w:t>
            </w:r>
            <w:r>
              <w:rPr>
                <w:rFonts w:ascii="Arial" w:cs="Arial" w:eastAsia="Arial" w:hAnsi="Arial"/>
                <w:sz w:val="18"/>
                <w:szCs w:val="18"/>
                <w:color w:val="000000"/>
              </w:rPr>
              <w:t>*</w:t>
            </w:r>
          </w:p>
        </w:tc>
        <w:tc>
          <w:tcPr>
            <w:tcW w:w="80" w:type="dxa"/>
            <w:vAlign w:val="bottom"/>
          </w:tcPr>
          <w:p>
            <w:pPr>
              <w:spacing w:after="0"/>
              <w:rPr>
                <w:sz w:val="17"/>
                <w:szCs w:val="17"/>
                <w:color w:val="auto"/>
              </w:rPr>
            </w:pPr>
          </w:p>
        </w:tc>
        <w:tc>
          <w:tcPr>
            <w:tcW w:w="76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w w:val="97"/>
              </w:rPr>
              <w:t>Record of March 2023 Investor Relations Activity filed by ACM Research (Shanghai), Inc. with the</w:t>
            </w:r>
          </w:p>
        </w:tc>
      </w:tr>
      <w:tr>
        <w:trPr>
          <w:trHeight w:val="223"/>
        </w:trPr>
        <w:tc>
          <w:tcPr>
            <w:tcW w:w="80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Shanghai Stock Exchange on April 10, 2023</w:t>
            </w:r>
          </w:p>
        </w:tc>
      </w:tr>
    </w:tbl>
    <w:p>
      <w:pPr>
        <w:spacing w:after="0" w:line="296" w:lineRule="exact"/>
        <w:rPr>
          <w:sz w:val="20"/>
          <w:szCs w:val="20"/>
          <w:color w:val="auto"/>
        </w:rPr>
      </w:pPr>
    </w:p>
    <w:p>
      <w:pPr>
        <w:ind w:left="1860" w:right="3300" w:hanging="954"/>
        <w:spacing w:after="0" w:line="395" w:lineRule="auto"/>
        <w:tabs>
          <w:tab w:leader="none" w:pos="2177"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66"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 and Treasurer</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18,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147" w:right="339" w:bottom="1440" w:gutter="0" w:footer="0" w:header="0"/>
        </w:sectPr>
      </w:pPr>
    </w:p>
    <w:bookmarkStart w:id="3" w:name="page4"/>
    <w:bookmarkEnd w:id="3"/>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0" w:type="dxa"/>
            <w:vAlign w:val="bottom"/>
            <w:gridSpan w:val="5"/>
          </w:tcPr>
          <w:p>
            <w:pPr>
              <w:jc w:val="center"/>
              <w:ind w:right="3280"/>
              <w:spacing w:after="0"/>
              <w:rPr>
                <w:sz w:val="20"/>
                <w:szCs w:val="20"/>
                <w:color w:val="auto"/>
              </w:rPr>
            </w:pPr>
            <w:r>
              <w:rPr>
                <w:rFonts w:ascii="Arial" w:cs="Arial" w:eastAsia="Arial" w:hAnsi="Arial"/>
                <w:sz w:val="22"/>
                <w:szCs w:val="22"/>
                <w:b w:val="1"/>
                <w:bCs w:val="1"/>
                <w:color w:val="auto"/>
                <w:w w:val="90"/>
              </w:rPr>
              <w:t>Stock Code: 688082 Short Name: ACMSH</w:t>
            </w:r>
          </w:p>
        </w:tc>
        <w:tc>
          <w:tcPr>
            <w:tcW w:w="0" w:type="dxa"/>
            <w:vAlign w:val="bottom"/>
          </w:tcPr>
          <w:p>
            <w:pPr>
              <w:spacing w:after="0"/>
              <w:rPr>
                <w:sz w:val="1"/>
                <w:szCs w:val="1"/>
                <w:color w:val="auto"/>
              </w:rPr>
            </w:pPr>
          </w:p>
        </w:tc>
      </w:tr>
      <w:tr>
        <w:trPr>
          <w:trHeight w:val="527"/>
        </w:trPr>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0" w:type="dxa"/>
            <w:vAlign w:val="bottom"/>
            <w:gridSpan w:val="5"/>
          </w:tcPr>
          <w:p>
            <w:pPr>
              <w:jc w:val="center"/>
              <w:ind w:right="3260"/>
              <w:spacing w:after="0"/>
              <w:rPr>
                <w:sz w:val="20"/>
                <w:szCs w:val="20"/>
                <w:color w:val="auto"/>
              </w:rPr>
            </w:pPr>
            <w:r>
              <w:rPr>
                <w:rFonts w:ascii="Arial" w:cs="Arial" w:eastAsia="Arial" w:hAnsi="Arial"/>
                <w:sz w:val="22"/>
                <w:szCs w:val="22"/>
                <w:b w:val="1"/>
                <w:bCs w:val="1"/>
                <w:color w:val="auto"/>
                <w:w w:val="90"/>
              </w:rPr>
              <w:t>ACM Research (Shanghai), Inc.</w:t>
            </w:r>
          </w:p>
        </w:tc>
        <w:tc>
          <w:tcPr>
            <w:tcW w:w="0" w:type="dxa"/>
            <w:vAlign w:val="bottom"/>
          </w:tcPr>
          <w:p>
            <w:pPr>
              <w:spacing w:after="0"/>
              <w:rPr>
                <w:sz w:val="1"/>
                <w:szCs w:val="1"/>
                <w:color w:val="auto"/>
              </w:rPr>
            </w:pPr>
          </w:p>
        </w:tc>
      </w:tr>
      <w:tr>
        <w:trPr>
          <w:trHeight w:val="513"/>
        </w:trPr>
        <w:tc>
          <w:tcPr>
            <w:tcW w:w="1480" w:type="dxa"/>
            <w:vAlign w:val="bottom"/>
          </w:tcPr>
          <w:p>
            <w:pPr>
              <w:spacing w:after="0"/>
              <w:rPr>
                <w:sz w:val="24"/>
                <w:szCs w:val="24"/>
                <w:color w:val="auto"/>
              </w:rPr>
            </w:pPr>
          </w:p>
        </w:tc>
        <w:tc>
          <w:tcPr>
            <w:tcW w:w="9780" w:type="dxa"/>
            <w:vAlign w:val="bottom"/>
            <w:gridSpan w:val="6"/>
          </w:tcPr>
          <w:p>
            <w:pPr>
              <w:jc w:val="center"/>
              <w:ind w:right="1500"/>
              <w:spacing w:after="0"/>
              <w:rPr>
                <w:sz w:val="20"/>
                <w:szCs w:val="20"/>
                <w:color w:val="auto"/>
              </w:rPr>
            </w:pPr>
            <w:r>
              <w:rPr>
                <w:rFonts w:ascii="Arial" w:cs="Arial" w:eastAsia="Arial" w:hAnsi="Arial"/>
                <w:sz w:val="22"/>
                <w:szCs w:val="22"/>
                <w:b w:val="1"/>
                <w:bCs w:val="1"/>
                <w:color w:val="auto"/>
                <w:w w:val="89"/>
              </w:rPr>
              <w:t>Records of Investor Relation Activities in March 2023</w:t>
            </w:r>
          </w:p>
        </w:tc>
        <w:tc>
          <w:tcPr>
            <w:tcW w:w="0" w:type="dxa"/>
            <w:vAlign w:val="bottom"/>
          </w:tcPr>
          <w:p>
            <w:pPr>
              <w:spacing w:after="0"/>
              <w:rPr>
                <w:sz w:val="1"/>
                <w:szCs w:val="1"/>
                <w:color w:val="auto"/>
              </w:rPr>
            </w:pPr>
          </w:p>
        </w:tc>
      </w:tr>
      <w:tr>
        <w:trPr>
          <w:trHeight w:val="219"/>
        </w:trPr>
        <w:tc>
          <w:tcPr>
            <w:tcW w:w="1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w w:val="96"/>
              </w:rPr>
              <w:t>Categories  of</w:t>
            </w: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22"/>
                <w:szCs w:val="22"/>
                <w:b w:val="1"/>
                <w:bCs w:val="1"/>
                <w:color w:val="auto"/>
                <w:w w:val="92"/>
              </w:rPr>
              <w:t>investor  relation</w:t>
            </w:r>
          </w:p>
        </w:tc>
        <w:tc>
          <w:tcPr>
            <w:tcW w:w="2920" w:type="dxa"/>
            <w:vAlign w:val="bottom"/>
            <w:gridSpan w:val="3"/>
          </w:tcPr>
          <w:p>
            <w:pPr>
              <w:ind w:left="60"/>
              <w:spacing w:after="0"/>
              <w:rPr>
                <w:sz w:val="20"/>
                <w:szCs w:val="20"/>
                <w:color w:val="auto"/>
              </w:rPr>
            </w:pPr>
            <w:r>
              <w:rPr>
                <w:rFonts w:ascii="Arial" w:cs="Arial" w:eastAsia="Arial" w:hAnsi="Arial"/>
                <w:sz w:val="22"/>
                <w:szCs w:val="22"/>
                <w:color w:val="auto"/>
                <w:w w:val="97"/>
              </w:rPr>
              <w:t>□ Survey by specific investors</w:t>
            </w:r>
          </w:p>
        </w:tc>
        <w:tc>
          <w:tcPr>
            <w:tcW w:w="5080" w:type="dxa"/>
            <w:vAlign w:val="bottom"/>
            <w:tcBorders>
              <w:right w:val="single" w:sz="8" w:color="auto"/>
            </w:tcBorders>
            <w:gridSpan w:val="2"/>
          </w:tcPr>
          <w:p>
            <w:pPr>
              <w:ind w:left="200"/>
              <w:spacing w:after="0"/>
              <w:rPr>
                <w:sz w:val="20"/>
                <w:szCs w:val="20"/>
                <w:color w:val="auto"/>
              </w:rPr>
            </w:pPr>
            <w:r>
              <w:rPr>
                <w:rFonts w:ascii="Arial" w:cs="Arial" w:eastAsia="Arial" w:hAnsi="Arial"/>
                <w:sz w:val="22"/>
                <w:szCs w:val="22"/>
                <w:color w:val="auto"/>
              </w:rPr>
              <w:t>√ Analyst meeting</w:t>
            </w:r>
          </w:p>
        </w:tc>
        <w:tc>
          <w:tcPr>
            <w:tcW w:w="0" w:type="dxa"/>
            <w:vAlign w:val="bottom"/>
          </w:tcPr>
          <w:p>
            <w:pPr>
              <w:spacing w:after="0"/>
              <w:rPr>
                <w:sz w:val="1"/>
                <w:szCs w:val="1"/>
                <w:color w:val="auto"/>
              </w:rPr>
            </w:pPr>
          </w:p>
        </w:tc>
      </w:tr>
      <w:tr>
        <w:trPr>
          <w:trHeight w:val="280"/>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rPr>
              <w:t>activities</w:t>
            </w:r>
          </w:p>
        </w:tc>
        <w:tc>
          <w:tcPr>
            <w:tcW w:w="1780" w:type="dxa"/>
            <w:vAlign w:val="bottom"/>
            <w:tcBorders>
              <w:right w:val="single" w:sz="8" w:color="auto"/>
            </w:tcBorders>
          </w:tcPr>
          <w:p>
            <w:pPr>
              <w:spacing w:after="0"/>
              <w:rPr>
                <w:sz w:val="24"/>
                <w:szCs w:val="24"/>
                <w:color w:val="auto"/>
              </w:rPr>
            </w:pPr>
          </w:p>
        </w:tc>
        <w:tc>
          <w:tcPr>
            <w:tcW w:w="1720" w:type="dxa"/>
            <w:vAlign w:val="bottom"/>
            <w:vMerge w:val="restart"/>
          </w:tcPr>
          <w:p>
            <w:pPr>
              <w:ind w:left="60"/>
              <w:spacing w:after="0"/>
              <w:rPr>
                <w:sz w:val="20"/>
                <w:szCs w:val="20"/>
                <w:color w:val="auto"/>
              </w:rPr>
            </w:pPr>
            <w:r>
              <w:rPr>
                <w:rFonts w:ascii="Arial" w:cs="Arial" w:eastAsia="Arial" w:hAnsi="Arial"/>
                <w:sz w:val="22"/>
                <w:szCs w:val="22"/>
                <w:color w:val="auto"/>
                <w:w w:val="95"/>
              </w:rPr>
              <w:t>□ Media interview</w:t>
            </w:r>
          </w:p>
        </w:tc>
        <w:tc>
          <w:tcPr>
            <w:tcW w:w="6280" w:type="dxa"/>
            <w:vAlign w:val="bottom"/>
            <w:tcBorders>
              <w:right w:val="single" w:sz="8" w:color="auto"/>
            </w:tcBorders>
            <w:gridSpan w:val="4"/>
            <w:vMerge w:val="restart"/>
          </w:tcPr>
          <w:p>
            <w:pPr>
              <w:jc w:val="center"/>
              <w:ind w:right="3520"/>
              <w:spacing w:after="0"/>
              <w:rPr>
                <w:sz w:val="20"/>
                <w:szCs w:val="20"/>
                <w:color w:val="auto"/>
              </w:rPr>
            </w:pPr>
            <w:r>
              <w:rPr>
                <w:rFonts w:ascii="Arial" w:cs="Arial" w:eastAsia="Arial" w:hAnsi="Arial"/>
                <w:sz w:val="22"/>
                <w:szCs w:val="22"/>
                <w:color w:val="auto"/>
                <w:w w:val="91"/>
              </w:rPr>
              <w:t>□ Results briefing</w:t>
            </w:r>
          </w:p>
        </w:tc>
        <w:tc>
          <w:tcPr>
            <w:tcW w:w="0" w:type="dxa"/>
            <w:vAlign w:val="bottom"/>
          </w:tcPr>
          <w:p>
            <w:pPr>
              <w:spacing w:after="0"/>
              <w:rPr>
                <w:sz w:val="1"/>
                <w:szCs w:val="1"/>
                <w:color w:val="auto"/>
              </w:rPr>
            </w:pPr>
          </w:p>
        </w:tc>
      </w:tr>
      <w:tr>
        <w:trPr>
          <w:trHeight w:val="162"/>
        </w:trPr>
        <w:tc>
          <w:tcPr>
            <w:tcW w:w="148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720" w:type="dxa"/>
            <w:vAlign w:val="bottom"/>
            <w:vMerge w:val="continue"/>
          </w:tcPr>
          <w:p>
            <w:pPr>
              <w:spacing w:after="0"/>
              <w:rPr>
                <w:sz w:val="14"/>
                <w:szCs w:val="14"/>
                <w:color w:val="auto"/>
              </w:rPr>
            </w:pPr>
          </w:p>
        </w:tc>
        <w:tc>
          <w:tcPr>
            <w:tcW w:w="6280" w:type="dxa"/>
            <w:vAlign w:val="bottom"/>
            <w:tcBorders>
              <w:right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48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22"/>
                <w:szCs w:val="22"/>
                <w:color w:val="auto"/>
                <w:w w:val="86"/>
              </w:rPr>
              <w:t>□ Press conference</w:t>
            </w:r>
          </w:p>
        </w:tc>
        <w:tc>
          <w:tcPr>
            <w:tcW w:w="6280" w:type="dxa"/>
            <w:vAlign w:val="bottom"/>
            <w:tcBorders>
              <w:right w:val="single" w:sz="8" w:color="auto"/>
            </w:tcBorders>
            <w:gridSpan w:val="4"/>
          </w:tcPr>
          <w:p>
            <w:pPr>
              <w:ind w:left="640"/>
              <w:spacing w:after="0"/>
              <w:rPr>
                <w:sz w:val="20"/>
                <w:szCs w:val="20"/>
                <w:color w:val="auto"/>
              </w:rPr>
            </w:pPr>
            <w:r>
              <w:rPr>
                <w:rFonts w:ascii="Arial" w:cs="Arial" w:eastAsia="Arial" w:hAnsi="Arial"/>
                <w:sz w:val="22"/>
                <w:szCs w:val="22"/>
                <w:color w:val="auto"/>
              </w:rPr>
              <w:t>□ Roadshow</w:t>
            </w:r>
          </w:p>
        </w:tc>
        <w:tc>
          <w:tcPr>
            <w:tcW w:w="0" w:type="dxa"/>
            <w:vAlign w:val="bottom"/>
          </w:tcPr>
          <w:p>
            <w:pPr>
              <w:spacing w:after="0"/>
              <w:rPr>
                <w:sz w:val="1"/>
                <w:szCs w:val="1"/>
                <w:color w:val="auto"/>
              </w:rPr>
            </w:pPr>
          </w:p>
        </w:tc>
      </w:tr>
      <w:tr>
        <w:trPr>
          <w:trHeight w:val="328"/>
        </w:trPr>
        <w:tc>
          <w:tcPr>
            <w:tcW w:w="148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22"/>
                <w:szCs w:val="22"/>
                <w:color w:val="auto"/>
              </w:rPr>
              <w:t>□ On-site visit</w:t>
            </w:r>
          </w:p>
        </w:tc>
        <w:tc>
          <w:tcPr>
            <w:tcW w:w="6280" w:type="dxa"/>
            <w:vAlign w:val="bottom"/>
            <w:tcBorders>
              <w:right w:val="single" w:sz="8" w:color="auto"/>
            </w:tcBorders>
            <w:gridSpan w:val="4"/>
          </w:tcPr>
          <w:p>
            <w:pPr>
              <w:jc w:val="center"/>
              <w:ind w:right="3500"/>
              <w:spacing w:after="0"/>
              <w:rPr>
                <w:sz w:val="20"/>
                <w:szCs w:val="20"/>
                <w:color w:val="auto"/>
              </w:rPr>
            </w:pPr>
            <w:r>
              <w:rPr>
                <w:rFonts w:ascii="Arial" w:cs="Arial" w:eastAsia="Arial" w:hAnsi="Arial"/>
                <w:sz w:val="22"/>
                <w:szCs w:val="22"/>
                <w:color w:val="auto"/>
                <w:w w:val="88"/>
              </w:rPr>
              <w:t>√ Others (open conference call)</w:t>
            </w:r>
          </w:p>
        </w:tc>
        <w:tc>
          <w:tcPr>
            <w:tcW w:w="0" w:type="dxa"/>
            <w:vAlign w:val="bottom"/>
          </w:tcPr>
          <w:p>
            <w:pPr>
              <w:spacing w:after="0"/>
              <w:rPr>
                <w:sz w:val="1"/>
                <w:szCs w:val="1"/>
                <w:color w:val="auto"/>
              </w:rPr>
            </w:pPr>
          </w:p>
        </w:tc>
      </w:tr>
      <w:tr>
        <w:trPr>
          <w:trHeight w:val="102"/>
        </w:trPr>
        <w:tc>
          <w:tcPr>
            <w:tcW w:w="1480" w:type="dxa"/>
            <w:vAlign w:val="bottom"/>
            <w:tcBorders>
              <w:left w:val="single" w:sz="8" w:color="auto"/>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480" w:type="dxa"/>
            <w:vAlign w:val="bottom"/>
            <w:tcBorders>
              <w:top w:val="single" w:sz="8" w:color="auto"/>
              <w:bottom w:val="single" w:sz="8" w:color="auto"/>
            </w:tcBorders>
          </w:tcPr>
          <w:p>
            <w:pPr>
              <w:spacing w:after="0"/>
              <w:rPr>
                <w:sz w:val="8"/>
                <w:szCs w:val="8"/>
                <w:color w:val="auto"/>
              </w:rPr>
            </w:pPr>
          </w:p>
        </w:tc>
        <w:tc>
          <w:tcPr>
            <w:tcW w:w="3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Date</w:t>
            </w:r>
          </w:p>
        </w:tc>
        <w:tc>
          <w:tcPr>
            <w:tcW w:w="17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March 2023</w:t>
            </w:r>
          </w:p>
        </w:tc>
        <w:tc>
          <w:tcPr>
            <w:tcW w:w="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Venue</w:t>
            </w:r>
          </w:p>
        </w:tc>
        <w:tc>
          <w:tcPr>
            <w:tcW w:w="17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Conference call</w:t>
            </w:r>
          </w:p>
        </w:tc>
        <w:tc>
          <w:tcPr>
            <w:tcW w:w="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4" w:name="page5"/>
    <w:bookmarkEnd w:id="4"/>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1380" w:type="dxa"/>
            <w:vAlign w:val="bottom"/>
            <w:tcBorders>
              <w:top w:val="single" w:sz="8" w:color="auto"/>
              <w:lef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80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Chairman: HUI WANG</w:t>
            </w:r>
          </w:p>
        </w:tc>
      </w:tr>
      <w:tr>
        <w:trPr>
          <w:trHeight w:val="378"/>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General Manager: JIAN WANG</w:t>
            </w:r>
          </w:p>
        </w:tc>
      </w:tr>
      <w:tr>
        <w:trPr>
          <w:trHeight w:val="378"/>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22"/>
                <w:szCs w:val="22"/>
                <w:b w:val="1"/>
                <w:bCs w:val="1"/>
                <w:color w:val="auto"/>
              </w:rPr>
              <w:t>Participants</w:t>
            </w:r>
          </w:p>
        </w:tc>
        <w:tc>
          <w:tcPr>
            <w:tcW w:w="520" w:type="dxa"/>
            <w:vAlign w:val="bottom"/>
          </w:tcPr>
          <w:p>
            <w:pPr>
              <w:ind w:left="160"/>
              <w:spacing w:after="0"/>
              <w:rPr>
                <w:sz w:val="20"/>
                <w:szCs w:val="20"/>
                <w:color w:val="auto"/>
              </w:rPr>
            </w:pPr>
            <w:r>
              <w:rPr>
                <w:rFonts w:ascii="Arial" w:cs="Arial" w:eastAsia="Arial" w:hAnsi="Arial"/>
                <w:sz w:val="22"/>
                <w:szCs w:val="22"/>
                <w:b w:val="1"/>
                <w:bCs w:val="1"/>
                <w:color w:val="auto"/>
              </w:rPr>
              <w:t>of</w:t>
            </w:r>
          </w:p>
        </w:tc>
        <w:tc>
          <w:tcPr>
            <w:tcW w:w="620" w:type="dxa"/>
            <w:vAlign w:val="bottom"/>
          </w:tcPr>
          <w:p>
            <w:pPr>
              <w:ind w:left="160"/>
              <w:spacing w:after="0"/>
              <w:rPr>
                <w:sz w:val="20"/>
                <w:szCs w:val="20"/>
                <w:color w:val="auto"/>
              </w:rPr>
            </w:pPr>
            <w:r>
              <w:rPr>
                <w:rFonts w:ascii="Arial" w:cs="Arial" w:eastAsia="Arial" w:hAnsi="Arial"/>
                <w:sz w:val="22"/>
                <w:szCs w:val="22"/>
                <w:b w:val="1"/>
                <w:bCs w:val="1"/>
                <w:color w:val="auto"/>
              </w:rPr>
              <w:t>the</w:t>
            </w:r>
          </w:p>
        </w:tc>
        <w:tc>
          <w:tcPr>
            <w:tcW w:w="740" w:type="dxa"/>
            <w:vAlign w:val="bottom"/>
            <w:tcBorders>
              <w:right w:val="single" w:sz="8" w:color="auto"/>
            </w:tcBorders>
          </w:tcPr>
          <w:p>
            <w:pPr>
              <w:ind w:left="160"/>
              <w:spacing w:after="0"/>
              <w:rPr>
                <w:sz w:val="20"/>
                <w:szCs w:val="20"/>
                <w:color w:val="auto"/>
              </w:rPr>
            </w:pPr>
            <w:r>
              <w:rPr>
                <w:rFonts w:ascii="Arial" w:cs="Arial" w:eastAsia="Arial" w:hAnsi="Arial"/>
                <w:sz w:val="22"/>
                <w:szCs w:val="22"/>
                <w:b w:val="1"/>
                <w:bCs w:val="1"/>
                <w:color w:val="auto"/>
                <w:w w:val="93"/>
              </w:rPr>
              <w:t>listed</w:t>
            </w: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Person in Charge of Financial Matters: LISA YI LU FENG</w:t>
            </w:r>
          </w:p>
        </w:tc>
      </w:tr>
      <w:tr>
        <w:trPr>
          <w:trHeight w:val="365"/>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22"/>
                <w:szCs w:val="22"/>
                <w:b w:val="1"/>
                <w:bCs w:val="1"/>
                <w:color w:val="auto"/>
              </w:rPr>
              <w:t>company</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Board Secretary: MINGZHU LUO</w:t>
            </w:r>
          </w:p>
        </w:tc>
      </w:tr>
      <w:tr>
        <w:trPr>
          <w:trHeight w:val="84"/>
        </w:trPr>
        <w:tc>
          <w:tcPr>
            <w:tcW w:w="1380" w:type="dxa"/>
            <w:vAlign w:val="bottom"/>
            <w:tcBorders>
              <w:left w:val="single" w:sz="8" w:color="auto"/>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00" w:type="dxa"/>
            <w:vAlign w:val="bottom"/>
            <w:tcBorders>
              <w:bottom w:val="single" w:sz="8" w:color="auto"/>
              <w:right w:val="single" w:sz="8" w:color="auto"/>
            </w:tcBorders>
          </w:tcPr>
          <w:p>
            <w:pPr>
              <w:spacing w:after="0"/>
              <w:rPr>
                <w:sz w:val="7"/>
                <w:szCs w:val="7"/>
                <w:color w:val="auto"/>
              </w:rPr>
            </w:pPr>
          </w:p>
        </w:tc>
      </w:tr>
      <w:tr>
        <w:trPr>
          <w:trHeight w:val="34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2"/>
              </w:rPr>
              <w:t xml:space="preserve">I. </w:t>
            </w:r>
            <w:r>
              <w:rPr>
                <w:rFonts w:ascii="Arial" w:cs="Arial" w:eastAsia="Arial" w:hAnsi="Arial"/>
                <w:sz w:val="22"/>
                <w:szCs w:val="22"/>
                <w:b w:val="1"/>
                <w:bCs w:val="1"/>
                <w:color w:val="auto"/>
                <w:w w:val="92"/>
              </w:rPr>
              <w:t>Company Introduction:</w:t>
            </w:r>
            <w:r>
              <w:rPr>
                <w:rFonts w:ascii="Arial" w:cs="Arial" w:eastAsia="Arial" w:hAnsi="Arial"/>
                <w:sz w:val="22"/>
                <w:szCs w:val="22"/>
                <w:color w:val="auto"/>
                <w:w w:val="92"/>
              </w:rPr>
              <w:t xml:space="preserve"> Leaders of ACM Research (Shanghai), Inc. (the “Company”)</w:t>
            </w:r>
          </w:p>
        </w:tc>
      </w:tr>
      <w:tr>
        <w:trPr>
          <w:trHeight w:val="378"/>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5"/>
              </w:rPr>
              <w:t>gave a brief introduction to the Company’s performance and financial situation for the</w:t>
            </w:r>
          </w:p>
        </w:tc>
      </w:tr>
      <w:tr>
        <w:trPr>
          <w:trHeight w:val="378"/>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year 2022, and answered questions of concern by investors.</w:t>
            </w:r>
          </w:p>
        </w:tc>
      </w:tr>
      <w:tr>
        <w:trPr>
          <w:trHeight w:val="608"/>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b w:val="1"/>
                <w:bCs w:val="1"/>
                <w:color w:val="auto"/>
              </w:rPr>
              <w:t>Q&amp;A:</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w w:val="92"/>
              </w:rPr>
              <w:t>1.  The  Company  has  faster  progress  in  overseas  customer  development</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w w:val="88"/>
              </w:rPr>
              <w:t>compared to other domestic peers. What are the Company’s strategies for developing</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w w:val="98"/>
              </w:rPr>
              <w:t>international  customers?  How  about  the  verification  of  the  cleaning  and</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electroplating equipment delivered by the Company last year?</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500"/>
              <w:spacing w:after="0"/>
              <w:rPr>
                <w:sz w:val="20"/>
                <w:szCs w:val="20"/>
                <w:color w:val="auto"/>
              </w:rPr>
            </w:pPr>
            <w:r>
              <w:rPr>
                <w:rFonts w:ascii="Arial" w:cs="Arial" w:eastAsia="Arial" w:hAnsi="Arial"/>
                <w:sz w:val="22"/>
                <w:szCs w:val="22"/>
                <w:color w:val="auto"/>
                <w:w w:val="99"/>
              </w:rPr>
              <w:t>A:  It  is  a  long-term  development  trend  for  the  internationalization  of  the</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semiconductor equipment industry. At present, we are still focusing on the domestic</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8"/>
              </w:rPr>
              <w:t>market in China, while also hoping to introduce verified products with differentiated</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technology to the global market. First, as to copper plating equipment, our copper plating</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equipment was verified in a Chinese factory of an Asian company last year, the</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verification of which is currently in good order. In the future, we believe there will be</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greater opportunities for our cooperation with this Asian company with its expansion in</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other regions of Asia. Second, our back-end packaging products have been practically</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applied to packaging companies of major international manufacturers in China. Finally,</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0"/>
              </w:rPr>
              <w:t>last year, two sets of our equipment entered top tier customers in the U.S. and underwent</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validation in their U.S. factories, which verification has had a relatively smooth progress</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0"/>
              </w:rPr>
              <w:t>and is expected to be completed in the first half of this year. If the equipment performance</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is verified, we expect to receive repeat orders.</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500"/>
              <w:spacing w:after="0"/>
              <w:rPr>
                <w:sz w:val="20"/>
                <w:szCs w:val="20"/>
                <w:color w:val="auto"/>
              </w:rPr>
            </w:pPr>
            <w:r>
              <w:rPr>
                <w:rFonts w:ascii="Arial" w:cs="Arial" w:eastAsia="Arial" w:hAnsi="Arial"/>
                <w:sz w:val="22"/>
                <w:szCs w:val="22"/>
                <w:color w:val="auto"/>
                <w:w w:val="92"/>
              </w:rPr>
              <w:t>In the future, we intend to use additional efforts to develop international customers.</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At present, we have had SK Hynix as a customer, and we intend to continue to develop</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88"/>
              </w:rPr>
              <w:t>U.S. customers based on this. We have also recently accessed the European market. While</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8"/>
              </w:rPr>
              <w:t>further promoting our cleaning technology for these existing markets, we have also</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continued to focus on the market of Taiwan, China. In addition to cleaning equipment, we</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6"/>
              </w:rPr>
              <w:t>believe our existing copper plating equipment is of great potential, particularly as we</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0"/>
              </w:rPr>
              <w:t>believe there is only one front-end copper plating company and three back-end advanced</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packaging companies worldwide, including us, with great opportunities in front-end and</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back-end packaging technologies. We hope that our front-end equipment can develop</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8"/>
              </w:rPr>
              <w:t>smoothly and enter the global market. As to furnace tube equipment, the Company</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recorded a good traction of LPCVD, ALD and other equipment in China, among which</w:t>
            </w:r>
          </w:p>
        </w:tc>
      </w:tr>
      <w:tr>
        <w:trPr>
          <w:trHeight w:val="351"/>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5"/>
              </w:rPr>
              <w:t>the preliminary verification of our ALD equipment is tracking to plan, which we believe</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2"/>
              </w:rPr>
              <w:t>provides good potential for ALD in the international market in the future. Overall, we are</w:t>
            </w:r>
          </w:p>
        </w:tc>
      </w:tr>
      <w:tr>
        <w:trPr>
          <w:trHeight w:val="365"/>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currently investing significant effort to expand our sales with additional major global</w:t>
            </w:r>
          </w:p>
        </w:tc>
      </w:tr>
      <w:tr>
        <w:trPr>
          <w:trHeight w:val="364"/>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customers.</w:t>
            </w:r>
          </w:p>
        </w:tc>
      </w:tr>
      <w:tr>
        <w:trPr>
          <w:trHeight w:val="390"/>
        </w:trPr>
        <w:tc>
          <w:tcPr>
            <w:tcW w:w="138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r>
    </w:tbl>
    <w:p>
      <w:pPr>
        <w:sectPr>
          <w:pgSz w:w="11900" w:h="16900" w:orient="portrait"/>
          <w:cols w:equalWidth="0" w:num="1">
            <w:col w:w="11260"/>
          </w:cols>
          <w:pgMar w:left="320" w:top="1440" w:right="31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384" w:lineRule="auto"/>
        <w:rPr>
          <w:sz w:val="20"/>
          <w:szCs w:val="20"/>
          <w:color w:val="auto"/>
        </w:rPr>
      </w:pPr>
      <w:r>
        <w:rPr>
          <w:rFonts w:ascii="Arial" w:cs="Arial" w:eastAsia="Arial" w:hAnsi="Arial"/>
          <w:sz w:val="22"/>
          <w:szCs w:val="22"/>
          <w:b w:val="1"/>
          <w:bCs w:val="1"/>
          <w:color w:val="auto"/>
        </w:rPr>
        <w:t>Summary of investor relation activities</w:t>
      </w:r>
    </w:p>
    <w:p>
      <w:pPr>
        <w:spacing w:after="0" w:line="20" w:lineRule="exact"/>
        <w:rPr>
          <w:sz w:val="20"/>
          <w:szCs w:val="20"/>
          <w:color w:val="auto"/>
        </w:rPr>
      </w:pPr>
      <w:r>
        <w:rPr>
          <w:sz w:val="20"/>
          <w:szCs w:val="20"/>
          <w:color w:val="auto"/>
        </w:rPr>
        <w:br w:type="column"/>
      </w:r>
    </w:p>
    <w:p>
      <w:pPr>
        <w:ind w:right="20" w:firstLine="441"/>
        <w:spacing w:after="0" w:line="349" w:lineRule="auto"/>
        <w:tabs>
          <w:tab w:leader="none" w:pos="69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What products drive the rapid increase in the Company’s gross margin? What is the approximate gross margin for furnace tube?</w:t>
      </w:r>
    </w:p>
    <w:p>
      <w:pPr>
        <w:jc w:val="both"/>
        <w:ind w:right="20" w:firstLine="432"/>
        <w:spacing w:after="0" w:line="357" w:lineRule="auto"/>
        <w:rPr>
          <w:rFonts w:ascii="Arial" w:cs="Arial" w:eastAsia="Arial" w:hAnsi="Arial"/>
          <w:sz w:val="22"/>
          <w:szCs w:val="22"/>
          <w:b w:val="1"/>
          <w:bCs w:val="1"/>
          <w:color w:val="auto"/>
        </w:rPr>
      </w:pPr>
      <w:r>
        <w:rPr>
          <w:rFonts w:ascii="Arial" w:cs="Arial" w:eastAsia="Arial" w:hAnsi="Arial"/>
          <w:sz w:val="21"/>
          <w:szCs w:val="21"/>
          <w:color w:val="auto"/>
        </w:rPr>
        <w:t>A: Among cleaning equipment, the gross margin for single wafer equipment is higher than that for wet bench equipment, and the gross margin for single wafer equipment varies depending on customer needs and product specifications. The gross margin for copper plating equipment also varies, with front-end equipment having a higher gross margin than back-end equipment. For 2022, a higher mix of front-end copper plating equipment contributed in part to good gross margin.</w:t>
      </w:r>
    </w:p>
    <w:p>
      <w:pPr>
        <w:spacing w:after="0" w:line="4" w:lineRule="exact"/>
        <w:rPr>
          <w:rFonts w:ascii="Arial" w:cs="Arial" w:eastAsia="Arial" w:hAnsi="Arial"/>
          <w:sz w:val="22"/>
          <w:szCs w:val="22"/>
          <w:b w:val="1"/>
          <w:bCs w:val="1"/>
          <w:color w:val="auto"/>
        </w:rPr>
      </w:pPr>
    </w:p>
    <w:p>
      <w:pPr>
        <w:jc w:val="both"/>
        <w:ind w:right="20" w:firstLine="432"/>
        <w:spacing w:after="0" w:line="378" w:lineRule="auto"/>
        <w:rPr>
          <w:rFonts w:ascii="Arial" w:cs="Arial" w:eastAsia="Arial" w:hAnsi="Arial"/>
          <w:sz w:val="22"/>
          <w:szCs w:val="22"/>
          <w:b w:val="1"/>
          <w:bCs w:val="1"/>
          <w:color w:val="auto"/>
        </w:rPr>
      </w:pPr>
      <w:r>
        <w:rPr>
          <w:rFonts w:ascii="Arial" w:cs="Arial" w:eastAsia="Arial" w:hAnsi="Arial"/>
          <w:sz w:val="21"/>
          <w:szCs w:val="21"/>
          <w:color w:val="auto"/>
        </w:rPr>
        <w:t>We have started selling furnace tube equipment, including LPCVD and ALD, this year. Standard furnace tools have an average profit, while ALD furnace has a relatively higher gross margin. We maintain our gross margin target of 40% to 45%.</w:t>
      </w:r>
    </w:p>
    <w:p>
      <w:pPr>
        <w:spacing w:after="0" w:line="175" w:lineRule="exact"/>
        <w:rPr>
          <w:rFonts w:ascii="Arial" w:cs="Arial" w:eastAsia="Arial" w:hAnsi="Arial"/>
          <w:sz w:val="22"/>
          <w:szCs w:val="22"/>
          <w:b w:val="1"/>
          <w:bCs w:val="1"/>
          <w:color w:val="auto"/>
        </w:rPr>
      </w:pPr>
    </w:p>
    <w:p>
      <w:pPr>
        <w:jc w:val="both"/>
        <w:ind w:right="20" w:firstLine="441"/>
        <w:spacing w:after="0" w:line="343" w:lineRule="auto"/>
        <w:tabs>
          <w:tab w:leader="none" w:pos="67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Has the Company taken into full account various factors, such as the pace changes resulting from downstream customer adjustments, to make the annual revenue projection?</w:t>
      </w:r>
    </w:p>
    <w:p>
      <w:pPr>
        <w:spacing w:after="0" w:line="1" w:lineRule="exact"/>
        <w:rPr>
          <w:rFonts w:ascii="Arial" w:cs="Arial" w:eastAsia="Arial" w:hAnsi="Arial"/>
          <w:sz w:val="22"/>
          <w:szCs w:val="22"/>
          <w:b w:val="1"/>
          <w:bCs w:val="1"/>
          <w:color w:val="auto"/>
        </w:rPr>
      </w:pPr>
    </w:p>
    <w:p>
      <w:pPr>
        <w:ind w:right="20" w:firstLine="432"/>
        <w:spacing w:after="0" w:line="366" w:lineRule="auto"/>
        <w:rPr>
          <w:rFonts w:ascii="Arial" w:cs="Arial" w:eastAsia="Arial" w:hAnsi="Arial"/>
          <w:sz w:val="22"/>
          <w:szCs w:val="22"/>
          <w:b w:val="1"/>
          <w:bCs w:val="1"/>
          <w:color w:val="auto"/>
        </w:rPr>
      </w:pPr>
      <w:r>
        <w:rPr>
          <w:rFonts w:ascii="Arial" w:cs="Arial" w:eastAsia="Arial" w:hAnsi="Arial"/>
          <w:sz w:val="22"/>
          <w:szCs w:val="22"/>
          <w:color w:val="auto"/>
        </w:rPr>
        <w:t>A: In January of this year, the Company made a full-year projection mainly based on demand from its mainland China customers for mature nodes.</w:t>
      </w:r>
    </w:p>
    <w:p>
      <w:pPr>
        <w:spacing w:after="0" w:line="194" w:lineRule="exact"/>
        <w:rPr>
          <w:rFonts w:ascii="Arial" w:cs="Arial" w:eastAsia="Arial" w:hAnsi="Arial"/>
          <w:sz w:val="22"/>
          <w:szCs w:val="22"/>
          <w:b w:val="1"/>
          <w:bCs w:val="1"/>
          <w:color w:val="auto"/>
        </w:rPr>
      </w:pPr>
    </w:p>
    <w:p>
      <w:pPr>
        <w:ind w:right="20" w:firstLine="441"/>
        <w:spacing w:after="0" w:line="342" w:lineRule="auto"/>
        <w:tabs>
          <w:tab w:leader="none" w:pos="65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Will the revenue from furnace tube business in 2023 have a growth at several times due to its small base?</w:t>
      </w:r>
    </w:p>
    <w:p>
      <w:pPr>
        <w:jc w:val="both"/>
        <w:ind w:firstLine="432"/>
        <w:spacing w:after="0" w:line="403" w:lineRule="auto"/>
        <w:rPr>
          <w:rFonts w:ascii="Arial" w:cs="Arial" w:eastAsia="Arial" w:hAnsi="Arial"/>
          <w:sz w:val="22"/>
          <w:szCs w:val="22"/>
          <w:b w:val="1"/>
          <w:bCs w:val="1"/>
          <w:color w:val="auto"/>
        </w:rPr>
      </w:pPr>
      <w:r>
        <w:rPr>
          <w:rFonts w:ascii="Arial" w:cs="Arial" w:eastAsia="Arial" w:hAnsi="Arial"/>
          <w:sz w:val="19"/>
          <w:szCs w:val="19"/>
          <w:color w:val="auto"/>
        </w:rPr>
        <w:t>A: Last year, revenue from furnace tube and copper plating equipment accounted for about 20% of total revenue, most of which still came from copper plating equipment. We expect revenue from copper plating equipment to grow this year, and we expect that revenue from furnace tube will see even greater growth this year. In terms of furnace tube business, we look forward to the joining of multiple customers this year, which will, in addition to LPCVD equipment, including vacuum tempering and high-temperature tempering, also cover ALD equipment. For ALD equipment, instead of seeking to be awarded vast orders, we hope it can be expanded to multiple customers. This year, we expect furnace tube to contribute good growth for us, primarily owing to the increase in new customers and repeated orders from existing customers.</w:t>
      </w:r>
    </w:p>
    <w:p>
      <w:pPr>
        <w:spacing w:after="0" w:line="172" w:lineRule="exact"/>
        <w:rPr>
          <w:rFonts w:ascii="Arial" w:cs="Arial" w:eastAsia="Arial" w:hAnsi="Arial"/>
          <w:sz w:val="22"/>
          <w:szCs w:val="22"/>
          <w:b w:val="1"/>
          <w:bCs w:val="1"/>
          <w:color w:val="auto"/>
        </w:rPr>
      </w:pPr>
    </w:p>
    <w:p>
      <w:pPr>
        <w:jc w:val="both"/>
        <w:ind w:right="20" w:firstLine="441"/>
        <w:spacing w:after="0" w:line="402" w:lineRule="auto"/>
        <w:tabs>
          <w:tab w:leader="none" w:pos="691"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Last year, the Company’s ECP equipment had a very high gross margin, driving up the overall gross margin. Accordingly, the gross margin for the furnace tube segment will probably rebound to around 45% this year, right?</w:t>
      </w:r>
    </w:p>
    <w:p>
      <w:pPr>
        <w:spacing w:after="0" w:line="1" w:lineRule="exact"/>
        <w:rPr>
          <w:rFonts w:ascii="Arial" w:cs="Arial" w:eastAsia="Arial" w:hAnsi="Arial"/>
          <w:sz w:val="19"/>
          <w:szCs w:val="19"/>
          <w:b w:val="1"/>
          <w:bCs w:val="1"/>
          <w:color w:val="auto"/>
        </w:rPr>
      </w:pPr>
    </w:p>
    <w:p>
      <w:pPr>
        <w:ind w:left="440"/>
        <w:spacing w:after="0"/>
        <w:rPr>
          <w:rFonts w:ascii="Arial" w:cs="Arial" w:eastAsia="Arial" w:hAnsi="Arial"/>
          <w:sz w:val="19"/>
          <w:szCs w:val="19"/>
          <w:b w:val="1"/>
          <w:bCs w:val="1"/>
          <w:color w:val="auto"/>
        </w:rPr>
      </w:pPr>
      <w:r>
        <w:rPr>
          <w:rFonts w:ascii="Arial" w:cs="Arial" w:eastAsia="Arial" w:hAnsi="Arial"/>
          <w:sz w:val="21"/>
          <w:szCs w:val="21"/>
          <w:color w:val="auto"/>
        </w:rPr>
        <w:t>A: No change to our gross profit margin target range of between 40% and 45%.</w:t>
      </w:r>
    </w:p>
    <w:p>
      <w:pPr>
        <w:spacing w:after="0" w:line="346" w:lineRule="exact"/>
        <w:rPr>
          <w:rFonts w:ascii="Arial" w:cs="Arial" w:eastAsia="Arial" w:hAnsi="Arial"/>
          <w:sz w:val="19"/>
          <w:szCs w:val="19"/>
          <w:b w:val="1"/>
          <w:bCs w:val="1"/>
          <w:color w:val="auto"/>
        </w:rPr>
      </w:pPr>
    </w:p>
    <w:p>
      <w:pPr>
        <w:jc w:val="both"/>
        <w:ind w:firstLine="441"/>
        <w:spacing w:after="0" w:line="397" w:lineRule="auto"/>
        <w:tabs>
          <w:tab w:leader="none" w:pos="663"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Last year, the U.S. promulgated a series of restrictions on the semiconductor industry, including restrictions on American nationals. What are their impacts on the Company so far? How will the Company address future risks?</w:t>
      </w:r>
    </w:p>
    <w:p>
      <w:pPr>
        <w:spacing w:after="0" w:line="1" w:lineRule="exact"/>
        <w:rPr>
          <w:rFonts w:ascii="Arial" w:cs="Arial" w:eastAsia="Arial" w:hAnsi="Arial"/>
          <w:sz w:val="19"/>
          <w:szCs w:val="19"/>
          <w:b w:val="1"/>
          <w:bCs w:val="1"/>
          <w:color w:val="auto"/>
        </w:rPr>
      </w:pPr>
    </w:p>
    <w:p>
      <w:pPr>
        <w:jc w:val="both"/>
        <w:ind w:firstLine="432"/>
        <w:spacing w:after="0" w:line="346" w:lineRule="auto"/>
        <w:rPr>
          <w:rFonts w:ascii="Arial" w:cs="Arial" w:eastAsia="Arial" w:hAnsi="Arial"/>
          <w:sz w:val="19"/>
          <w:szCs w:val="19"/>
          <w:b w:val="1"/>
          <w:bCs w:val="1"/>
          <w:color w:val="auto"/>
        </w:rPr>
      </w:pPr>
      <w:r>
        <w:rPr>
          <w:rFonts w:ascii="Arial" w:cs="Arial" w:eastAsia="Arial" w:hAnsi="Arial"/>
          <w:sz w:val="22"/>
          <w:szCs w:val="22"/>
          <w:color w:val="auto"/>
        </w:rPr>
        <w:t>A: We abide by the export control laws of both China and the U.S. Our American employees are subject to certain restrictions in connection with R&amp;D of advanced technologies and other related work in or with China. The U.S. laws do not impose such restrictions on the activities of Chinese citizens on our R&amp;D team in China, which comprise the majority of our team, or our R&amp;D personnel participating in advanced node developments at our Korean subsidiary. Accordingly, we believe the restrictions on American citizens under the new U.S. export control regulations have an immaterial impact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-10427970</wp:posOffset>
            </wp:positionV>
            <wp:extent cx="7140575" cy="10415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0415270"/>
                    </a:xfrm>
                    <a:prstGeom prst="rect">
                      <a:avLst/>
                    </a:prstGeom>
                    <a:noFill/>
                  </pic:spPr>
                </pic:pic>
              </a:graphicData>
            </a:graphic>
          </wp:anchor>
        </w:drawing>
      </w:r>
    </w:p>
    <w:p>
      <w:pPr>
        <w:sectPr>
          <w:pgSz w:w="11900" w:h="16838" w:orient="portrait"/>
          <w:cols w:equalWidth="0" w:num="2">
            <w:col w:w="3100" w:space="140"/>
            <w:col w:w="7860"/>
          </w:cols>
          <w:pgMar w:left="400" w:top="44" w:right="399" w:bottom="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Enclosure: List of Participants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Schroder Investment Management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Arohi Asset Management Pte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Capital Group</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Centerline Investment Management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Hel Ved Capital Management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JK Capital Management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Millennium Management Services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NEO-Criterion Capital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Polymer Capital Management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Quartet Capital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VALUE PARTNERS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Ontario Teachers' Pension Plan (Asia)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Essence Securities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Ernst &amp; Yong Hua Ming (LLP)</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Baichuan Fortune (Beijing) Investment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Beijing Gao Hua Securities Company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Beijing Houte Investment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Beijing Qianhe Private Fund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Beijing Acorn Asset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Beijing Longrising Asset Management Co., Ltd.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Beixin Ruifeng Fund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CHASING SECURITIES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Chuangjin Hexin Fund Management Co., Ltd.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Dajia Asset Management Co., Ltd.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Deqing Yuyang Investment Partnership (L.P.)</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Shanghai DIJUN Asset Management Center (L.P.)</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First Capital Securities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Northeast Securities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Oriental Alpha Fund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Orient Securities Company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Soochow Securities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East Asia Qianhai Securities Company Limited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Founder Securities Co., Ltd.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FIL Investment Management (Shanghai) Company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Fullerton Investment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Furong Fund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Basis Asset Management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Everbright Pramerica Fund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Everbright Fortune Evertop Investment Management (Shanghai) Co., Ltd.</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9"/>
          <w:szCs w:val="19"/>
          <w:color w:val="auto"/>
        </w:rPr>
        <w:t>Everbright Wealth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Sun Life Everbright Life Insurance Company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Everbright Securities Company 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Everbright Securities Company Limited (Proprietary Trading)</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Guangdong Bisheng Asset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Guangdong Hengsheng Fund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Guo Dong Ze Quan Investment Management Co.,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GF Securities Co., Ltd.</w:t>
      </w:r>
    </w:p>
    <w:p>
      <w:pPr>
        <w:sectPr>
          <w:pgSz w:w="11900" w:h="16838" w:orient="portrait"/>
          <w:cols w:equalWidth="0" w:num="1">
            <w:col w:w="10139"/>
          </w:cols>
          <w:pgMar w:left="320" w:top="1440" w:right="1440" w:bottom="1440" w:gutter="0" w:footer="0" w:header="0"/>
        </w:sectPr>
      </w:pPr>
    </w:p>
    <w:bookmarkStart w:id="8" w:name="page9"/>
    <w:bookmarkEnd w:id="8"/>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Guangzhou Ruirong Private Equity Fund Management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Sealand Securities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Guolian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Guorong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Guotai Junan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Guotai Securities Investment Trust (Investment Department)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UBS SDIC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Guosen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Guoyuan Securities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Hainan Guoshi Capital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Hainan MetaEssence Assets Management Partnership (Limited Partnership)</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Hainan Palm Bay Investment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Haitong Innovation Private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Haitong International Securities Group Limited</w:t>
      </w:r>
    </w:p>
    <w:p>
      <w:pPr>
        <w:spacing w:after="0" w:line="25" w:lineRule="exact"/>
        <w:rPr>
          <w:sz w:val="20"/>
          <w:szCs w:val="20"/>
          <w:color w:val="auto"/>
        </w:rPr>
      </w:pPr>
    </w:p>
    <w:p>
      <w:pPr>
        <w:ind w:left="60" w:right="4399" w:hanging="48"/>
        <w:spacing w:after="0" w:line="266" w:lineRule="auto"/>
        <w:rPr>
          <w:sz w:val="20"/>
          <w:szCs w:val="20"/>
          <w:color w:val="auto"/>
        </w:rPr>
      </w:pPr>
      <w:r>
        <w:rPr>
          <w:rFonts w:ascii="Arial" w:cs="Arial" w:eastAsia="Arial" w:hAnsi="Arial"/>
          <w:sz w:val="19"/>
          <w:szCs w:val="19"/>
          <w:color w:val="auto"/>
        </w:rPr>
        <w:t>HAITONG INTERNATIONAL ASSET MANAGEMENT (HK) LIMITED Haitong Securities Co., Ltd.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Hangzhou BoLiErXiang Asset Management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Hangzhou Chonghe Investment Management Partnership (L.P.)</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Hangzhou Chuanbaina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Hangzhou Farscene Investment Management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Hangzhou Kaisheng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Hangzhou Joy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HANG SENG INVESTMENT MANAGEMENT LIMITED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Sequoia Capital Investment Management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Hua'an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Fortune SG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HUATAI FINANCIAL HOLDINGS (HONG KONG)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Huatai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Huaxi Securities Co., Ltd. (Proprietary Trading)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HSBC Jintrust Fund Management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HSBC Qianhai Securities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Springs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Jiayu Yinghai (Shanghai) Private Equity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Harvest Fund Management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Jiangsu Winfast Investment Holding Group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Jiangsu Shagang Group Investment Holding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Bank of Communications Schroder Fund Management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Invesco GREAT Wall Fund Management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Nine Thai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Kaiyuan Securities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Kai’en (Suzhou) Private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KGI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Longwin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Minsheng Royal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Mingji Boyuan Investment (Shanghai)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(China)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Nanfang Tianchen (Beijing) Investment Management Co., Ltd.</w:t>
      </w:r>
    </w:p>
    <w:p>
      <w:pPr>
        <w:sectPr>
          <w:pgSz w:w="11900" w:h="16838" w:orient="portrait"/>
          <w:cols w:equalWidth="0" w:num="1">
            <w:col w:w="10119"/>
          </w:cols>
          <w:pgMar w:left="340" w:top="1440" w:right="1440" w:bottom="1440" w:gutter="0" w:footer="0" w:header="0"/>
        </w:sectPr>
      </w:pPr>
    </w:p>
    <w:bookmarkStart w:id="9" w:name="page10"/>
    <w:bookmarkEnd w:id="9"/>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Ningbo Gaofu Private Equity Fund Management Partnership (L.P.)</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color w:val="auto"/>
        </w:rPr>
        <w:t>Pengyang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Ping An Bank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CloudAlpha Capital Management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PICC Capital Equity Investment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Credit Suisse AG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Credit Suisse Securities China Limited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UBS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Cephei Capital Management (Tianjin) Limited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Xiamen Guansheng Private Equity Fund Management Co., Ltd.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Shanghai Bodu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Orient Securities Asset Management Company Limited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Shanghai Fuying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Genxi Private Equity Fund Management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Shanghai Goomoo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Guosheng (Group) Co., Ltd.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Shanghai Guozan Private Equity Fund Management Partnership (L.P.)</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Haitong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United Advance Capital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Shanghai Huichen Private Fund Management Company Limited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Shanghai Jiashi Private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Jinen Investment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Genius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Eureka Investment Partner Co., Ltd.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Shanghai Jiuyou Equity Investment Fund Management Co., Ltd.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Shanghai Liyuan Equity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Lingze Private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Minghe Investment Management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Shanghai Muchasset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Pudong Development Bank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Cosea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Senjin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Shangjin Investment Management Partnership (L.P.)</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Shen Wu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Tinnyinvestment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Cactus Asset Management Partnership Enterprise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Xiansheng Investment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Shagnhai Zhongyu Investment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Shanghai Zige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Shenwan Hongyuan Group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Shenwan Hongyuan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Gohedge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WISDOM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Jasper Capital International,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Qianhai Chuangfu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Qianhai Julong Investment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Qianhai Langhuan Capital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Guohui Investment Co., Ltd.</w:t>
      </w:r>
    </w:p>
    <w:p>
      <w:pPr>
        <w:sectPr>
          <w:pgSz w:w="11900" w:h="16838" w:orient="portrait"/>
          <w:cols w:equalWidth="0" w:num="1">
            <w:col w:w="10119"/>
          </w:cols>
          <w:pgMar w:left="340" w:top="1440" w:right="1440" w:bottom="1440" w:gutter="0" w:footer="0" w:header="0"/>
        </w:sectPr>
      </w:pPr>
    </w:p>
    <w:bookmarkStart w:id="10" w:name="page11"/>
    <w:bookmarkEnd w:id="10"/>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LEADINGHORSE CAPITAL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Leading Technology Industry Development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Qianhai Jiupai Captial Management Partnership (L.P.)</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Shangcheng Asset Management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Shenzhen Kwt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Shenzhen China Alpha Investment Research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Enjoy Equity Investment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Shenzhen Xinran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Capital Securities Corporation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Suyin Financial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Pacific Alliance Group</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Taiping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Nature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Western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Tibet Dongcai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Southwest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Xiangcai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Xinhua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Industrial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Symbol Investment (Shanghai)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Snow Lake Capital (HK)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Yimi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Chang'an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Zheshang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Zhengzhou Xinyu Investment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International Capital Corporation Limited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PICC Asset Management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Galaxy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Zhonghai Fund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Ing-Bob Life Insurance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United Insurance Group Company Limited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Zhongsheng Chenjia (Shenzhen) Private Securities Fund Management Co., Ltd.</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Zhongtai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CITIC Prudential Asset Management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CITIC Securities Co., Ltd.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China Post Life Insurance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China Post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CENTRAL CHINA SECURITIES CO., LTD.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Rosefinch Fund Management Co., Ltd.</w:t>
      </w:r>
    </w:p>
    <w:p>
      <w:pPr>
        <w:spacing w:after="0" w:line="92" w:lineRule="exact"/>
        <w:rPr>
          <w:sz w:val="20"/>
          <w:szCs w:val="20"/>
          <w:color w:val="auto"/>
        </w:rPr>
      </w:pPr>
    </w:p>
    <w:p>
      <w:pPr>
        <w:ind w:left="5280"/>
        <w:spacing w:after="0"/>
        <w:tabs>
          <w:tab w:leader="none" w:pos="5540" w:val="left"/>
          <w:tab w:leader="none" w:pos="5820" w:val="left"/>
        </w:tabs>
        <w:rPr>
          <w:sz w:val="20"/>
          <w:szCs w:val="20"/>
          <w:color w:val="auto"/>
        </w:rPr>
      </w:pPr>
      <w:r>
        <w:rPr>
          <w:rFonts w:ascii="Arial" w:cs="Arial" w:eastAsia="Arial" w:hAnsi="Arial"/>
          <w:sz w:val="19"/>
          <w:szCs w:val="19"/>
          <w:color w:val="auto"/>
        </w:rPr>
        <w:t>*</w:t>
        <w:tab/>
        <w:t>*</w:t>
        <w:tab/>
        <w:t>*</w:t>
      </w:r>
    </w:p>
    <w:p>
      <w:pPr>
        <w:sectPr>
          <w:pgSz w:w="11900" w:h="16838" w:orient="portrait"/>
          <w:cols w:equalWidth="0" w:num="1">
            <w:col w:w="10119"/>
          </w:cols>
          <w:pgMar w:left="340" w:top="1440" w:right="1440"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7"/>
          <w:szCs w:val="17"/>
          <w:i w:val="1"/>
          <w:iCs w:val="1"/>
          <w:color w:val="auto"/>
        </w:rPr>
        <w:t>The following information is provided in connection with the furnishing of the above Record of March 2023 Investor Relation Activity of ACM Research (Shanghai), Inc. (“ACMSH”) (the “Record”) pursuant to the Current Report on Form 8-K reporting requirements of ACM Research, Inc.:</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jc w:val="both"/>
        <w:spacing w:after="0" w:line="234" w:lineRule="auto"/>
        <w:rPr>
          <w:sz w:val="20"/>
          <w:szCs w:val="20"/>
          <w:color w:val="auto"/>
        </w:rPr>
      </w:pPr>
      <w:r>
        <w:rPr>
          <w:rFonts w:ascii="Arial" w:cs="Arial" w:eastAsia="Arial" w:hAnsi="Arial"/>
          <w:sz w:val="17"/>
          <w:szCs w:val="17"/>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2023-04-19T05:17:17Z</dcterms:created>
  <dcterms:modified xsi:type="dcterms:W3CDTF">2023-04-19T05:17:17Z</dcterms:modified>
</cp:coreProperties>
</file>