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409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095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Cheav Sotheara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740"/>
        <w:spacing w:after="0" w:line="348" w:lineRule="auto"/>
        <w:rPr>
          <w:sz w:val="20"/>
          <w:szCs w:val="20"/>
          <w:color w:val="auto"/>
        </w:rPr>
      </w:pPr>
      <w:r>
        <w:rPr>
          <w:rFonts w:ascii="Arial" w:cs="Arial" w:eastAsia="Arial" w:hAnsi="Arial"/>
          <w:sz w:val="15"/>
          <w:szCs w:val="15"/>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04/08/2021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7"/>
        <w:spacing w:after="0"/>
        <w:rPr>
          <w:sz w:val="20"/>
          <w:szCs w:val="20"/>
          <w:color w:val="auto"/>
        </w:rPr>
      </w:pPr>
      <w:r>
        <w:rPr>
          <w:rFonts w:ascii="Arial" w:cs="Arial" w:eastAsia="Arial" w:hAnsi="Arial"/>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9"/>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9"/>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94539</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0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04/08/2021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9"/>
              </w:rPr>
              <w:t>5,000</w:t>
            </w: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13.85</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61,445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04/08/2021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9"/>
              </w:rPr>
              <w:t>5,000</w:t>
            </w: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88.66</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56,445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04/09/2021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7"/>
                <w:szCs w:val="17"/>
                <w:color w:val="0000FF"/>
                <w:w w:val="88"/>
              </w:rPr>
              <w:t>13,111</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86.64</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43,334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3"/>
          </w:tcPr>
          <w:p>
            <w:pPr>
              <w:jc w:val="center"/>
              <w:ind w:left="33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24"/>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ind w:left="4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5,000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13.85</w:t>
            </w: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04/08/2021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5,000</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07/31/2028</w:t>
            </w:r>
          </w:p>
        </w:tc>
        <w:tc>
          <w:tcPr>
            <w:tcW w:w="20" w:type="dxa"/>
            <w:vAlign w:val="bottom"/>
          </w:tcPr>
          <w:p>
            <w:pPr>
              <w:spacing w:after="0"/>
              <w:rPr>
                <w:sz w:val="5"/>
                <w:szCs w:val="5"/>
                <w:color w:val="auto"/>
              </w:rPr>
            </w:pPr>
          </w:p>
        </w:tc>
        <w:tc>
          <w:tcPr>
            <w:tcW w:w="600" w:type="dxa"/>
            <w:vAlign w:val="bottom"/>
            <w:vMerge w:val="restart"/>
          </w:tcPr>
          <w:p>
            <w:pPr>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15,000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8, 2021, the reporting person exercised a previously issued stock option to purchase 5,000 shares of Class A Common Stock of the Issuer.</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40" w:right="2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and became exercisable as to 10,000 shares on August 1, 2019, and the remaining 30,000 shares vest and become exercisable in equal monthly installments over the following 36 months, subject to continued service through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Manufacturing of ACM Research (Shanghai), Inc., a subsidiary of the Issuer</w:t>
      </w:r>
    </w:p>
    <w:p>
      <w:pPr>
        <w:ind w:left="6600"/>
        <w:spacing w:after="0" w:line="185" w:lineRule="auto"/>
        <w:rPr>
          <w:sz w:val="20"/>
          <w:szCs w:val="20"/>
          <w:color w:val="auto"/>
        </w:rPr>
      </w:pPr>
      <w:r>
        <w:rPr>
          <w:rFonts w:ascii="Arial" w:cs="Arial" w:eastAsia="Arial" w:hAnsi="Arial"/>
          <w:sz w:val="17"/>
          <w:szCs w:val="17"/>
          <w:color w:val="0000FF"/>
        </w:rPr>
        <w:t xml:space="preserve">/s/ Mark L. Johnson, Attorney- </w:t>
      </w:r>
      <w:r>
        <w:rPr>
          <w:rFonts w:ascii="Arial" w:cs="Arial" w:eastAsia="Arial" w:hAnsi="Arial"/>
          <w:sz w:val="33"/>
          <w:szCs w:val="33"/>
          <w:color w:val="0000FF"/>
          <w:vertAlign w:val="subscript"/>
        </w:rPr>
        <w:t>04/12/2021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Sotheara Cheav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157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279"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2021-04-12T16:31:59Z</dcterms:created>
  <dcterms:modified xsi:type="dcterms:W3CDTF">2021-04-12T16:31:59Z</dcterms:modified>
</cp:coreProperties>
</file>