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Chen Fuping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ACM RESEARCH,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42307 OSGOOD ROAD, SUITE 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ACM Research, Inc.</w:t>
              </w:r>
            </w:hyperlink>
            <w:r>
              <w:rPr/>
              <w:t xml:space="preserve"> [ </w:t>
            </w:r>
            <w:r>
              <w:rPr>
                <w:rFonts w:ascii="Times;serif" w:hAnsi="Times;serif"/>
                <w:color w:val="0000FF"/>
                <w:sz w:val="24"/>
                <w:shd w:fill="FFFFFF" w:val="clear"/>
              </w:rPr>
              <w:t>ACMR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08/23/2023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96,165</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96,165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8,835</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08/23/2023</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46,164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12/27/2026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12/27/2026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8,835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01/24/2028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141,165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$15.00 to $15.01,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was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Executive Vice President, Sales-China of ACM Research (Shanghai), Inc., a subsidiary of the Issuer</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McKechnie, Attorney-in-Fact for Fuping Chen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29184" TargetMode="External"/><Relationship Id="rId4" Type="http://schemas.openxmlformats.org/officeDocument/2006/relationships/hyperlink" Target="http://www.sec.gov/cgi-bin/browse-edgar?action=getcompany&amp;CIK=000168006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3989</Characters>
  <CharactersWithSpaces>4638</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