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18, 2021</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ACM Research,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40"/>
          </w:cols>
          <w:pgMar w:left="320" w:top="535" w:right="339" w:bottom="1440" w:gutter="0" w:footer="0" w:header="0"/>
        </w:sectPr>
      </w:pPr>
    </w:p>
    <w:p>
      <w:pPr>
        <w:spacing w:after="0" w:line="205"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8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001-38273</w:t>
      </w:r>
    </w:p>
    <w:p>
      <w:pPr>
        <w:spacing w:after="0" w:line="27" w:lineRule="exact"/>
        <w:rPr>
          <w:sz w:val="24"/>
          <w:szCs w:val="24"/>
          <w:color w:val="auto"/>
        </w:rPr>
      </w:pPr>
    </w:p>
    <w:p>
      <w:pPr>
        <w:jc w:val="center"/>
        <w:ind w:right="86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60"/>
        <w:spacing w:after="0"/>
        <w:rPr>
          <w:sz w:val="20"/>
          <w:szCs w:val="20"/>
          <w:color w:val="auto"/>
        </w:rPr>
      </w:pPr>
      <w:r>
        <w:rPr>
          <w:rFonts w:ascii="Arial" w:cs="Arial" w:eastAsia="Arial" w:hAnsi="Arial"/>
          <w:sz w:val="18"/>
          <w:szCs w:val="18"/>
          <w:b w:val="1"/>
          <w:bCs w:val="1"/>
          <w:color w:val="auto"/>
        </w:rPr>
        <w:t>94-3290283</w:t>
      </w:r>
    </w:p>
    <w:p>
      <w:pPr>
        <w:spacing w:after="0" w:line="27" w:lineRule="exact"/>
        <w:rPr>
          <w:sz w:val="24"/>
          <w:szCs w:val="24"/>
          <w:color w:val="auto"/>
        </w:rPr>
      </w:pPr>
    </w:p>
    <w:p>
      <w:pPr>
        <w:jc w:val="center"/>
        <w:ind w:right="660"/>
        <w:spacing w:after="0"/>
        <w:rPr>
          <w:sz w:val="20"/>
          <w:szCs w:val="20"/>
          <w:color w:val="auto"/>
        </w:rPr>
      </w:pPr>
      <w:r>
        <w:rPr>
          <w:rFonts w:ascii="Arial" w:cs="Arial" w:eastAsia="Arial" w:hAnsi="Arial"/>
          <w:sz w:val="16"/>
          <w:szCs w:val="16"/>
          <w:i w:val="1"/>
          <w:iCs w:val="1"/>
          <w:color w:val="auto"/>
        </w:rPr>
        <w:t>(IRS Employer Identification No.)</w:t>
      </w:r>
    </w:p>
    <w:p>
      <w:pPr>
        <w:spacing w:after="0" w:line="200" w:lineRule="exact"/>
        <w:rPr>
          <w:sz w:val="24"/>
          <w:szCs w:val="24"/>
          <w:color w:val="auto"/>
        </w:rPr>
      </w:pPr>
    </w:p>
    <w:p>
      <w:pPr>
        <w:sectPr>
          <w:pgSz w:w="11900" w:h="16838" w:orient="portrait"/>
          <w:cols w:equalWidth="0" w:num="3">
            <w:col w:w="3880" w:space="720"/>
            <w:col w:w="2820" w:space="720"/>
            <w:col w:w="3100"/>
          </w:cols>
          <w:pgMar w:left="320" w:top="535" w:right="339" w:bottom="1440" w:gutter="0" w:footer="0" w:header="0"/>
          <w:type w:val="continuous"/>
        </w:sectPr>
      </w:pPr>
    </w:p>
    <w:p>
      <w:pPr>
        <w:spacing w:after="0" w:line="57"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42307 Osgood Road, Suite I</w:t>
      </w:r>
    </w:p>
    <w:p>
      <w:pPr>
        <w:spacing w:after="0" w:line="27"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Fremont, California</w:t>
      </w:r>
    </w:p>
    <w:p>
      <w:pPr>
        <w:spacing w:after="0" w:line="9" w:lineRule="exact"/>
        <w:rPr>
          <w:sz w:val="24"/>
          <w:szCs w:val="24"/>
          <w:color w:val="auto"/>
        </w:rPr>
      </w:pPr>
    </w:p>
    <w:p>
      <w:pPr>
        <w:jc w:val="center"/>
        <w:ind w:right="1840"/>
        <w:spacing w:after="0"/>
        <w:rPr>
          <w:sz w:val="20"/>
          <w:szCs w:val="20"/>
          <w:color w:val="auto"/>
        </w:rPr>
      </w:pPr>
      <w:r>
        <w:rPr>
          <w:rFonts w:ascii="Arial" w:cs="Arial" w:eastAsia="Arial" w:hAnsi="Arial"/>
          <w:sz w:val="16"/>
          <w:szCs w:val="16"/>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94539</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i w:val="1"/>
          <w:i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35"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(510) 445-3700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64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80" w:type="dxa"/>
            <w:vAlign w:val="bottom"/>
          </w:tcPr>
          <w:p>
            <w:pPr>
              <w:spacing w:after="0"/>
              <w:rPr>
                <w:sz w:val="20"/>
                <w:szCs w:val="20"/>
                <w:color w:val="auto"/>
              </w:rPr>
            </w:pPr>
          </w:p>
        </w:tc>
      </w:tr>
      <w:tr>
        <w:trPr>
          <w:trHeight w:val="439"/>
        </w:trPr>
        <w:tc>
          <w:tcPr>
            <w:tcW w:w="5640" w:type="dxa"/>
            <w:vAlign w:val="bottom"/>
            <w:gridSpan w:val="2"/>
          </w:tcPr>
          <w:p>
            <w:pPr>
              <w:ind w:left="1940"/>
              <w:spacing w:after="0"/>
              <w:rPr>
                <w:sz w:val="20"/>
                <w:szCs w:val="20"/>
                <w:color w:val="auto"/>
              </w:rPr>
            </w:pPr>
            <w:r>
              <w:rPr>
                <w:rFonts w:ascii="Arial" w:cs="Arial" w:eastAsia="Arial" w:hAnsi="Arial"/>
                <w:sz w:val="18"/>
                <w:szCs w:val="18"/>
                <w:b w:val="1"/>
                <w:bCs w:val="1"/>
                <w:color w:val="auto"/>
              </w:rPr>
              <w:t>Title of each class</w:t>
            </w:r>
          </w:p>
        </w:tc>
        <w:tc>
          <w:tcPr>
            <w:tcW w:w="192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9"/>
              </w:rPr>
              <w:t>Trading symbol</w:t>
            </w:r>
          </w:p>
        </w:tc>
        <w:tc>
          <w:tcPr>
            <w:tcW w:w="36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5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Class A Common Stock, par value $0.0001 per share</w:t>
            </w:r>
          </w:p>
        </w:tc>
        <w:tc>
          <w:tcPr>
            <w:tcW w:w="440" w:type="dxa"/>
            <w:vAlign w:val="bottom"/>
          </w:tcPr>
          <w:p>
            <w:pPr>
              <w:spacing w:after="0"/>
              <w:rPr>
                <w:sz w:val="20"/>
                <w:szCs w:val="20"/>
                <w:color w:val="auto"/>
              </w:rPr>
            </w:pP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ACMR</w:t>
            </w:r>
          </w:p>
        </w:tc>
        <w:tc>
          <w:tcPr>
            <w:tcW w:w="520" w:type="dxa"/>
            <w:vAlign w:val="bottom"/>
          </w:tcPr>
          <w:p>
            <w:pPr>
              <w:spacing w:after="0"/>
              <w:rPr>
                <w:sz w:val="20"/>
                <w:szCs w:val="20"/>
                <w:color w:val="auto"/>
              </w:rPr>
            </w:pPr>
          </w:p>
        </w:tc>
        <w:tc>
          <w:tcPr>
            <w:tcW w:w="3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187" w:lineRule="exact"/>
        <w:rPr>
          <w:sz w:val="24"/>
          <w:szCs w:val="24"/>
          <w:color w:val="auto"/>
        </w:rPr>
      </w:pPr>
    </w:p>
    <w:p>
      <w:pPr>
        <w:ind w:right="28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Exchange Act of 1934:Emerging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5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On May 18, 2021, we entered into a Termination Agreement with Xinxin (Hongkong) Capital Co., Limited, or Xinxin, providing for the termination of our Nominating and Voting Agreement dated as of October 11, 2017 with Xinxin and the several individuals and entities listed on Schedule I thereto.</w:t>
      </w:r>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Prior to the termination of the Nominating and Voting Agreement, Xinxin had the right to designate one individual for nomination to the board of directors. Zhengfan Yang was designated by Xinxin pursuant to the nomination and voting agreement and was initially appointed as a member of the board in January 2018. Mr. Yang served and will continue to serve as a director until the 2021 Annual Meeting of Stockholders to be held on June 2, 2021. Neither Mr. Yang nor any other designee of Xinxin has been nominated for election at the 2021 Annual Meeting.</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foregoing summary of the Termination Agreement is qualified in its entirety by reference to the text of the Termination Agreement, which is being filed as Exhibit 10.01 to this report and which is incorporated in this report by reference.</w:t>
      </w:r>
    </w:p>
    <w:p>
      <w:pPr>
        <w:spacing w:after="0" w:line="19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25" w:lineRule="exact"/>
        <w:rPr>
          <w:sz w:val="20"/>
          <w:szCs w:val="20"/>
          <w:color w:val="auto"/>
        </w:rPr>
      </w:pPr>
    </w:p>
    <w:p>
      <w:pPr>
        <w:ind w:left="140"/>
        <w:spacing w:after="0"/>
        <w:tabs>
          <w:tab w:leader="none" w:pos="574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ind w:left="460"/>
        <w:spacing w:after="0"/>
        <w:tabs>
          <w:tab w:leader="none" w:pos="1140" w:val="left"/>
        </w:tabs>
        <w:rPr>
          <w:rFonts w:ascii="Arial" w:cs="Arial" w:eastAsia="Arial" w:hAnsi="Arial"/>
          <w:sz w:val="18"/>
          <w:szCs w:val="18"/>
          <w:color w:val="0000EE"/>
        </w:rPr>
      </w:pPr>
      <w:hyperlink w:anchor="page4">
        <w:r>
          <w:rPr>
            <w:rFonts w:ascii="Arial" w:cs="Arial" w:eastAsia="Arial" w:hAnsi="Arial"/>
            <w:sz w:val="18"/>
            <w:szCs w:val="18"/>
            <w:u w:val="single" w:color="auto"/>
            <w:color w:val="0000EE"/>
          </w:rPr>
          <w:t>10.01</w:t>
        </w:r>
      </w:hyperlink>
      <w:r>
        <w:rPr>
          <w:rFonts w:ascii="Arial" w:cs="Arial" w:eastAsia="Arial" w:hAnsi="Arial"/>
          <w:sz w:val="18"/>
          <w:szCs w:val="18"/>
          <w:color w:val="0000EE"/>
        </w:rPr>
        <w:tab/>
      </w:r>
      <w:r>
        <w:rPr>
          <w:rFonts w:ascii="Arial" w:cs="Arial" w:eastAsia="Arial" w:hAnsi="Arial"/>
          <w:sz w:val="16"/>
          <w:szCs w:val="16"/>
          <w:color w:val="0000EE"/>
        </w:rPr>
        <w:t>Termination Agreement between ACM Research, Inc. and Xinxin (Hongkong) Capital Co., Limited, dated as of May 18, 2021</w:t>
      </w:r>
    </w:p>
    <w:p>
      <w:pPr>
        <w:spacing w:after="0" w:line="225"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ACM RESEARCH, INC.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Mark McKechnie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 and Treasurer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Dated: May 21,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ind w:left="1002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10.01</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 AGREEMENT</w:t>
      </w:r>
    </w:p>
    <w:p>
      <w:pPr>
        <w:spacing w:after="0" w:line="229" w:lineRule="exact"/>
        <w:rPr>
          <w:sz w:val="20"/>
          <w:szCs w:val="20"/>
          <w:color w:val="auto"/>
        </w:rPr>
      </w:pPr>
    </w:p>
    <w:p>
      <w:pPr>
        <w:jc w:val="both"/>
        <w:ind w:firstLine="427"/>
        <w:spacing w:after="0" w:line="263" w:lineRule="auto"/>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HIS</w:t>
      </w:r>
      <w:r>
        <w:rPr>
          <w:rFonts w:ascii="Arial" w:cs="Arial" w:eastAsia="Arial" w:hAnsi="Arial"/>
          <w:sz w:val="18"/>
          <w:szCs w:val="18"/>
          <w:color w:val="auto"/>
        </w:rPr>
        <w:t xml:space="preserve"> T</w:t>
      </w:r>
      <w:r>
        <w:rPr>
          <w:rFonts w:ascii="Arial" w:cs="Arial" w:eastAsia="Arial" w:hAnsi="Arial"/>
          <w:sz w:val="12"/>
          <w:szCs w:val="12"/>
          <w:color w:val="auto"/>
        </w:rPr>
        <w:t>ERMINATION</w:t>
      </w:r>
      <w:r>
        <w:rPr>
          <w:rFonts w:ascii="Arial" w:cs="Arial" w:eastAsia="Arial" w:hAnsi="Arial"/>
          <w:sz w:val="18"/>
          <w:szCs w:val="18"/>
          <w:color w:val="auto"/>
        </w:rPr>
        <w:t xml:space="preserve"> A</w:t>
      </w:r>
      <w:r>
        <w:rPr>
          <w:rFonts w:ascii="Arial" w:cs="Arial" w:eastAsia="Arial" w:hAnsi="Arial"/>
          <w:sz w:val="12"/>
          <w:szCs w:val="12"/>
          <w:color w:val="auto"/>
        </w:rPr>
        <w:t>GREEMENT</w:t>
      </w:r>
      <w:r>
        <w:rPr>
          <w:rFonts w:ascii="Arial" w:cs="Arial" w:eastAsia="Arial" w:hAnsi="Arial"/>
          <w:sz w:val="18"/>
          <w:szCs w:val="18"/>
          <w:color w:val="auto"/>
        </w:rPr>
        <w:t xml:space="preserve"> dated as of May 18, 2021 is entered into with respect to the Nomination and Voting Agreement (the “</w:t>
      </w:r>
      <w:r>
        <w:rPr>
          <w:rFonts w:ascii="Arial" w:cs="Arial" w:eastAsia="Arial" w:hAnsi="Arial"/>
          <w:sz w:val="18"/>
          <w:szCs w:val="18"/>
          <w:i w:val="1"/>
          <w:iCs w:val="1"/>
          <w:color w:val="auto"/>
        </w:rPr>
        <w:t>Agreement</w:t>
      </w:r>
      <w:r>
        <w:rPr>
          <w:rFonts w:ascii="Arial" w:cs="Arial" w:eastAsia="Arial" w:hAnsi="Arial"/>
          <w:sz w:val="18"/>
          <w:szCs w:val="18"/>
          <w:color w:val="auto"/>
        </w:rPr>
        <w:t>”), dated as of October 11, 2017, by and among ACM Research, Inc., Xinxin (Hongkong) Capital Co., Limited, and the several individuals and entities named on S</w:t>
      </w:r>
      <w:r>
        <w:rPr>
          <w:rFonts w:ascii="Arial" w:cs="Arial" w:eastAsia="Arial" w:hAnsi="Arial"/>
          <w:sz w:val="12"/>
          <w:szCs w:val="12"/>
          <w:color w:val="auto"/>
        </w:rPr>
        <w:t>CHEDULE</w:t>
      </w:r>
      <w:r>
        <w:rPr>
          <w:rFonts w:ascii="Arial" w:cs="Arial" w:eastAsia="Arial" w:hAnsi="Arial"/>
          <w:sz w:val="18"/>
          <w:szCs w:val="18"/>
          <w:color w:val="auto"/>
        </w:rPr>
        <w:t xml:space="preserve"> I thereto.</w:t>
      </w:r>
    </w:p>
    <w:p>
      <w:pPr>
        <w:spacing w:after="0" w:line="211" w:lineRule="exact"/>
        <w:rPr>
          <w:sz w:val="20"/>
          <w:szCs w:val="20"/>
          <w:color w:val="auto"/>
        </w:rPr>
      </w:pPr>
    </w:p>
    <w:p>
      <w:pPr>
        <w:jc w:val="both"/>
        <w:ind w:firstLine="427"/>
        <w:spacing w:after="0" w:line="291" w:lineRule="auto"/>
        <w:rPr>
          <w:sz w:val="20"/>
          <w:szCs w:val="20"/>
          <w:color w:val="auto"/>
        </w:rPr>
      </w:pPr>
      <w:r>
        <w:rPr>
          <w:rFonts w:ascii="Arial" w:cs="Arial" w:eastAsia="Arial" w:hAnsi="Arial"/>
          <w:sz w:val="16"/>
          <w:szCs w:val="16"/>
          <w:color w:val="auto"/>
        </w:rPr>
        <w:t xml:space="preserve">Notwithstanding any other provision of the Agreement, the parties hereto agree that the Agreement shall terminate effective as of the date hereof. Upon such termination of the Agreement, no party to the Agreement shall have any further obligations or liabilities under the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ind w:firstLine="8"/>
        <w:spacing w:after="0" w:line="260" w:lineRule="auto"/>
        <w:tabs>
          <w:tab w:leader="none" w:pos="226"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such termination of the Agreement shall not relieve any such party from liability for any breach of the Agreement occurring prior to such termination and (ii) the provisions of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of the Agreement shall survive such termination of the Agreement.</w:t>
      </w:r>
    </w:p>
    <w:p>
      <w:pPr>
        <w:spacing w:after="0" w:line="212" w:lineRule="exact"/>
        <w:rPr>
          <w:sz w:val="20"/>
          <w:szCs w:val="20"/>
          <w:color w:val="auto"/>
        </w:rPr>
      </w:pPr>
    </w:p>
    <w:p>
      <w:pPr>
        <w:ind w:firstLine="427"/>
        <w:spacing w:after="0" w:line="277" w:lineRule="auto"/>
        <w:rPr>
          <w:sz w:val="20"/>
          <w:szCs w:val="20"/>
          <w:color w:val="auto"/>
        </w:rPr>
      </w:pPr>
      <w:r>
        <w:rPr>
          <w:rFonts w:ascii="Arial" w:cs="Arial" w:eastAsia="Arial" w:hAnsi="Arial"/>
          <w:sz w:val="18"/>
          <w:szCs w:val="18"/>
          <w:color w:val="auto"/>
        </w:rPr>
        <w:t>The internal laws of the State of Delaware, irrespective of its conflicts of law principles, shall govern the validity of this Termination Agreement, the construction of its terms, and the interpretation and enforcement of the rights and duties of the parties hereto.</w:t>
      </w:r>
    </w:p>
    <w:p>
      <w:pPr>
        <w:spacing w:after="0" w:line="197" w:lineRule="exact"/>
        <w:rPr>
          <w:sz w:val="20"/>
          <w:szCs w:val="20"/>
          <w:color w:val="auto"/>
        </w:rPr>
      </w:pPr>
    </w:p>
    <w:p>
      <w:pPr>
        <w:ind w:firstLine="427"/>
        <w:spacing w:after="0" w:line="277" w:lineRule="auto"/>
        <w:rPr>
          <w:sz w:val="20"/>
          <w:szCs w:val="20"/>
          <w:color w:val="auto"/>
        </w:rPr>
      </w:pPr>
      <w:r>
        <w:rPr>
          <w:rFonts w:ascii="Arial" w:cs="Arial" w:eastAsia="Arial" w:hAnsi="Arial"/>
          <w:sz w:val="18"/>
          <w:szCs w:val="18"/>
          <w:color w:val="auto"/>
        </w:rPr>
        <w:t>I</w:t>
      </w:r>
      <w:r>
        <w:rPr>
          <w:rFonts w:ascii="Arial" w:cs="Arial" w:eastAsia="Arial" w:hAnsi="Arial"/>
          <w:sz w:val="12"/>
          <w:szCs w:val="12"/>
          <w:color w:val="auto"/>
        </w:rPr>
        <w:t>N</w:t>
      </w:r>
      <w:r>
        <w:rPr>
          <w:rFonts w:ascii="Arial" w:cs="Arial" w:eastAsia="Arial" w:hAnsi="Arial"/>
          <w:sz w:val="18"/>
          <w:szCs w:val="18"/>
          <w:color w:val="auto"/>
        </w:rPr>
        <w:t xml:space="preserve"> W</w:t>
      </w:r>
      <w:r>
        <w:rPr>
          <w:rFonts w:ascii="Arial" w:cs="Arial" w:eastAsia="Arial" w:hAnsi="Arial"/>
          <w:sz w:val="12"/>
          <w:szCs w:val="12"/>
          <w:color w:val="auto"/>
        </w:rPr>
        <w:t>ITNESS</w:t>
      </w:r>
      <w:r>
        <w:rPr>
          <w:rFonts w:ascii="Arial" w:cs="Arial" w:eastAsia="Arial" w:hAnsi="Arial"/>
          <w:sz w:val="18"/>
          <w:szCs w:val="18"/>
          <w:color w:val="auto"/>
        </w:rPr>
        <w:t xml:space="preserve"> W</w:t>
      </w:r>
      <w:r>
        <w:rPr>
          <w:rFonts w:ascii="Arial" w:cs="Arial" w:eastAsia="Arial" w:hAnsi="Arial"/>
          <w:sz w:val="12"/>
          <w:szCs w:val="12"/>
          <w:color w:val="auto"/>
        </w:rPr>
        <w:t>HEREOF</w:t>
      </w:r>
      <w:r>
        <w:rPr>
          <w:rFonts w:ascii="Arial" w:cs="Arial" w:eastAsia="Arial" w:hAnsi="Arial"/>
          <w:sz w:val="18"/>
          <w:szCs w:val="18"/>
          <w:color w:val="auto"/>
        </w:rPr>
        <w:t>, each of the parties has executed this Termination Agreement or caused the same to be executed by its duly authorized representative as of the date first written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2809240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2021-05-21T16:42:28Z</dcterms:created>
  <dcterms:modified xsi:type="dcterms:W3CDTF">2021-05-21T16:42:28Z</dcterms:modified>
</cp:coreProperties>
</file>