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20955</wp:posOffset>
            </wp:positionV>
            <wp:extent cx="704659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Hu Chenming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42307 OSGOOD ROAD, SUITE I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94539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ACM Research,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ACMR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08/10/2023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13.89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24,000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24,000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08/09/2033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40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4 amendment has been filed solely to correct the exercise price of the stock option to purchase shares of Class A Common Stock of the Issuer reported in a Form 4 filed on August 14, 2023 (the "Form 4"). The exercise price was inadvertently stated as $13.24 in the Form 4. The exercise price should have been stated as $13.89 in the Form 4.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will vest and become exercisable immediately prior to the 2024 annual meeting of stockholders of the issuer, subject to continued service through the vesting date.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Mark McKechnie,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08/21/2023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81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Chenming Hu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0788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6320" TargetMode="External"/><Relationship Id="rId13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2023-08-21T20:31:46Z</dcterms:created>
  <dcterms:modified xsi:type="dcterms:W3CDTF">2023-08-21T20:31:46Z</dcterms:modified>
</cp:coreProperties>
</file>