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7047230" cy="908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08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948" w:orient="portrait"/>
          <w:cols w:equalWidth="0" w:num="2">
            <w:col w:w="2220" w:space="380"/>
            <w:col w:w="8460"/>
          </w:cols>
          <w:pgMar w:left="460" w:top="220" w:right="37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42307 OSGOOD ROAD, SUITE 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94539</w:t>
            </w:r>
          </w:p>
        </w:tc>
      </w:tr>
      <w:tr>
        <w:trPr>
          <w:trHeight w:val="46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948" w:orient="portrait"/>
          <w:cols w:equalWidth="0" w:num="2">
            <w:col w:w="3120" w:space="720"/>
            <w:col w:w="7220"/>
          </w:cols>
          <w:pgMar w:left="460" w:top="220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684,018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678,794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100,002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45,837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620,001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jc w:val="right"/>
              <w:ind w:righ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11/14/2023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7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ind w:left="2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04/30/2025  Common 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840,000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33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November 14, 2023, the reporting person exercised, by net exercise, a previously issued stock option to purchase 180,000 shares of Class A Common Stock of the Issuer. The reporting person paid the exercise price on a cashless basis, resulting in the Issuer withholding 5,224 shares of Class A Common Stock for payment of the exercise price, based on the closing price of the Issuer's Class A Common Stock on</w:t>
      </w:r>
    </w:p>
    <w:p>
      <w:pPr>
        <w:sectPr>
          <w:pgSz w:w="11900" w:h="16948" w:orient="portrait"/>
          <w:cols w:equalWidth="0" w:num="1">
            <w:col w:w="11060"/>
          </w:cols>
          <w:pgMar w:left="460" w:top="220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November 13, 2023 of $17.23, and issuing to the reporting person the remaining 174,776 shares of Class A Common Stock.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option is fully vested and exercisable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McKechnie,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8255</wp:posOffset>
            </wp:positionV>
            <wp:extent cx="13296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-16510</wp:posOffset>
            </wp:positionV>
            <wp:extent cx="1125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11/16/2023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4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20"/>
            <w:col w:w="1199"/>
          </w:cols>
          <w:pgMar w:left="500" w:top="131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28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1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58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2023-11-16T15:22:50Z</dcterms:created>
  <dcterms:modified xsi:type="dcterms:W3CDTF">2023-11-16T15:22:50Z</dcterms:modified>
</cp:coreProperties>
</file>