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Cheav Sotheara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123,502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November 13, 2023, the reporting person exercised a previously issued stock option to purchase 13,500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13, 2023, the reporting person exercised a previously issued stock option to purchase 12,500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on this Form 4 were effected pursuant to a Rule 10b5-1 trading plan adopted by the reporting person on August 11,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$16.52 to $17.07,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President, Manufacturing of ACM Research (Shanghai), Inc., a subsidiary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Sotheara Cheav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11/15/2023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1279" TargetMode="External"/><Relationship Id="rId4" Type="http://schemas.openxmlformats.org/officeDocument/2006/relationships/hyperlink" Target="http://www.sec.gov/cgi-bin/browse-edgar?action=getcompany&amp;CIK=00016800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746</Words>
  <Characters>3971</Characters>
  <CharactersWithSpaces>4619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