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ind w:left="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Liu Tracy</w:t>
              </w:r>
            </w:hyperlink>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tcPr>
          <w:p>
            <w:pPr>
              <w:ind w:left="80"/>
              <w:spacing w:after="0" w:line="169" w:lineRule="exact"/>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ACM Research,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ACMR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ACM RESEARCH, INC.</w:t>
            </w:r>
          </w:p>
        </w:tc>
        <w:tc>
          <w:tcPr>
            <w:tcW w:w="1140" w:type="dxa"/>
            <w:vAlign w:val="bottom"/>
          </w:tcPr>
          <w:p>
            <w:pPr>
              <w:spacing w:after="0"/>
              <w:rPr>
                <w:sz w:val="18"/>
                <w:szCs w:val="18"/>
                <w:color w:val="auto"/>
              </w:rPr>
            </w:pPr>
          </w:p>
        </w:tc>
        <w:tc>
          <w:tcPr>
            <w:tcW w:w="16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09/10/2020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80" w:type="dxa"/>
            <w:vAlign w:val="bottom"/>
            <w:gridSpan w:val="8"/>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94539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ind w:left="140"/>
              <w:spacing w:after="0" w:line="147"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7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09/10/2020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6,000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16.81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42,924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16.81</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09/10/2020</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04/22/2029</w:t>
            </w:r>
          </w:p>
        </w:tc>
        <w:tc>
          <w:tcPr>
            <w:tcW w:w="6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14,000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-3156585</wp:posOffset>
            </wp:positionV>
            <wp:extent cx="7033260" cy="319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19913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10, 2020, the reporting person exercised a previously issued stock option to purchase 6,000 shares of Class A Common Stock of the Issuer.</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and became exercisable as to 5,000 shares on April 23, 2020 and the remaining 15,000 shares vest and become exercisable in equal monthly installments over the following 36 months, subject to continued service through each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Mark L. Johnson, Attorney- </w:t>
      </w:r>
      <w:r>
        <w:rPr>
          <w:rFonts w:ascii="Times New Roman" w:cs="Times New Roman" w:eastAsia="Times New Roman" w:hAnsi="Times New Roman"/>
          <w:sz w:val="32"/>
          <w:szCs w:val="32"/>
          <w:color w:val="0000FF"/>
          <w:vertAlign w:val="subscript"/>
        </w:rPr>
        <w:t>09/11/2020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0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360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299"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2020-09-11T16:32:50Z</dcterms:created>
  <dcterms:modified xsi:type="dcterms:W3CDTF">2020-09-11T16:32:50Z</dcterms:modified>
</cp:coreProperties>
</file>