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 Lisa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30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28, 2024, the reporting person exercised a previously issued stock option to purchase 7,500 shares of Class A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September 14,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of ACM Research (Shanghai), Inc., a subsidiary of the Issuer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Lisa Feng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908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9777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2024-03-01T20:39:17Z</dcterms:created>
  <dcterms:modified xsi:type="dcterms:W3CDTF">2024-03-01T20:39:17Z</dcterms:modified>
</cp:coreProperties>
</file>