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25,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498"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25, 2024, we issued a press release entitled “ACM Research’s Operating Subsidiary ACM Research (Shanghai) Announces Proposed Private Offering of Ordinary Shares.” The full text of the press release is furnished as Exhibit 99.1 hereto and is incorporated herein by reference.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of ACM Research, Inc. dated January 25, 2024</w:t>
      </w:r>
    </w:p>
    <w:p>
      <w:pPr>
        <w:spacing w:after="0" w:line="27"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25, 2024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65505"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Research’s Operating Subsidiary ACM Research (Shanghai)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Private Offering of Ordinary Shares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FREMONT, Calif., Jan. 25, 2024 (GlobeNewswire) – </w:t>
      </w:r>
      <w:r>
        <w:rPr>
          <w:rFonts w:ascii="Times New Roman" w:cs="Times New Roman" w:eastAsia="Times New Roman" w:hAnsi="Times New Roman"/>
          <w:sz w:val="18"/>
          <w:szCs w:val="18"/>
          <w:color w:val="333333"/>
        </w:rPr>
        <w:t>ACM Research, Inc. (“ACM”) (NASDAQ: ACMR), a leading supplier of wafer processing solutions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for semiconductor and advanced wafer-level packaging applications, </w:t>
      </w:r>
      <w:r>
        <w:rPr>
          <w:rFonts w:ascii="Times New Roman" w:cs="Times New Roman" w:eastAsia="Times New Roman" w:hAnsi="Times New Roman"/>
          <w:sz w:val="18"/>
          <w:szCs w:val="18"/>
          <w:color w:val="000000"/>
        </w:rPr>
        <w:t>today announced that its operating subsidiary, ACM Research (Shanghai), Inc.</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(“ACM Shanghai”), intends to offer ordinary shares, subject to market conditions and other factors, in a private offering to qualified buyers, in compliance with the requirements of the China Securities Regulatory Commission (the “Private Offering”).</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gross proceeds of the proposed Private Offering of up to RMB 4.5B ($625 million) are intended to be used for research and development, capital expenditures and working capital. The proposed Private Offering is subject to the approval of ACM Shanghai’s shareholders, the review process by the Shanghai Stock Exchange, and the registration process by the China Securities Regulatory Commission.</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proposed Private Offering is for up to 43.6 million ordinary shares, or up to 10% of ACM Shanghai’s share capital prior to the Private Offering. ACM estimates its equity interest in ACM Shanghai would decline to approximately 74.6% from its current equity interest of 82.1% if the full number of shares are sold in the proposed Private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ACM develops, manufactures and sells semiconductor process equipment for single-wafer or batch wet cleaning, electroplating, stress-free polishing and thermal processes that are critical to advanced semiconductor device manufacturing, as well as wafer-level packaging. ACM is committed to delivering customized, high 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18"/>
          <w:szCs w:val="18"/>
          <w:u w:val="single" w:color="auto"/>
          <w:color w:val="auto"/>
        </w:rPr>
        <w:t>www.acmrcsh.com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4" w:lineRule="exact"/>
        <w:rPr>
          <w:sz w:val="20"/>
          <w:szCs w:val="20"/>
          <w:color w:val="auto"/>
        </w:rPr>
      </w:pPr>
    </w:p>
    <w:p>
      <w:pPr>
        <w:ind w:right="60" w:firstLine="8"/>
        <w:spacing w:after="0" w:line="282" w:lineRule="auto"/>
        <w:tabs>
          <w:tab w:leader="none" w:pos="1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Research logo is trademark of ACM Research, Inc. For convenience, this trademark appears in this press release without a ™ symbol, but that practice does not mean that ACM will not assert, to the fullest extent under applicable law, its rights to such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5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Steven Pelayo</w:t>
            </w:r>
          </w:p>
        </w:tc>
      </w:tr>
      <w:tr>
        <w:trPr>
          <w:trHeight w:val="214"/>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 (360) 808-5154</w:t>
            </w:r>
          </w:p>
        </w:tc>
      </w:tr>
      <w:tr>
        <w:trPr>
          <w:trHeight w:val="236"/>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steven@blueshirtgroup.co</w:t>
            </w:r>
          </w:p>
        </w:tc>
      </w:tr>
      <w:tr>
        <w:trPr>
          <w:trHeight w:val="391"/>
        </w:trPr>
        <w:tc>
          <w:tcPr>
            <w:tcW w:w="580" w:type="dxa"/>
            <w:vAlign w:val="bottom"/>
          </w:tcPr>
          <w:p>
            <w:pPr>
              <w:spacing w:after="0"/>
              <w:rPr>
                <w:sz w:val="24"/>
                <w:szCs w:val="24"/>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6"/>
        </w:trPr>
        <w:tc>
          <w:tcPr>
            <w:tcW w:w="5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36"/>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gary@blueshirtgroup.com</w:t>
            </w:r>
          </w:p>
        </w:tc>
      </w:tr>
      <w:tr>
        <w:trPr>
          <w:trHeight w:val="533"/>
        </w:trPr>
        <w:tc>
          <w:tcPr>
            <w:tcW w:w="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2024-01-25T08:13:31Z</dcterms:created>
  <dcterms:modified xsi:type="dcterms:W3CDTF">2024-01-25T08:13:31Z</dcterms:modified>
</cp:coreProperties>
</file>