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Arial" w:cs="Arial" w:eastAsia="Arial" w:hAnsi="Arial"/>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3">
            <w:col w:w="4380" w:space="720"/>
            <w:col w:w="2880" w:space="720"/>
            <w:col w:w="2540"/>
          </w:cols>
          <w:pgMar w:left="320" w:top="535" w:right="339" w:bottom="1440" w:gutter="0" w:footer="0" w:header="0"/>
          <w:type w:val="continuous"/>
        </w:sectPr>
      </w:pPr>
    </w:p>
    <w:p>
      <w:pPr>
        <w:spacing w:after="0" w:line="18"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Nasdaq Global Market</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share</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 2022, we issued a press release announcing the declaration of a stock dividend of (a) two shares of Class A common stock for each share of outstanding Class A common stock and (b) two shares of Class B common stock for each share of outstanding Class B common stock. The stock dividend is payable on March 23, 2022 to holders of record of Class A and Class B common stock at 5:00 p.m., Eastern time, on March 16, 2022. A copy of the press release is attached hereto as Exhibit 99.01 to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60"/>
        <w:spacing w:after="0"/>
        <w:tabs>
          <w:tab w:leader="none" w:pos="56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6" w:lineRule="exact"/>
        <w:rPr>
          <w:sz w:val="20"/>
          <w:szCs w:val="20"/>
          <w:color w:val="auto"/>
        </w:rPr>
      </w:pPr>
    </w:p>
    <w:p>
      <w:pPr>
        <w:ind w:left="140"/>
        <w:spacing w:after="0"/>
        <w:tabs>
          <w:tab w:leader="none" w:pos="9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6"/>
          <w:szCs w:val="16"/>
          <w:color w:val="0000EE"/>
        </w:rPr>
        <w:t>Press Release of ACM Research, Inc. dated March 3, 2022</w:t>
      </w:r>
    </w:p>
    <w:p>
      <w:pPr>
        <w:spacing w:after="0" w:line="225"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2022</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165100</wp:posOffset>
            </wp:positionV>
            <wp:extent cx="7200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Announces a 3-for-1 Stock Split Effected in Form of a Stock Dividend</w:t>
      </w:r>
    </w:p>
    <w:p>
      <w:pPr>
        <w:spacing w:after="0" w:line="24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Fremont, Calif. – March 3, 2022 </w:t>
      </w:r>
      <w:r>
        <w:rPr>
          <w:rFonts w:ascii="Arial" w:cs="Arial" w:eastAsia="Arial" w:hAnsi="Arial"/>
          <w:sz w:val="17"/>
          <w:szCs w:val="17"/>
          <w:color w:val="auto"/>
        </w:rPr>
        <w:t>– ACM Research, Inc. (ACM) (NASDAQ: ACMR), a leading supplier of wafer processing solutions for semiconductor</w:t>
      </w:r>
      <w:r>
        <w:rPr>
          <w:rFonts w:ascii="Arial" w:cs="Arial" w:eastAsia="Arial" w:hAnsi="Arial"/>
          <w:sz w:val="17"/>
          <w:szCs w:val="17"/>
          <w:b w:val="1"/>
          <w:bCs w:val="1"/>
          <w:color w:val="auto"/>
        </w:rPr>
        <w:t xml:space="preserve"> </w:t>
      </w:r>
      <w:r>
        <w:rPr>
          <w:rFonts w:ascii="Arial" w:cs="Arial" w:eastAsia="Arial" w:hAnsi="Arial"/>
          <w:sz w:val="17"/>
          <w:szCs w:val="17"/>
          <w:color w:val="auto"/>
        </w:rPr>
        <w:t>and advanced wafer-level packaging applications, today announced that its board of directors has approved and declared a 3-for-1 stock split of ACM’s Class A common stock and Class B common stock in the form of a stock dividend. Each stockholder of record at the close of business on March 16, 2022, will receive a dividend of two additional shares of Class A common stock for each then-held share of Class A common stock and two additional shares of Class B common stock for each then-held share of Class B common stock, which will be distributed after the close of trading on March 23, 2022. ACM’s Class A common stock will begin trading on a stock split-adjusted basis on March 24, 2022.</w:t>
      </w:r>
    </w:p>
    <w:p>
      <w:pPr>
        <w:spacing w:after="0" w:line="20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are implementing this stock split to make stock ownership more accessible to employees and investors. We are confident in our ability to fulfill our mission to become a leading global player in the semiconductor equipment industry,” said ACM’s President and Chief Executive Officer Dr. David Wang.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ACM develops, manufactures, and sells semiconductor process equipment for single-wafer or batch wet cleaning, electroplating, stress-free polishing and thermal processes, which are critical to advanced semiconductor device manufacturing and wafer-level packaging. ACM is committed to delivering customized, high-performance, cost-effective process solutions that semiconductor manufacturers can use in numerous manufacturing steps to improve productivity and product yield. For more information, visit </w:t>
      </w:r>
      <w:r>
        <w:rPr>
          <w:rFonts w:ascii="Arial" w:cs="Arial" w:eastAsia="Arial" w:hAnsi="Arial"/>
          <w:sz w:val="18"/>
          <w:szCs w:val="18"/>
          <w:u w:val="single" w:color="auto"/>
          <w:color w:val="auto"/>
        </w:rPr>
        <w:t>www.acmrcsh.com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statements in this press release with respect to the expected timing and impact of the stock dividend are not historical facts and constitute forward-looking statements within the meaning of the Private Securities Litigation Reform Act of 1995. Those statements, which are expectations only, reflect management's current views, are based on certain assumptions, and involve risks and uncertainties. ACM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pacing w:after="0" w:line="215" w:lineRule="exact"/>
        <w:rPr>
          <w:sz w:val="20"/>
          <w:szCs w:val="20"/>
          <w:color w:val="auto"/>
        </w:rPr>
      </w:pPr>
    </w:p>
    <w:p>
      <w:pPr>
        <w:jc w:val="both"/>
        <w:ind w:right="500" w:firstLine="8"/>
        <w:spacing w:after="0" w:line="342" w:lineRule="auto"/>
        <w:tabs>
          <w:tab w:leader="none" w:pos="182" w:val="left"/>
        </w:tabs>
        <w:numPr>
          <w:ilvl w:val="0"/>
          <w:numId w:val="2"/>
        </w:numPr>
        <w:rPr>
          <w:rFonts w:ascii="Arial" w:cs="Arial" w:eastAsia="Arial" w:hAnsi="Arial"/>
          <w:sz w:val="16"/>
          <w:szCs w:val="16"/>
          <w:color w:val="auto"/>
        </w:rPr>
      </w:pPr>
      <w:r>
        <w:rPr>
          <w:rFonts w:ascii="Arial" w:cs="Arial" w:eastAsia="Arial" w:hAnsi="Arial"/>
          <w:sz w:val="16"/>
          <w:szCs w:val="16"/>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50" w:lineRule="exact"/>
        <w:rPr>
          <w:rFonts w:ascii="Arial" w:cs="Arial" w:eastAsia="Arial" w:hAnsi="Arial"/>
          <w:sz w:val="16"/>
          <w:szCs w:val="16"/>
          <w:color w:val="auto"/>
        </w:rPr>
      </w:pPr>
    </w:p>
    <w:p>
      <w:pPr>
        <w:ind w:left="5580" w:hanging="181"/>
        <w:spacing w:after="0"/>
        <w:tabs>
          <w:tab w:leader="none" w:pos="5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u w:val="single" w:color="auto"/>
          <w:color w:val="auto"/>
        </w:rPr>
        <w:t>In the United States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Blueshirt Group</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Yujia Zhai</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 (860) 214-0809</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u w:val="single" w:color="auto"/>
          <w:color w:val="auto"/>
        </w:rPr>
        <w:t>yujia@blueshirtgroup.com</w:t>
      </w:r>
    </w:p>
    <w:p>
      <w:pPr>
        <w:spacing w:after="0" w:line="21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u w:val="single" w:color="auto"/>
          <w:color w:val="auto"/>
        </w:rPr>
        <w:t>In China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Blueshirt Group Asia</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Gary Dvorchak, CFA</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+86 (138) 1079-1480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u w:val="single" w:color="auto"/>
          <w:color w:val="auto"/>
        </w:rPr>
        <w:t>gary@blueshirtgroup.com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2022-03-03T15:39:21Z</dcterms:created>
  <dcterms:modified xsi:type="dcterms:W3CDTF">2022-03-03T15:39:21Z</dcterms:modified>
</cp:coreProperties>
</file>