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4, 2021</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66"/>
        </w:trPr>
        <w:tc>
          <w:tcPr>
            <w:tcW w:w="54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1"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Securities Exchange Act of 1934:</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4, 2021, we issued a press release announcing financial results for the third quarter of 2021. The full text of the press release is furnished as Exhibit 99.01 hereto and is incorporated herein by reference</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860" w:type="dxa"/>
            <w:vAlign w:val="bottom"/>
            <w:tcBorders>
              <w:top w:val="single" w:sz="8" w:color="auto"/>
            </w:tcBorders>
            <w:gridSpan w:val="3"/>
          </w:tcPr>
          <w:p>
            <w:pPr>
              <w:jc w:val="center"/>
              <w:ind w:right="20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01</w:t>
              </w:r>
            </w:hyperlink>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ACM Research, Inc. dated November 4, 2021</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XBRL document)</w:t>
            </w:r>
          </w:p>
        </w:tc>
      </w:tr>
      <w:tr>
        <w:trPr>
          <w:trHeight w:val="58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Arial" w:cs="Arial" w:eastAsia="Arial" w:hAnsi="Arial"/>
                <w:sz w:val="14"/>
                <w:szCs w:val="14"/>
                <w:color w:val="auto"/>
              </w:rPr>
              <w:t>2</w:t>
            </w:r>
          </w:p>
        </w:tc>
      </w:tr>
      <w:tr>
        <w:trPr>
          <w:trHeight w:val="46"/>
        </w:trPr>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154305</wp:posOffset>
            </wp:positionV>
            <wp:extent cx="865505"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Third Quarter 2021 Results</w:t>
      </w:r>
    </w:p>
    <w:p>
      <w:pPr>
        <w:spacing w:after="0" w:line="22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FREMONT, California, November 4, 2021 (Globe Newswire) – ACM Research, Inc. (“ACM” or the “Company”) (NASDAQ:ACMR), a leading supplier of wafer cleaning technologies for advanced semiconductor devices, today reported financial results for its third fiscal quarter ended September 30, 2021.</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ACM’s President and Chief Executive Officer Dr. David Wang commented, “We delivered impressive third quarter results, with record revenue and shipments. Our results demonstrate the effectiveness of ACM’s multi-product strategy, with solid growth from our flagship cleaning tools, and increased contribution from both electrochemical planting (ECP) and advanced packaging products. We are making great progress with major semiconductor manufacturers, with evaluation tool orders from three new potential customers. Despite industry-wide capacity constraints, our business momentum continues, and we have narrowed the range of our 2021 outlook accordingly.”</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Dr. Wang continued, “We are excited that our subsidiary ACM Research (Shanghai), Inc. expects to be soon listed on the STAR Market. We remain confident that a successful STAR Market listing, combined with the listing of ACM’s Class A common stock on the Nasdaq Global Market, will provide a strong foundation to accelerate our mission to become a global player in the semiconductor equipment industry.”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2"/>
              </w:rPr>
              <w:t>Three Months Ended September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67,013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47,665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67,013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47,665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7,506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13,073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10,155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8,627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12,352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8,969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0.40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0.56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164,609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111,062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164,609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111,062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19,576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16,060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23,399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22,192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10,251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24,198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17,568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0.97</w:t>
            </w:r>
          </w:p>
        </w:tc>
      </w:tr>
      <w:tr>
        <w:trPr>
          <w:trHeight w:val="218"/>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0.48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0.83</w:t>
            </w:r>
          </w:p>
        </w:tc>
      </w:tr>
    </w:tbl>
    <w:p>
      <w:pPr>
        <w:ind w:left="340" w:right="8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non-GAAP net income attributable to ACM Research, Inc. and basic and diluted EPS also exclude non-cash changes in fair value of financial assets and liabilities and unrealized gain (loss) on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fiscal year 2021, the Company now expects revenue to be in the range of $230 million to $240 million, versus the previous guidance range of $225 million to $240 million. This expectation assumes, among other factors, stability with respect to the global COVID-19 pandemic and stability in US-China trade policy. The range of ACM’s 2021 outlook reflects, among other things, variances in spending scenarios for the production ramps of key customers, management of ACM’s supply chain, and the timing of acceptances for first tools under evaluation in the field.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Operating Highlights and Recent Announcements</w:t>
      </w:r>
    </w:p>
    <w:p>
      <w:pPr>
        <w:spacing w:after="0" w:line="225" w:lineRule="exact"/>
        <w:rPr>
          <w:sz w:val="20"/>
          <w:szCs w:val="20"/>
          <w:color w:val="auto"/>
        </w:rPr>
      </w:pPr>
    </w:p>
    <w:p>
      <w:pPr>
        <w:ind w:left="3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third quarter of 2021 were $99 million, versus $59 million in the third quarter of 2020 and $82 million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2021. Total shipments include deliveries for revenue in the quarter and deliveries of first tool systems to customers for evaluation and potential revenue in future quarters.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SAPS Evaluation Tool Order. </w:t>
      </w:r>
      <w:r>
        <w:rPr>
          <w:rFonts w:ascii="Arial" w:cs="Arial" w:eastAsia="Arial" w:hAnsi="Arial"/>
          <w:sz w:val="18"/>
          <w:szCs w:val="18"/>
          <w:color w:val="auto"/>
        </w:rPr>
        <w:t>ACM received an evaluation tool order for its Ultra C SAPS frontside cleaning tool from a major global semiconductor</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The tool is expected to be installed for evaluation in the prospective customer’s China-based development fab in the first quarter of 2022.</w:t>
      </w:r>
    </w:p>
    <w:p>
      <w:pPr>
        <w:spacing w:after="0" w:line="1" w:lineRule="exact"/>
        <w:rPr>
          <w:rFonts w:ascii="Arial" w:cs="Arial" w:eastAsia="Arial" w:hAnsi="Arial"/>
          <w:sz w:val="18"/>
          <w:szCs w:val="18"/>
          <w:color w:val="auto"/>
        </w:rPr>
      </w:pPr>
    </w:p>
    <w:p>
      <w:pPr>
        <w:jc w:val="both"/>
        <w:ind w:left="340" w:right="1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ECP Evaluation Tool Order. </w:t>
      </w:r>
      <w:r>
        <w:rPr>
          <w:rFonts w:ascii="Arial" w:cs="Arial" w:eastAsia="Arial" w:hAnsi="Arial"/>
          <w:sz w:val="18"/>
          <w:szCs w:val="18"/>
          <w:color w:val="auto"/>
        </w:rPr>
        <w:t>ACM Research received an evaluation tool order for its Ultra ECP map copper plating tool from a major Asia-based</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manufacturer. The tool is scheduled for delivery in early 2022 and is subject to technical qualification and other commercial terms. The tool is configured with ACM’s Multi-Anode Partial Plating function, which allows the deposition of the copper metal layer on a dual-damascene structure for its advanced technology nodes.</w:t>
      </w:r>
    </w:p>
    <w:p>
      <w:pPr>
        <w:spacing w:after="0" w:line="1"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Tool Orders from Global IDM for WLP Wet Processing Tools. </w:t>
      </w:r>
      <w:r>
        <w:rPr>
          <w:rFonts w:ascii="Arial" w:cs="Arial" w:eastAsia="Arial" w:hAnsi="Arial"/>
          <w:sz w:val="18"/>
          <w:szCs w:val="18"/>
          <w:color w:val="auto"/>
        </w:rPr>
        <w:t>ACM received orders for two Ultra C pr wet stripping systems from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global integrated device manufacturer (IDM). The IDM plans to deploy these in its advanced packaging manufacturing site in China for ease of use in photoresist (PR) removal in Wafer Level Packaging (WLP) applications. The first tool was delivered during in October of 2021, and the second tool is scheduled to be delivered in the first quarter of 2022.</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ECP Tool Orders for Wafer-Level Packaging from Compound Semiconductor Customers. </w:t>
      </w:r>
      <w:r>
        <w:rPr>
          <w:rFonts w:ascii="Arial" w:cs="Arial" w:eastAsia="Arial" w:hAnsi="Arial"/>
          <w:sz w:val="18"/>
          <w:szCs w:val="18"/>
          <w:color w:val="auto"/>
        </w:rPr>
        <w:t>The Ultra ECP GIII plating tool supports WLP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semiconductors, with product offerings for silicon carbide (SiC), gallium nitride (GaN) and gallium arsenide (GaAs). The tool is also capable of plating gold (Au) into backside deep hole processes with greater uniformity and better step coverage. The Company received two orders for the Ultra ECP GIII from China-based compound semiconductor manufacturers. The first order was delivered in the second quarter of 2021 to support WLP with copper–nickel–tin-silver plating modules using second anode technology. The second order was delivered in the third quarter of 2021 for a gold (Au) plating application.</w:t>
      </w:r>
    </w:p>
    <w:p>
      <w:pPr>
        <w:spacing w:after="0" w:line="2" w:lineRule="exact"/>
        <w:rPr>
          <w:rFonts w:ascii="Arial" w:cs="Arial" w:eastAsia="Arial" w:hAnsi="Arial"/>
          <w:sz w:val="18"/>
          <w:szCs w:val="18"/>
          <w:color w:val="auto"/>
        </w:rPr>
      </w:pPr>
    </w:p>
    <w:p>
      <w:pPr>
        <w:ind w:left="340" w:right="100" w:hanging="332"/>
        <w:spacing w:after="0" w:line="25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ACM Shanghai IPO. </w:t>
      </w:r>
      <w:r>
        <w:rPr>
          <w:rFonts w:ascii="Arial" w:cs="Arial" w:eastAsia="Arial" w:hAnsi="Arial"/>
          <w:sz w:val="18"/>
          <w:szCs w:val="18"/>
          <w:color w:val="auto"/>
        </w:rPr>
        <w:t>The Shanghai Stock Exchange has announced the pricing of the ACM Shanghai’s STAR Market IPO. If completed, the STAR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IPO is expected to result in gross proceeds to ACM Shanghai of RMB 3.685 billion (approximately US$575 million as of November 4, 2021). The timing and successful completion of the STAR Market IPO and listing remain uncertain as they depend upon numerous factors beyond ACM Shanghai’s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the following figures refer to the third quarter of 2021 and comparisons are with the third quarter of 2020.</w:t>
      </w:r>
    </w:p>
    <w:p>
      <w:pPr>
        <w:spacing w:after="0" w:line="221" w:lineRule="exact"/>
        <w:rPr>
          <w:sz w:val="20"/>
          <w:szCs w:val="20"/>
          <w:color w:val="auto"/>
        </w:rPr>
      </w:pPr>
    </w:p>
    <w:p>
      <w:pPr>
        <w:ind w:left="340" w:right="32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$67.0 million, up 40.6%, reflecting an increase in revenue from wet cleaning and other front-end processing tools, ECP ap tools,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packaging, other advanced processing tools, services and spares.</w:t>
      </w:r>
    </w:p>
    <w:p>
      <w:pPr>
        <w:spacing w:after="0" w:line="161" w:lineRule="exact"/>
        <w:rPr>
          <w:rFonts w:ascii="Arial" w:cs="Arial" w:eastAsia="Arial" w:hAnsi="Arial"/>
          <w:sz w:val="18"/>
          <w:szCs w:val="18"/>
          <w:color w:val="auto"/>
        </w:rPr>
      </w:pPr>
    </w:p>
    <w:p>
      <w:pPr>
        <w:jc w:val="both"/>
        <w:ind w:left="340" w:right="1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44.3%, up from 42.7%. Non-GAAP gross margin, which excludes stock-based compensation, was 44.5%, up from 42.8%. Gross</w:t>
      </w:r>
      <w:r>
        <w:rPr>
          <w:rFonts w:ascii="Arial" w:cs="Arial" w:eastAsia="Arial" w:hAnsi="Arial"/>
          <w:sz w:val="18"/>
          <w:szCs w:val="18"/>
          <w:b w:val="1"/>
          <w:bCs w:val="1"/>
          <w:color w:val="auto"/>
        </w:rPr>
        <w:t xml:space="preserve"> </w:t>
      </w:r>
      <w:r>
        <w:rPr>
          <w:rFonts w:ascii="Arial" w:cs="Arial" w:eastAsia="Arial" w:hAnsi="Arial"/>
          <w:sz w:val="18"/>
          <w:szCs w:val="18"/>
          <w:color w:val="auto"/>
        </w:rPr>
        <w:t>margin was at the high end of the range of 40.0% to 45.0% set forth in the Company’s long-term business model. The Company expects gross margin to vary from period to period due to a variety of factors, such as sales volume and product mix.</w:t>
      </w:r>
    </w:p>
    <w:p>
      <w:pPr>
        <w:spacing w:after="0" w:line="175" w:lineRule="exact"/>
        <w:rPr>
          <w:rFonts w:ascii="Arial" w:cs="Arial" w:eastAsia="Arial" w:hAnsi="Arial"/>
          <w:sz w:val="18"/>
          <w:szCs w:val="18"/>
          <w:color w:val="auto"/>
        </w:rPr>
      </w:pPr>
    </w:p>
    <w:p>
      <w:pPr>
        <w:jc w:val="both"/>
        <w:ind w:left="340" w:hanging="332"/>
        <w:spacing w:after="0" w:line="314"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were $17.9 million, an increase of 39.4%. Non-GAAP operating expenses, which exclude stock-based compensation, were $16.7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up 65.5%. Non-GAAP operating expenses as a percent of revenue increased to 25.0% from 21.2%. Higher research and development spending on new products, expenses related to sales activities, and other expenses contributed to the increase from the prior-year period.</w:t>
      </w:r>
    </w:p>
    <w:p>
      <w:pPr>
        <w:spacing w:after="0" w:line="141" w:lineRule="exact"/>
        <w:rPr>
          <w:rFonts w:ascii="Arial" w:cs="Arial" w:eastAsia="Arial" w:hAnsi="Arial"/>
          <w:sz w:val="16"/>
          <w:szCs w:val="16"/>
          <w:color w:val="auto"/>
        </w:rPr>
      </w:pPr>
    </w:p>
    <w:p>
      <w:pPr>
        <w:ind w:left="340" w:right="34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$11.8 million reflected an increase of 57.1%. Non-GAAP operating income, which excludes stock-based compensation, was</w:t>
      </w:r>
      <w:r>
        <w:rPr>
          <w:rFonts w:ascii="Arial" w:cs="Arial" w:eastAsia="Arial" w:hAnsi="Arial"/>
          <w:sz w:val="18"/>
          <w:szCs w:val="18"/>
          <w:b w:val="1"/>
          <w:bCs w:val="1"/>
          <w:color w:val="auto"/>
        </w:rPr>
        <w:t xml:space="preserve"> </w:t>
      </w:r>
      <w:r>
        <w:rPr>
          <w:rFonts w:ascii="Arial" w:cs="Arial" w:eastAsia="Arial" w:hAnsi="Arial"/>
          <w:sz w:val="18"/>
          <w:szCs w:val="18"/>
          <w:color w:val="auto"/>
        </w:rPr>
        <w:t>$13.1 million, up 27.1%.</w:t>
      </w:r>
    </w:p>
    <w:p>
      <w:pPr>
        <w:spacing w:after="0" w:line="161" w:lineRule="exact"/>
        <w:rPr>
          <w:rFonts w:ascii="Arial" w:cs="Arial" w:eastAsia="Arial" w:hAnsi="Arial"/>
          <w:sz w:val="18"/>
          <w:szCs w:val="18"/>
          <w:color w:val="auto"/>
        </w:rPr>
      </w:pPr>
    </w:p>
    <w:p>
      <w:pPr>
        <w:jc w:val="both"/>
        <w:ind w:left="340" w:right="10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loss on trading securities </w:t>
      </w:r>
      <w:r>
        <w:rPr>
          <w:rFonts w:ascii="Arial" w:cs="Arial" w:eastAsia="Arial" w:hAnsi="Arial"/>
          <w:sz w:val="18"/>
          <w:szCs w:val="18"/>
          <w:color w:val="auto"/>
        </w:rPr>
        <w:t>was $0.9 million in the third quarter of 2021. The loss reflects the change in market value of ACM Shanghai’s</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investment in STAR Market IPO shares of Semiconductor Manufacturing International Corporation (SMIC), which began trading in mid-July 2020. The value was marked-to-market at quarter-end and is excluded from non-GAAP results.</w:t>
      </w:r>
    </w:p>
    <w:p>
      <w:pPr>
        <w:spacing w:after="0" w:line="175"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was $10.2 million, compared to $8.6 million. Non-GAAP net income attributable to ACM</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Inc., which excludes stock-based compensation, unrealized gain on trading securities, and change in fair value of financial liability, was $12.4 million as compared to $9.0 million. Tax-related items (compared to a normalized tax rate) and the effects of foreign-exchange fluctuations on operating results provided a net benefit of $1.7 million, compared to $0.3 million.</w:t>
      </w:r>
    </w:p>
    <w:p>
      <w:pPr>
        <w:spacing w:after="0" w:line="179"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$0.46, compared to $0.40. Non-GAAP net income per diluted share,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stock-based compensation, unrealized gain on trading securities, and change in fair value of financial liability, was $0.56, compared to $0.42. Tax-related items and the effects of foreign-exchange fluctuations on operating results resulted in a net benefit of $0.08 per share, compared to $0.02 per share.</w:t>
      </w:r>
    </w:p>
    <w:p>
      <w:pPr>
        <w:spacing w:after="0" w:line="179"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$65.0 million, versus $70.2 million at the end of the second quarter of 2021 and $71.8 million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quarter-over-quarter decrease was primarily due to cash flow used by operating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conference call to discuss results will be held on Friday, November 5, 2021, at 8:00 a.m. Eastern Time (8:00 p.m. China Time). Dial-in details for the call are as follows. Please reference conference ID 8233909.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0"/>
              </w:rPr>
              <w:t>Phone Number</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1"/>
              </w:rPr>
              <w:t>Toll-Free Number</w:t>
            </w:r>
          </w:p>
        </w:tc>
      </w:tr>
      <w:tr>
        <w:trPr>
          <w:trHeight w:val="20"/>
        </w:trPr>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United States</w:t>
            </w:r>
          </w:p>
        </w:tc>
        <w:tc>
          <w:tcPr>
            <w:tcW w:w="3440" w:type="dxa"/>
            <w:vAlign w:val="bottom"/>
            <w:gridSpan w:val="3"/>
          </w:tcPr>
          <w:p>
            <w:pPr>
              <w:jc w:val="right"/>
              <w:ind w:right="1340"/>
              <w:spacing w:after="0"/>
              <w:rPr>
                <w:sz w:val="20"/>
                <w:szCs w:val="20"/>
                <w:color w:val="auto"/>
              </w:rPr>
            </w:pPr>
            <w:r>
              <w:rPr>
                <w:rFonts w:ascii="Arial" w:cs="Arial" w:eastAsia="Arial" w:hAnsi="Arial"/>
                <w:sz w:val="18"/>
                <w:szCs w:val="18"/>
                <w:color w:val="auto"/>
              </w:rPr>
              <w:t>+1 (661) 567-1217</w:t>
            </w:r>
          </w:p>
        </w:tc>
        <w:tc>
          <w:tcPr>
            <w:tcW w:w="1380" w:type="dxa"/>
            <w:vAlign w:val="bottom"/>
          </w:tcPr>
          <w:p>
            <w:pPr>
              <w:jc w:val="right"/>
              <w:spacing w:after="0"/>
              <w:rPr>
                <w:sz w:val="20"/>
                <w:szCs w:val="20"/>
                <w:color w:val="auto"/>
              </w:rPr>
            </w:pPr>
            <w:r>
              <w:rPr>
                <w:rFonts w:ascii="Arial" w:cs="Arial" w:eastAsia="Arial" w:hAnsi="Arial"/>
                <w:sz w:val="18"/>
                <w:szCs w:val="18"/>
                <w:color w:val="auto"/>
                <w:w w:val="91"/>
              </w:rPr>
              <w:t>+1 (833) 562-0137</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Hong Kong</w:t>
            </w:r>
          </w:p>
        </w:tc>
        <w:tc>
          <w:tcPr>
            <w:tcW w:w="3440" w:type="dxa"/>
            <w:vAlign w:val="bottom"/>
            <w:gridSpan w:val="3"/>
          </w:tcPr>
          <w:p>
            <w:pPr>
              <w:jc w:val="center"/>
              <w:ind w:right="540"/>
              <w:spacing w:after="0"/>
              <w:rPr>
                <w:sz w:val="20"/>
                <w:szCs w:val="20"/>
                <w:color w:val="auto"/>
              </w:rPr>
            </w:pPr>
            <w:r>
              <w:rPr>
                <w:rFonts w:ascii="Arial" w:cs="Arial" w:eastAsia="Arial" w:hAnsi="Arial"/>
                <w:sz w:val="18"/>
                <w:szCs w:val="18"/>
                <w:color w:val="auto"/>
                <w:w w:val="90"/>
              </w:rPr>
              <w:t>+852 5819 4851</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+852 8009 66253</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Mainland China</w:t>
            </w:r>
          </w:p>
        </w:tc>
        <w:tc>
          <w:tcPr>
            <w:tcW w:w="34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+86 8008700169</w:t>
            </w:r>
          </w:p>
        </w:tc>
        <w:tc>
          <w:tcPr>
            <w:tcW w:w="138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34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+86 4006828609</w:t>
            </w:r>
          </w:p>
        </w:tc>
        <w:tc>
          <w:tcPr>
            <w:tcW w:w="13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recording of the webcast will be available on the investor page of the ACM website at </w:t>
      </w:r>
      <w:r>
        <w:rPr>
          <w:rFonts w:ascii="Arial" w:cs="Arial" w:eastAsia="Arial" w:hAnsi="Arial"/>
          <w:sz w:val="18"/>
          <w:szCs w:val="18"/>
          <w:u w:val="single" w:color="auto"/>
          <w:color w:val="auto"/>
        </w:rPr>
        <w:t>www.acmrcsh.com</w:t>
      </w:r>
      <w:r>
        <w:rPr>
          <w:rFonts w:ascii="Arial" w:cs="Arial" w:eastAsia="Arial" w:hAnsi="Arial"/>
          <w:sz w:val="18"/>
          <w:szCs w:val="18"/>
          <w:color w:val="auto"/>
        </w:rPr>
        <w:t xml:space="preserve"> for one week following the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Non-GAAP to GAAP Financial Measures.”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contained in the second and third paragraphs of this press release, under the heading “Outlook” above, and in the second, third, fourth and sixth bullets under “Third Quarter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the timing and ability of ACM to secure orders from, and deliver tools to, new customers; and ACM’s plans for completion of the STAR Market initial public offering of shares of ACM Shanghai,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ACM Shanghai may not be able to complete its IPO and listing on the expected terms or within the expected time frame, if at all, for a number of reasons, many of which are outside ACM Shanghai’s control. Among other factors, the IPO is subject to closing conditions typical for initial public offerings on the STAR Market.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87" w:lineRule="exact"/>
        <w:rPr>
          <w:sz w:val="20"/>
          <w:szCs w:val="20"/>
          <w:color w:val="auto"/>
        </w:rPr>
      </w:pPr>
    </w:p>
    <w:p>
      <w:pPr>
        <w:ind w:right="240" w:firstLine="8"/>
        <w:spacing w:after="0" w:line="263"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ACM Research, Inc. SAPS, ULTRA C, ULTRA C SAPS, and the ACM Research logo are trademarks of ACM Research, Inc. For convenience, this trademark appears in this press release without a ™ symbol, but that practice does not mean that ACM Research, Inc. will not assert, to the fullest extent under applicable law, its rights to the trademarks.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8600" w:type="dxa"/>
            <w:vAlign w:val="bottom"/>
            <w:gridSpan w:val="4"/>
          </w:tcPr>
          <w:p>
            <w:pPr>
              <w:ind w:left="1100"/>
              <w:spacing w:after="0"/>
              <w:rPr>
                <w:sz w:val="20"/>
                <w:szCs w:val="20"/>
                <w:color w:val="auto"/>
              </w:rPr>
            </w:pPr>
            <w:r>
              <w:rPr>
                <w:rFonts w:ascii="Arial" w:cs="Arial" w:eastAsia="Arial" w:hAnsi="Arial"/>
                <w:sz w:val="18"/>
                <w:szCs w:val="18"/>
                <w:color w:val="auto"/>
              </w:rPr>
              <w:t>The Blueshirt Group</w:t>
            </w:r>
          </w:p>
        </w:tc>
      </w:tr>
      <w:tr>
        <w:trPr>
          <w:trHeight w:val="222"/>
        </w:trPr>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8600" w:type="dxa"/>
            <w:vAlign w:val="bottom"/>
            <w:gridSpan w:val="4"/>
          </w:tcPr>
          <w:p>
            <w:pPr>
              <w:ind w:left="1100"/>
              <w:spacing w:after="0"/>
              <w:rPr>
                <w:sz w:val="20"/>
                <w:szCs w:val="20"/>
                <w:color w:val="auto"/>
              </w:rPr>
            </w:pPr>
            <w:r>
              <w:rPr>
                <w:rFonts w:ascii="Arial" w:cs="Arial" w:eastAsia="Arial" w:hAnsi="Arial"/>
                <w:sz w:val="18"/>
                <w:szCs w:val="18"/>
                <w:color w:val="auto"/>
              </w:rPr>
              <w:t>Ralph Fong</w:t>
            </w:r>
          </w:p>
        </w:tc>
      </w:tr>
      <w:tr>
        <w:trPr>
          <w:trHeight w:val="216"/>
        </w:trPr>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2"/>
          </w:tcPr>
          <w:p>
            <w:pPr>
              <w:ind w:left="1100"/>
              <w:spacing w:after="0"/>
              <w:rPr>
                <w:sz w:val="20"/>
                <w:szCs w:val="20"/>
                <w:color w:val="auto"/>
              </w:rPr>
            </w:pPr>
            <w:r>
              <w:rPr>
                <w:rFonts w:ascii="Arial" w:cs="Arial" w:eastAsia="Arial" w:hAnsi="Arial"/>
                <w:sz w:val="18"/>
                <w:szCs w:val="18"/>
                <w:color w:val="auto"/>
              </w:rPr>
              <w:t>+1 (415) 489-2195</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8"/>
                <w:szCs w:val="18"/>
                <w:color w:val="auto"/>
                <w:w w:val="90"/>
              </w:rPr>
              <w:t>ralph@blueshirtgroup.com</w:t>
            </w:r>
          </w:p>
        </w:tc>
        <w:tc>
          <w:tcPr>
            <w:tcW w:w="5500" w:type="dxa"/>
            <w:vAlign w:val="bottom"/>
          </w:tcPr>
          <w:p>
            <w:pPr>
              <w:spacing w:after="0"/>
              <w:rPr>
                <w:sz w:val="16"/>
                <w:szCs w:val="16"/>
                <w:color w:val="auto"/>
              </w:rPr>
            </w:pPr>
          </w:p>
        </w:tc>
      </w:tr>
      <w:tr>
        <w:trPr>
          <w:trHeight w:val="412"/>
        </w:trPr>
        <w:tc>
          <w:tcPr>
            <w:tcW w:w="6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8600" w:type="dxa"/>
            <w:vAlign w:val="bottom"/>
            <w:gridSpan w:val="4"/>
          </w:tcPr>
          <w:p>
            <w:pPr>
              <w:ind w:left="1100"/>
              <w:spacing w:after="0"/>
              <w:rPr>
                <w:sz w:val="20"/>
                <w:szCs w:val="20"/>
                <w:color w:val="auto"/>
              </w:rPr>
            </w:pPr>
            <w:r>
              <w:rPr>
                <w:rFonts w:ascii="Arial" w:cs="Arial" w:eastAsia="Arial" w:hAnsi="Arial"/>
                <w:sz w:val="18"/>
                <w:szCs w:val="18"/>
                <w:color w:val="auto"/>
              </w:rPr>
              <w:t>The Blueshirt Group Asia</w:t>
            </w:r>
          </w:p>
        </w:tc>
      </w:tr>
      <w:tr>
        <w:trPr>
          <w:trHeight w:val="222"/>
        </w:trPr>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0" w:type="dxa"/>
            <w:vAlign w:val="bottom"/>
            <w:gridSpan w:val="4"/>
          </w:tcPr>
          <w:p>
            <w:pPr>
              <w:ind w:left="1100"/>
              <w:spacing w:after="0"/>
              <w:rPr>
                <w:sz w:val="20"/>
                <w:szCs w:val="20"/>
                <w:color w:val="auto"/>
              </w:rPr>
            </w:pPr>
            <w:r>
              <w:rPr>
                <w:rFonts w:ascii="Arial" w:cs="Arial" w:eastAsia="Arial" w:hAnsi="Arial"/>
                <w:sz w:val="18"/>
                <w:szCs w:val="18"/>
                <w:color w:val="auto"/>
              </w:rPr>
              <w:t>Gary Dvorchak, CFA</w:t>
            </w:r>
          </w:p>
        </w:tc>
      </w:tr>
      <w:tr>
        <w:trPr>
          <w:trHeight w:val="216"/>
        </w:trPr>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2"/>
          </w:tcPr>
          <w:p>
            <w:pPr>
              <w:ind w:left="1100"/>
              <w:spacing w:after="0"/>
              <w:rPr>
                <w:sz w:val="20"/>
                <w:szCs w:val="20"/>
                <w:color w:val="auto"/>
              </w:rPr>
            </w:pPr>
            <w:r>
              <w:rPr>
                <w:rFonts w:ascii="Arial" w:cs="Arial" w:eastAsia="Arial" w:hAnsi="Arial"/>
                <w:sz w:val="18"/>
                <w:szCs w:val="18"/>
                <w:color w:val="auto"/>
              </w:rPr>
              <w:t>+86 (138) 1079-1480</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0" w:type="dxa"/>
            <w:vAlign w:val="bottom"/>
            <w:gridSpan w:val="4"/>
          </w:tcPr>
          <w:p>
            <w:pPr>
              <w:ind w:left="1100"/>
              <w:spacing w:after="0" w:line="190" w:lineRule="exact"/>
              <w:rPr>
                <w:sz w:val="20"/>
                <w:szCs w:val="20"/>
                <w:color w:val="auto"/>
              </w:rPr>
            </w:pPr>
            <w:r>
              <w:rPr>
                <w:rFonts w:ascii="Arial" w:cs="Arial" w:eastAsia="Arial" w:hAnsi="Arial"/>
                <w:sz w:val="18"/>
                <w:szCs w:val="18"/>
                <w:color w:val="auto"/>
              </w:rPr>
              <w:t>gary@blueshirtgroup.com</w:t>
            </w:r>
          </w:p>
        </w:tc>
      </w:tr>
      <w:tr>
        <w:trPr>
          <w:trHeight w:val="419"/>
        </w:trPr>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2021</w:t>
            </w:r>
          </w:p>
        </w:tc>
        <w:tc>
          <w:tcPr>
            <w:tcW w:w="2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gridSpan w:val="3"/>
          </w:tcPr>
          <w:p>
            <w:pPr>
              <w:jc w:val="center"/>
              <w:ind w:left="290"/>
              <w:spacing w:after="0" w:line="201" w:lineRule="exact"/>
              <w:rPr>
                <w:sz w:val="20"/>
                <w:szCs w:val="20"/>
                <w:color w:val="auto"/>
              </w:rPr>
            </w:pPr>
            <w:r>
              <w:rPr>
                <w:rFonts w:ascii="Arial" w:cs="Arial" w:eastAsia="Arial" w:hAnsi="Arial"/>
                <w:sz w:val="18"/>
                <w:szCs w:val="18"/>
                <w:i w:val="1"/>
                <w:iCs w:val="1"/>
                <w:color w:val="auto"/>
                <w:w w:val="93"/>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260" w:type="dxa"/>
            <w:vAlign w:val="bottom"/>
            <w:gridSpan w:val="6"/>
          </w:tcPr>
          <w:p>
            <w:pPr>
              <w:jc w:val="center"/>
              <w:ind w:right="120"/>
              <w:spacing w:after="0"/>
              <w:rPr>
                <w:sz w:val="20"/>
                <w:szCs w:val="20"/>
                <w:color w:val="auto"/>
              </w:rPr>
            </w:pPr>
            <w:r>
              <w:rPr>
                <w:rFonts w:ascii="Arial" w:cs="Arial" w:eastAsia="Arial" w:hAnsi="Arial"/>
                <w:sz w:val="18"/>
                <w:szCs w:val="18"/>
                <w:i w:val="1"/>
                <w:iCs w:val="1"/>
                <w:color w:val="auto"/>
                <w:w w:val="89"/>
              </w:rPr>
              <w:t>(In thousands, except share and per share</w:t>
            </w:r>
          </w:p>
        </w:tc>
        <w:tc>
          <w:tcPr>
            <w:tcW w:w="0" w:type="dxa"/>
            <w:vAlign w:val="bottom"/>
          </w:tcPr>
          <w:p>
            <w:pPr>
              <w:spacing w:after="0"/>
              <w:rPr>
                <w:sz w:val="1"/>
                <w:szCs w:val="1"/>
                <w:color w:val="auto"/>
              </w:rPr>
            </w:pPr>
          </w:p>
        </w:tc>
      </w:tr>
      <w:tr>
        <w:trPr>
          <w:trHeight w:val="230"/>
        </w:trPr>
        <w:tc>
          <w:tcPr>
            <w:tcW w:w="7980" w:type="dxa"/>
            <w:vAlign w:val="bottom"/>
            <w:vMerge w:val="restart"/>
          </w:tcPr>
          <w:p>
            <w:pPr>
              <w:ind w:left="366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0"/>
                <w:szCs w:val="20"/>
                <w:color w:val="auto"/>
              </w:rPr>
            </w:pPr>
          </w:p>
        </w:tc>
        <w:tc>
          <w:tcPr>
            <w:tcW w:w="1780" w:type="dxa"/>
            <w:vAlign w:val="bottom"/>
            <w:gridSpan w:val="3"/>
          </w:tcPr>
          <w:p>
            <w:pPr>
              <w:jc w:val="center"/>
              <w:ind w:left="270"/>
              <w:spacing w:after="0"/>
              <w:rPr>
                <w:sz w:val="20"/>
                <w:szCs w:val="20"/>
                <w:color w:val="auto"/>
              </w:rPr>
            </w:pPr>
            <w:r>
              <w:rPr>
                <w:rFonts w:ascii="Arial" w:cs="Arial" w:eastAsia="Arial" w:hAnsi="Arial"/>
                <w:sz w:val="18"/>
                <w:szCs w:val="18"/>
                <w:i w:val="1"/>
                <w:iCs w:val="1"/>
                <w:color w:val="auto"/>
                <w:w w:val="92"/>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9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65,036</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Trading securities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30,219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less allowance for doubtful accounts of $0 as of September 30, 2021 and December</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31, 2020</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84,787</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receivables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88,639</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Prepaid expenses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377,347</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44,243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40,496</w:t>
            </w: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469,509</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92,825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FIN-48 payable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23"/>
        </w:trPr>
        <w:tc>
          <w:tcPr>
            <w:tcW w:w="79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195,207</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liability</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227,002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133,087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Class A, par value $0.0001: 150,000,000 shares authorized as of September 30, 2021 and</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50,000,000 shares authorized as of December 31, 2020; 17,798,740 shares issued and outstanding as of</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2021 and 16,896,693 shares issued and outstanding as of December 31, 2020</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5"/>
              </w:rPr>
              <w:t>Common stock–Class B, par value $0.0001: 5,307,816 shares authorized as of September 30, 2021 and</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w w:val="95"/>
              </w:rPr>
              <w:t>2,409,738 shares authorized as of December 31, 2020; 1,707,605 shares issued and outstanding as of</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September 30, 2021 and 1,802,606 shares issued and outstanding as of December 31, 2020</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102,004</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Accumulated surplus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56,479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173,016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141,150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69,491</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242,507</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208,170</w:t>
            </w: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469,509</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7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92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2760" w:type="dxa"/>
            <w:vAlign w:val="bottom"/>
            <w:gridSpan w:val="6"/>
          </w:tcPr>
          <w:p>
            <w:pPr>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5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02"/>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4"/>
          </w:tcPr>
          <w:p>
            <w:pPr>
              <w:jc w:val="center"/>
              <w:ind w:left="49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60" w:type="dxa"/>
            <w:vAlign w:val="bottom"/>
          </w:tcPr>
          <w:p>
            <w:pPr>
              <w:spacing w:after="0"/>
              <w:rPr>
                <w:sz w:val="18"/>
                <w:szCs w:val="18"/>
                <w:color w:val="auto"/>
              </w:rPr>
            </w:pPr>
          </w:p>
        </w:tc>
        <w:tc>
          <w:tcPr>
            <w:tcW w:w="2920" w:type="dxa"/>
            <w:vAlign w:val="bottom"/>
            <w:gridSpan w:val="7"/>
          </w:tcPr>
          <w:p>
            <w:pPr>
              <w:jc w:val="center"/>
              <w:ind w:right="140"/>
              <w:spacing w:after="0"/>
              <w:rPr>
                <w:sz w:val="20"/>
                <w:szCs w:val="20"/>
                <w:color w:val="auto"/>
              </w:rPr>
            </w:pPr>
            <w:r>
              <w:rPr>
                <w:rFonts w:ascii="Arial" w:cs="Arial" w:eastAsia="Arial" w:hAnsi="Arial"/>
                <w:sz w:val="18"/>
                <w:szCs w:val="18"/>
                <w:i w:val="1"/>
                <w:iCs w:val="1"/>
                <w:color w:val="auto"/>
                <w:w w:val="89"/>
              </w:rPr>
              <w:t>( In thousands, except share and per</w:t>
            </w:r>
          </w:p>
        </w:tc>
        <w:tc>
          <w:tcPr>
            <w:tcW w:w="2760" w:type="dxa"/>
            <w:vAlign w:val="bottom"/>
            <w:gridSpan w:val="6"/>
          </w:tcPr>
          <w:p>
            <w:pPr>
              <w:jc w:val="center"/>
              <w:ind w:right="60"/>
              <w:spacing w:after="0"/>
              <w:rPr>
                <w:sz w:val="20"/>
                <w:szCs w:val="20"/>
                <w:color w:val="auto"/>
              </w:rPr>
            </w:pPr>
            <w:r>
              <w:rPr>
                <w:rFonts w:ascii="Arial" w:cs="Arial" w:eastAsia="Arial" w:hAnsi="Arial"/>
                <w:sz w:val="18"/>
                <w:szCs w:val="18"/>
                <w:i w:val="1"/>
                <w:iCs w:val="1"/>
                <w:color w:val="auto"/>
                <w:w w:val="89"/>
              </w:rPr>
              <w:t>( In thousands, except share and per</w:t>
            </w:r>
          </w:p>
        </w:tc>
      </w:tr>
      <w:tr>
        <w:trPr>
          <w:trHeight w:val="230"/>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4"/>
          </w:tcPr>
          <w:p>
            <w:pPr>
              <w:jc w:val="center"/>
              <w:ind w:left="51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3"/>
          </w:tcPr>
          <w:p>
            <w:pPr>
              <w:jc w:val="center"/>
              <w:ind w:left="53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47,665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164,609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111,062</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27,324</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95,199</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61,137</w:t>
            </w:r>
          </w:p>
        </w:tc>
      </w:tr>
      <w:tr>
        <w:trPr>
          <w:trHeight w:val="223"/>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69,410</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17,460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4,343</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21,293</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13,241</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9,100</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3"/>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12,835</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49,834</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33,865</w:t>
            </w:r>
          </w:p>
        </w:tc>
      </w:tr>
      <w:tr>
        <w:trPr>
          <w:trHeight w:val="21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(6,533)</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(11,964)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trading securities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8,273</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21,285</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12,895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10,020</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24,306</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12,479</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Less: Net income attributable to non-controlling interests and redeemable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2,114</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8,627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22,192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10,251</w:t>
            </w:r>
          </w:p>
        </w:tc>
      </w:tr>
      <w:tr>
        <w:trPr>
          <w:trHeight w:val="20"/>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10,020</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24,306</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12,479</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4,099</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15,777</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25,565</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16,578</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Less: Comprehensive income attributable to non-controlling interests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2,471</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3,614</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13,079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23,094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12,964</w:t>
            </w:r>
          </w:p>
        </w:tc>
      </w:tr>
      <w:tr>
        <w:trPr>
          <w:trHeight w:val="21"/>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r>
      <w:tr>
        <w:trPr>
          <w:trHeight w:val="20"/>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Weighted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w w:val="91"/>
              </w:rPr>
              <w:t>average common shares outstanding used in computing per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19,422,546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18,201,943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19,113,353</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18,124,665</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22,042,516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21,555,296</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21,730,340</w:t>
            </w:r>
          </w:p>
        </w:tc>
        <w:tc>
          <w:tcPr>
            <w:tcW w:w="3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21,257,661</w:t>
            </w:r>
          </w:p>
        </w:tc>
      </w:tr>
      <w:tr>
        <w:trPr>
          <w:trHeight w:val="20"/>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2"/>
        </w:trPr>
        <w:tc>
          <w:tcPr>
            <w:tcW w:w="5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 by Product Category, by Equipment Type and by Region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Total Revenue By Product Category</w:t>
            </w: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Single Wafer Cleaning Tools (SAPS, TEBO, Tahoe) and Semi-Critical</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Cleaning Equipment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49,448</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127,322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94,468</w:t>
            </w:r>
          </w:p>
        </w:tc>
        <w:tc>
          <w:tcPr>
            <w:tcW w:w="80" w:type="dxa"/>
            <w:vAlign w:val="bottom"/>
            <w:shd w:val="clear" w:color="auto" w:fill="CCEEFF"/>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8,200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13,750</w:t>
            </w: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9,340</w:t>
            </w:r>
          </w:p>
        </w:tc>
        <w:tc>
          <w:tcPr>
            <w:tcW w:w="80" w:type="dxa"/>
            <w:vAlign w:val="bottom"/>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and Services &amp; Spare Parts</w:t>
            </w: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9,365</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23,537</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67,013</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47,665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164,609</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480" w:type="dxa"/>
            <w:vAlign w:val="bottom"/>
          </w:tcPr>
          <w:p>
            <w:pPr>
              <w:spacing w:after="0"/>
              <w:rPr>
                <w:sz w:val="24"/>
                <w:szCs w:val="24"/>
                <w:color w:val="auto"/>
              </w:rPr>
            </w:pPr>
          </w:p>
        </w:tc>
        <w:tc>
          <w:tcPr>
            <w:tcW w:w="2980" w:type="dxa"/>
            <w:vAlign w:val="bottom"/>
            <w:gridSpan w:val="8"/>
          </w:tcPr>
          <w:p>
            <w:pPr>
              <w:ind w:left="40"/>
              <w:spacing w:after="0"/>
              <w:rPr>
                <w:sz w:val="20"/>
                <w:szCs w:val="20"/>
                <w:color w:val="auto"/>
              </w:rPr>
            </w:pPr>
            <w:r>
              <w:rPr>
                <w:rFonts w:ascii="Arial" w:cs="Arial" w:eastAsia="Arial" w:hAnsi="Arial"/>
                <w:sz w:val="18"/>
                <w:szCs w:val="18"/>
                <w:b w:val="1"/>
                <w:bCs w:val="1"/>
                <w:color w:val="auto"/>
                <w:w w:val="95"/>
              </w:rPr>
              <w:t>Three Months Ended September 30,</w:t>
            </w:r>
          </w:p>
        </w:tc>
        <w:tc>
          <w:tcPr>
            <w:tcW w:w="27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Revenue By Equipment Type (Front-end / Back-end)</w:t>
            </w: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Wet cleaning and other front-end processing tools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49,448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98,958</w:t>
            </w:r>
          </w:p>
        </w:tc>
        <w:tc>
          <w:tcPr>
            <w:tcW w:w="8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Advanced packaging, other processing tools, services &amp; spares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17,565</w:t>
            </w:r>
          </w:p>
        </w:tc>
        <w:tc>
          <w:tcPr>
            <w:tcW w:w="5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37,287</w:t>
            </w:r>
          </w:p>
        </w:tc>
        <w:tc>
          <w:tcPr>
            <w:tcW w:w="3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12,104</w:t>
            </w:r>
          </w:p>
        </w:tc>
      </w:tr>
      <w:tr>
        <w:trPr>
          <w:trHeight w:val="257"/>
        </w:trPr>
        <w:tc>
          <w:tcPr>
            <w:tcW w:w="5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67,013</w:t>
            </w:r>
          </w:p>
        </w:tc>
        <w:tc>
          <w:tcPr>
            <w:tcW w:w="56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47,665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164,609</w:t>
            </w:r>
          </w:p>
        </w:tc>
        <w:tc>
          <w:tcPr>
            <w:tcW w:w="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111,062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5480" w:type="dxa"/>
            <w:vAlign w:val="bottom"/>
          </w:tcPr>
          <w:p>
            <w:pPr>
              <w:spacing w:after="0"/>
              <w:rPr>
                <w:sz w:val="18"/>
                <w:szCs w:val="18"/>
                <w:color w:val="auto"/>
              </w:rPr>
            </w:pPr>
          </w:p>
        </w:tc>
        <w:tc>
          <w:tcPr>
            <w:tcW w:w="2980" w:type="dxa"/>
            <w:vAlign w:val="bottom"/>
            <w:gridSpan w:val="8"/>
          </w:tcPr>
          <w:p>
            <w:pPr>
              <w:spacing w:after="0"/>
              <w:rPr>
                <w:sz w:val="18"/>
                <w:szCs w:val="18"/>
                <w:color w:val="auto"/>
              </w:rPr>
            </w:pPr>
          </w:p>
        </w:tc>
        <w:tc>
          <w:tcPr>
            <w:tcW w:w="2780" w:type="dxa"/>
            <w:vAlign w:val="bottom"/>
            <w:gridSpan w:val="7"/>
          </w:tcPr>
          <w:p>
            <w:pPr>
              <w:spacing w:after="0"/>
              <w:rPr>
                <w:sz w:val="18"/>
                <w:szCs w:val="18"/>
                <w:color w:val="auto"/>
              </w:rPr>
            </w:pPr>
          </w:p>
        </w:tc>
      </w:tr>
      <w:tr>
        <w:trPr>
          <w:trHeight w:val="223"/>
        </w:trPr>
        <w:tc>
          <w:tcPr>
            <w:tcW w:w="5480" w:type="dxa"/>
            <w:vAlign w:val="bottom"/>
            <w:shd w:val="clear" w:color="auto" w:fill="CCEEFF"/>
          </w:tcPr>
          <w:p>
            <w:pPr>
              <w:spacing w:after="0"/>
              <w:rPr>
                <w:sz w:val="19"/>
                <w:szCs w:val="19"/>
                <w:color w:val="auto"/>
              </w:rPr>
            </w:pPr>
          </w:p>
        </w:tc>
        <w:tc>
          <w:tcPr>
            <w:tcW w:w="2980" w:type="dxa"/>
            <w:vAlign w:val="bottom"/>
            <w:gridSpan w:val="8"/>
            <w:shd w:val="clear" w:color="auto" w:fill="CCEEFF"/>
          </w:tcPr>
          <w:p>
            <w:pPr>
              <w:ind w:left="40"/>
              <w:spacing w:after="0"/>
              <w:rPr>
                <w:sz w:val="20"/>
                <w:szCs w:val="20"/>
                <w:color w:val="auto"/>
              </w:rPr>
            </w:pPr>
            <w:r>
              <w:rPr>
                <w:rFonts w:ascii="Arial" w:cs="Arial" w:eastAsia="Arial" w:hAnsi="Arial"/>
                <w:sz w:val="18"/>
                <w:szCs w:val="18"/>
                <w:b w:val="1"/>
                <w:bCs w:val="1"/>
                <w:color w:val="auto"/>
                <w:w w:val="95"/>
              </w:rPr>
              <w:t>Three Months Ended September 30,</w:t>
            </w:r>
          </w:p>
        </w:tc>
        <w:tc>
          <w:tcPr>
            <w:tcW w:w="278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Revenue By Region</w:t>
            </w: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66,887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164,319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110,174</w:t>
            </w:r>
          </w:p>
        </w:tc>
        <w:tc>
          <w:tcPr>
            <w:tcW w:w="8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Other Regions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3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888</w:t>
            </w:r>
          </w:p>
        </w:tc>
      </w:tr>
      <w:tr>
        <w:trPr>
          <w:trHeight w:val="257"/>
        </w:trPr>
        <w:tc>
          <w:tcPr>
            <w:tcW w:w="5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67,013</w:t>
            </w:r>
          </w:p>
        </w:tc>
        <w:tc>
          <w:tcPr>
            <w:tcW w:w="56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47,665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164,609</w:t>
            </w:r>
          </w:p>
        </w:tc>
        <w:tc>
          <w:tcPr>
            <w:tcW w:w="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111,062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392"/>
        </w:trPr>
        <w:tc>
          <w:tcPr>
            <w:tcW w:w="5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described under “Use of Non-GAAP Financial Measures” above, ACM presents non-GAAP gross margin, operating expenses, operating income, net income (loss) attributable to ACM Research, Inc., and basic and diluted earnings per share as supplemental measures to GAAP financial measures, each of which excludes stock-based compensation (SBC) from the equivalent GAAP financial line items. In addition, non-GAAP net income (loss) attributable to ACM Research, Inc. and basic and diluted earnings per share exclude non-cash change in fair value of financial liabilities and unrealized gain on trading securities. The following table reconciles gross margin, operating expenses, operating income, net income (loss) attributable to ACM Research, Inc., and basic and diluted earnings per share to the related non-GAAP financial measures: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Actual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Other non-</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Actual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Other non-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Adjusted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(GAAP)</w:t>
            </w: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SBC</w:t>
            </w: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operating</w:t>
            </w:r>
          </w:p>
        </w:tc>
        <w:tc>
          <w:tcPr>
            <w:tcW w:w="100" w:type="dxa"/>
            <w:vAlign w:val="bottom"/>
          </w:tcPr>
          <w:p>
            <w:pPr>
              <w:spacing w:after="0"/>
              <w:rPr>
                <w:sz w:val="18"/>
                <w:szCs w:val="18"/>
                <w:color w:val="auto"/>
              </w:rPr>
            </w:pPr>
          </w:p>
        </w:tc>
        <w:tc>
          <w:tcPr>
            <w:tcW w:w="106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3"/>
              </w:rPr>
              <w:t>(Non-</w:t>
            </w:r>
          </w:p>
        </w:tc>
        <w:tc>
          <w:tcPr>
            <w:tcW w:w="100" w:type="dxa"/>
            <w:vAlign w:val="bottom"/>
          </w:tcPr>
          <w:p>
            <w:pPr>
              <w:spacing w:after="0"/>
              <w:rPr>
                <w:sz w:val="18"/>
                <w:szCs w:val="18"/>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(GAAP)</w:t>
            </w:r>
          </w:p>
        </w:tc>
        <w:tc>
          <w:tcPr>
            <w:tcW w:w="1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SBC</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90"/>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adjustments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i w:val="1"/>
                <w:iCs w:val="1"/>
                <w:color w:val="auto"/>
              </w:rPr>
              <w:t>($ in</w:t>
            </w:r>
          </w:p>
        </w:tc>
        <w:tc>
          <w:tcPr>
            <w:tcW w:w="1140" w:type="dxa"/>
            <w:vAlign w:val="bottom"/>
            <w:gridSpan w:val="3"/>
          </w:tcPr>
          <w:p>
            <w:pPr>
              <w:spacing w:after="0"/>
              <w:rPr>
                <w:sz w:val="20"/>
                <w:szCs w:val="20"/>
                <w:color w:val="auto"/>
              </w:rPr>
            </w:pPr>
            <w:r>
              <w:rPr>
                <w:rFonts w:ascii="Arial" w:cs="Arial" w:eastAsia="Arial" w:hAnsi="Arial"/>
                <w:sz w:val="18"/>
                <w:szCs w:val="18"/>
                <w:i w:val="1"/>
                <w:iCs w:val="1"/>
                <w:color w:val="auto"/>
              </w:rPr>
              <w:t>thousands)</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47,665</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(37,328)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(37,220)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(27,324)</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29,685</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29,793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44.3%</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44.5%</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42.7%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42.8%</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(6,363)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(3,924)</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(7,563)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02"/>
        </w:trPr>
        <w:tc>
          <w:tcPr>
            <w:tcW w:w="2220" w:type="dxa"/>
            <w:vAlign w:val="bottom"/>
          </w:tcPr>
          <w:p>
            <w:pPr>
              <w:ind w:left="34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4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(3,671)</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(4,568)</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(2,305)</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11,795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i w:val="1"/>
                <w:iCs w:val="1"/>
                <w:color w:val="auto"/>
              </w:rPr>
              <w:t>Operating margin %</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17.6%</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1.9%</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19.5%</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15.7%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5.8%</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21.6%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liability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(loss)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460"/>
              <w:spacing w:after="0"/>
              <w:rPr>
                <w:sz w:val="20"/>
                <w:szCs w:val="20"/>
                <w:color w:val="auto"/>
              </w:rPr>
            </w:pPr>
            <w:r>
              <w:rPr>
                <w:rFonts w:ascii="Arial" w:cs="Arial" w:eastAsia="Arial" w:hAnsi="Arial"/>
                <w:sz w:val="18"/>
                <w:szCs w:val="18"/>
                <w:color w:val="auto"/>
              </w:rPr>
              <w:t>on trading securities</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8,970</w:t>
            </w: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attributable to ACM</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Research,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10,155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(1,278)</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8,627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(2,779)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8,969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439"/>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27"/>
              <w:spacing w:after="0"/>
              <w:rPr>
                <w:sz w:val="20"/>
                <w:szCs w:val="20"/>
                <w:color w:val="auto"/>
              </w:rPr>
            </w:pPr>
            <w:r>
              <w:rPr>
                <w:rFonts w:ascii="Arial" w:cs="Arial" w:eastAsia="Arial" w:hAnsi="Arial"/>
                <w:sz w:val="18"/>
                <w:szCs w:val="18"/>
                <w:b w:val="1"/>
                <w:bCs w:val="1"/>
                <w:color w:val="auto"/>
              </w:rPr>
              <w:t>Nine Months Ended September 30,</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Actual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Other non-</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Actual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Other non-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Adjusted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(GAAP)</w:t>
            </w: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SBC</w:t>
            </w: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operating</w:t>
            </w:r>
          </w:p>
        </w:tc>
        <w:tc>
          <w:tcPr>
            <w:tcW w:w="100" w:type="dxa"/>
            <w:vAlign w:val="bottom"/>
          </w:tcPr>
          <w:p>
            <w:pPr>
              <w:spacing w:after="0"/>
              <w:rPr>
                <w:sz w:val="18"/>
                <w:szCs w:val="18"/>
                <w:color w:val="auto"/>
              </w:rPr>
            </w:pPr>
          </w:p>
        </w:tc>
        <w:tc>
          <w:tcPr>
            <w:tcW w:w="106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3"/>
              </w:rPr>
              <w:t>(Non-</w:t>
            </w:r>
          </w:p>
        </w:tc>
        <w:tc>
          <w:tcPr>
            <w:tcW w:w="100" w:type="dxa"/>
            <w:vAlign w:val="bottom"/>
          </w:tcPr>
          <w:p>
            <w:pPr>
              <w:spacing w:after="0"/>
              <w:rPr>
                <w:sz w:val="18"/>
                <w:szCs w:val="18"/>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(GAAP)</w:t>
            </w:r>
          </w:p>
        </w:tc>
        <w:tc>
          <w:tcPr>
            <w:tcW w:w="1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SBC</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90"/>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adjustments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i w:val="1"/>
                <w:iCs w:val="1"/>
                <w:color w:val="auto"/>
              </w:rPr>
              <w:t>($ in</w:t>
            </w:r>
          </w:p>
        </w:tc>
        <w:tc>
          <w:tcPr>
            <w:tcW w:w="1140" w:type="dxa"/>
            <w:vAlign w:val="bottom"/>
            <w:gridSpan w:val="3"/>
          </w:tcPr>
          <w:p>
            <w:pPr>
              <w:spacing w:after="0"/>
              <w:rPr>
                <w:sz w:val="20"/>
                <w:szCs w:val="20"/>
                <w:color w:val="auto"/>
              </w:rPr>
            </w:pPr>
            <w:r>
              <w:rPr>
                <w:rFonts w:ascii="Arial" w:cs="Arial" w:eastAsia="Arial" w:hAnsi="Arial"/>
                <w:sz w:val="18"/>
                <w:szCs w:val="18"/>
                <w:i w:val="1"/>
                <w:iCs w:val="1"/>
                <w:color w:val="auto"/>
              </w:rPr>
              <w:t>thousands)</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164,609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164,609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111,062</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(95,199)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(94,910)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(61,137)</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(61,005)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69,410</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69,699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49,925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50,057</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42.2%</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42.3%</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45.0%</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45.1%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(17,460)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(11,524)</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(21,293)</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(20,492)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(12,673)</w:t>
            </w:r>
          </w:p>
        </w:tc>
        <w:tc>
          <w:tcPr>
            <w:tcW w:w="0" w:type="dxa"/>
            <w:vAlign w:val="bottom"/>
          </w:tcPr>
          <w:p>
            <w:pPr>
              <w:spacing w:after="0"/>
              <w:rPr>
                <w:sz w:val="1"/>
                <w:szCs w:val="1"/>
                <w:color w:val="auto"/>
              </w:rPr>
            </w:pPr>
          </w:p>
        </w:tc>
      </w:tr>
      <w:tr>
        <w:trPr>
          <w:trHeight w:val="202"/>
        </w:trPr>
        <w:tc>
          <w:tcPr>
            <w:tcW w:w="2220" w:type="dxa"/>
            <w:vAlign w:val="bottom"/>
          </w:tcPr>
          <w:p>
            <w:pPr>
              <w:ind w:left="50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62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(11,081)</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(9,100)</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(3,128)</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23,399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16,060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i w:val="1"/>
                <w:iCs w:val="1"/>
                <w:color w:val="auto"/>
              </w:rPr>
              <w:t>Operating margin %</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11.9%</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2.3%</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14.2%</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14.5%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3.9%</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liability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(11,964)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on</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460"/>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8,970</w:t>
            </w: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attributable to</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ACM Research,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22,192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(3,823)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10,251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(4,323)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17,568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749"/>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1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2021-11-04T16:44:30Z</dcterms:created>
  <dcterms:modified xsi:type="dcterms:W3CDTF">2021-11-04T16:44:30Z</dcterms:modified>
</cp:coreProperties>
</file>