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5, 2018</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72"/>
              <w:spacing w:after="0"/>
              <w:rPr>
                <w:sz w:val="20"/>
                <w:szCs w:val="20"/>
                <w:color w:val="auto"/>
              </w:rPr>
            </w:pPr>
            <w:r>
              <w:rPr>
                <w:rFonts w:ascii="Arial" w:cs="Arial" w:eastAsia="Arial" w:hAnsi="Arial"/>
                <w:sz w:val="18"/>
                <w:szCs w:val="18"/>
                <w:i w:val="1"/>
                <w:iCs w:val="1"/>
                <w:color w:val="auto"/>
                <w:w w:val="90"/>
              </w:rPr>
              <w:t>(State or Other Jurisdiction of</w:t>
            </w:r>
          </w:p>
        </w:tc>
        <w:tc>
          <w:tcPr>
            <w:tcW w:w="5340" w:type="dxa"/>
            <w:vAlign w:val="bottom"/>
          </w:tcPr>
          <w:p>
            <w:pPr>
              <w:jc w:val="center"/>
              <w:ind w:right="17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4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358"/>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365"/>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8"/>
              </w:rPr>
              <w:t xml:space="preserve">Registrant’s telephone number, including area code: </w:t>
            </w:r>
            <w:r>
              <w:rPr>
                <w:rFonts w:ascii="Arial" w:cs="Arial" w:eastAsia="Arial" w:hAnsi="Arial"/>
                <w:sz w:val="18"/>
                <w:szCs w:val="18"/>
                <w:b w:val="1"/>
                <w:bCs w:val="1"/>
                <w:color w:val="auto"/>
                <w:w w:val="88"/>
              </w:rPr>
              <w:t>(510) 445-3700</w:t>
            </w:r>
          </w:p>
        </w:tc>
        <w:tc>
          <w:tcPr>
            <w:tcW w:w="1660" w:type="dxa"/>
            <w:vAlign w:val="bottom"/>
          </w:tcPr>
          <w:p>
            <w:pPr>
              <w:spacing w:after="0"/>
              <w:rPr>
                <w:sz w:val="24"/>
                <w:szCs w:val="24"/>
                <w:color w:val="auto"/>
              </w:rPr>
            </w:pPr>
          </w:p>
        </w:tc>
      </w:tr>
    </w:tbl>
    <w:p>
      <w:pPr>
        <w:spacing w:after="0" w:line="1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5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5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5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On March 5, 2018, we issued a press release announcing financial results for the fourth quarter and year ended December 31, 2017. The full text of the press release is furnished as Exhibit 99.01 hereto and is incorporated herein by reference.</w:t>
      </w:r>
    </w:p>
    <w:p>
      <w:pPr>
        <w:spacing w:after="0" w:line="118"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information contained herein, including the exhibit attached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ExhibitNumber</w:t>
            </w:r>
          </w:p>
        </w:tc>
        <w:tc>
          <w:tcPr>
            <w:tcW w:w="200" w:type="dxa"/>
            <w:vAlign w:val="bottom"/>
          </w:tcPr>
          <w:p>
            <w:pPr>
              <w:spacing w:after="0"/>
              <w:rPr>
                <w:sz w:val="20"/>
                <w:szCs w:val="20"/>
                <w:color w:val="auto"/>
              </w:rPr>
            </w:pPr>
          </w:p>
        </w:tc>
        <w:tc>
          <w:tcPr>
            <w:tcW w:w="1002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200" w:type="dxa"/>
            <w:vAlign w:val="bottom"/>
            <w:gridSpan w:val="3"/>
            <w:shd w:val="clear" w:color="auto" w:fill="CCEEFF"/>
          </w:tcPr>
          <w:p>
            <w:pPr>
              <w:jc w:val="center"/>
              <w:ind w:right="3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01</w:t>
              </w:r>
            </w:hyperlink>
          </w:p>
        </w:tc>
        <w:tc>
          <w:tcPr>
            <w:tcW w:w="102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Press release of ACM Research, Inc. dated March 5, 2018</w:t>
            </w:r>
          </w:p>
        </w:tc>
      </w:tr>
      <w:tr>
        <w:trPr>
          <w:trHeight w:val="432"/>
        </w:trPr>
        <w:tc>
          <w:tcPr>
            <w:tcW w:w="4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March 9, 2018</w:t>
      </w:r>
      <w:r>
        <w:rPr>
          <w:sz w:val="20"/>
          <w:szCs w:val="20"/>
          <w:color w:val="auto"/>
        </w:rPr>
        <w:tab/>
      </w:r>
      <w:r>
        <w:rPr>
          <w:rFonts w:ascii="Arial" w:cs="Arial" w:eastAsia="Arial" w:hAnsi="Arial"/>
          <w:sz w:val="16"/>
          <w:szCs w:val="16"/>
          <w:color w:val="auto"/>
        </w:rPr>
        <w:t>By: /s/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27940</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Accounting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1516380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57" w:right="539" w:bottom="1440" w:gutter="0" w:footer="0" w:header="0"/>
        </w:sectPr>
      </w:pPr>
    </w:p>
    <w:bookmarkStart w:id="3" w:name="page4"/>
    <w:bookmarkEnd w:id="3"/>
    <w:p>
      <w:pPr>
        <w:ind w:left="10420"/>
        <w:spacing w:after="0"/>
        <w:rPr>
          <w:sz w:val="20"/>
          <w:szCs w:val="20"/>
          <w:color w:val="auto"/>
        </w:rPr>
      </w:pPr>
      <w:r>
        <w:rPr>
          <w:rFonts w:ascii="Arial" w:cs="Arial" w:eastAsia="Arial" w:hAnsi="Arial"/>
          <w:sz w:val="16"/>
          <w:szCs w:val="16"/>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540385"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38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Fourth Quarter and Fiscal Year 2017 Results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FREMONT, Calif., March 05, 2018 (GLOBE NEWSWIRE) – ACM Research, Inc. (“ACM Research” or the “Company”) (NASDAQ:ACMR), a provider of single-wafer wet cleaning equipment used by manufacturers of advanced semiconductors, today reported financial results for its fourth quarter and fiscal year ended December 31, 2017.</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ACM Research’s President and Chief Executive Officer Dr. David Wang stated, “We delivered solid fourth quarter top-line results, topping off a strong 2017 for us. We achieved our 2017 financial goals with revenue growing 33%. Our success this year was a result of strong execution, differentiated technology, and continued expansion of the customer base. We enter 2018 on a high note with a strengthened leadership position in our targeted segment of the semiconductor manufacturing equipment space. We are optimistic about our business outlook, and look forward to further building upon our success in the years ahead.”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Operating Highlights</w:t>
      </w:r>
    </w:p>
    <w:p>
      <w:pPr>
        <w:spacing w:after="0" w:line="158" w:lineRule="exact"/>
        <w:rPr>
          <w:sz w:val="20"/>
          <w:szCs w:val="20"/>
          <w:color w:val="auto"/>
        </w:rPr>
      </w:pPr>
    </w:p>
    <w:p>
      <w:pPr>
        <w:ind w:left="340" w:hanging="332"/>
        <w:spacing w:after="0" w:line="339"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First Commercial Copper Plating Equipment for Mass Production. </w:t>
      </w:r>
      <w:r>
        <w:rPr>
          <w:rFonts w:ascii="Arial" w:cs="Arial" w:eastAsia="Arial" w:hAnsi="Arial"/>
          <w:sz w:val="16"/>
          <w:szCs w:val="16"/>
          <w:color w:val="auto"/>
        </w:rPr>
        <w:t>In the fourth quarter of 2017, the Company successfully shipped its first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copper plating equipment for mass production. The tool was shipped to a leading supplier of advanced packaging services in China.</w:t>
      </w:r>
    </w:p>
    <w:p>
      <w:pPr>
        <w:spacing w:after="0" w:line="60"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Two TEBO-related Patent Applications. </w:t>
      </w:r>
      <w:r>
        <w:rPr>
          <w:rFonts w:ascii="Arial" w:cs="Arial" w:eastAsia="Arial" w:hAnsi="Arial"/>
          <w:sz w:val="18"/>
          <w:szCs w:val="18"/>
          <w:color w:val="auto"/>
        </w:rPr>
        <w:t>ACM further strengthened its core TEBO (Timely Energized Bubble Oscillation) technology portfolio by filing</w:t>
      </w:r>
      <w:r>
        <w:rPr>
          <w:rFonts w:ascii="Arial" w:cs="Arial" w:eastAsia="Arial" w:hAnsi="Arial"/>
          <w:sz w:val="18"/>
          <w:szCs w:val="18"/>
          <w:b w:val="1"/>
          <w:bCs w:val="1"/>
          <w:color w:val="auto"/>
        </w:rPr>
        <w:t xml:space="preserve"> </w:t>
      </w:r>
      <w:r>
        <w:rPr>
          <w:rFonts w:ascii="Arial" w:cs="Arial" w:eastAsia="Arial" w:hAnsi="Arial"/>
          <w:sz w:val="18"/>
          <w:szCs w:val="18"/>
          <w:color w:val="auto"/>
        </w:rPr>
        <w:t>two TEBO-related patent applications in the fourth quarter of 2017.</w:t>
      </w:r>
    </w:p>
    <w:p>
      <w:pPr>
        <w:spacing w:after="0" w:line="106" w:lineRule="exact"/>
        <w:rPr>
          <w:rFonts w:ascii="Arial" w:cs="Arial" w:eastAsia="Arial" w:hAnsi="Arial"/>
          <w:sz w:val="18"/>
          <w:szCs w:val="18"/>
          <w:color w:val="auto"/>
        </w:rPr>
      </w:pPr>
    </w:p>
    <w:p>
      <w:pPr>
        <w:jc w:val="both"/>
        <w:ind w:left="340" w:hanging="332"/>
        <w:spacing w:after="0" w:line="31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Multiple Orders for SAPS-based tools</w:t>
      </w:r>
      <w:r>
        <w:rPr>
          <w:rFonts w:ascii="Arial" w:cs="Arial" w:eastAsia="Arial" w:hAnsi="Arial"/>
          <w:sz w:val="16"/>
          <w:szCs w:val="16"/>
          <w:color w:val="auto"/>
        </w:rPr>
        <w:t>. In December 2017 and January 2018, ACM Research received binding purchase commitments from five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to purchase $38.1 million of wafer-cleaning tools based on the Company’s SAPS (Space Alternated Phase Shift) technology. The Company expects to recognize revenue from these purchases beginning in the second quarter of 2018 and continuing into the third quarter.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5"/>
                <w:szCs w:val="15"/>
                <w:b w:val="1"/>
                <w:bCs w:val="1"/>
                <w:color w:val="auto"/>
                <w:w w:val="90"/>
              </w:rPr>
              <w:t>Three Months Ended December 31,</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GAAP</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Non-GAAP (1)</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2016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5"/>
                <w:szCs w:val="15"/>
                <w:i w:val="1"/>
                <w:iCs w:val="1"/>
                <w:color w:val="auto"/>
                <w:w w:val="92"/>
              </w:rPr>
              <w:t>(dollars in thousands)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1260" w:type="dxa"/>
            <w:vAlign w:val="bottom"/>
            <w:gridSpan w:val="2"/>
          </w:tcPr>
          <w:p>
            <w:pPr>
              <w:jc w:val="right"/>
              <w:ind w:right="51"/>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operations(2)</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ind w:left="340"/>
              <w:spacing w:after="0"/>
              <w:rPr>
                <w:sz w:val="20"/>
                <w:szCs w:val="20"/>
                <w:color w:val="auto"/>
              </w:rPr>
            </w:pPr>
            <w:r>
              <w:rPr>
                <w:rFonts w:ascii="Arial" w:cs="Arial" w:eastAsia="Arial" w:hAnsi="Arial"/>
                <w:sz w:val="18"/>
                <w:szCs w:val="18"/>
                <w:color w:val="auto"/>
              </w:rPr>
              <w:t>Net income attributable to ACM Research, Inc.(2)</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3,384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1,223</w:t>
            </w:r>
          </w:p>
        </w:tc>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3,315</w:t>
            </w:r>
          </w:p>
        </w:tc>
        <w:tc>
          <w:tcPr>
            <w:tcW w:w="28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6060" w:type="dxa"/>
            <w:vAlign w:val="bottom"/>
          </w:tcPr>
          <w:p>
            <w:pPr>
              <w:spacing w:after="0"/>
              <w:rPr>
                <w:sz w:val="20"/>
                <w:szCs w:val="20"/>
                <w:color w:val="auto"/>
              </w:rPr>
            </w:pPr>
            <w:r>
              <w:rPr>
                <w:rFonts w:ascii="Arial" w:cs="Arial" w:eastAsia="Arial" w:hAnsi="Arial"/>
                <w:sz w:val="18"/>
                <w:szCs w:val="18"/>
                <w:b w:val="1"/>
                <w:bCs w:val="1"/>
                <w:color w:val="auto"/>
              </w:rPr>
              <w:t>Year to Date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6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5"/>
                <w:szCs w:val="15"/>
                <w:b w:val="1"/>
                <w:bCs w:val="1"/>
                <w:color w:val="auto"/>
                <w:w w:val="90"/>
              </w:rPr>
              <w:t>For the Year Ended December 31,</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line="162" w:lineRule="exact"/>
              <w:rPr>
                <w:sz w:val="20"/>
                <w:szCs w:val="20"/>
                <w:color w:val="auto"/>
              </w:rPr>
            </w:pPr>
            <w:r>
              <w:rPr>
                <w:rFonts w:ascii="Arial" w:cs="Arial" w:eastAsia="Arial" w:hAnsi="Arial"/>
                <w:sz w:val="15"/>
                <w:szCs w:val="15"/>
                <w:b w:val="1"/>
                <w:bCs w:val="1"/>
                <w:color w:val="auto"/>
              </w:rPr>
              <w:t>GAAP</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line="162" w:lineRule="exact"/>
              <w:rPr>
                <w:sz w:val="20"/>
                <w:szCs w:val="20"/>
                <w:color w:val="auto"/>
              </w:rPr>
            </w:pPr>
            <w:r>
              <w:rPr>
                <w:rFonts w:ascii="Arial" w:cs="Arial" w:eastAsia="Arial" w:hAnsi="Arial"/>
                <w:sz w:val="15"/>
                <w:szCs w:val="15"/>
                <w:b w:val="1"/>
                <w:bCs w:val="1"/>
                <w:color w:val="auto"/>
              </w:rPr>
              <w:t>Non-GAAP (1)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89"/>
              </w:rPr>
              <w:t>2016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62"/>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i w:val="1"/>
                <w:iCs w:val="1"/>
                <w:color w:val="auto"/>
              </w:rPr>
              <w:t>(dollars</w:t>
            </w:r>
          </w:p>
        </w:tc>
        <w:tc>
          <w:tcPr>
            <w:tcW w:w="260" w:type="dxa"/>
            <w:vAlign w:val="bottom"/>
          </w:tcPr>
          <w:p>
            <w:pPr>
              <w:jc w:val="right"/>
              <w:ind w:right="91"/>
              <w:spacing w:after="0"/>
              <w:rPr>
                <w:sz w:val="20"/>
                <w:szCs w:val="20"/>
                <w:color w:val="auto"/>
              </w:rPr>
            </w:pPr>
            <w:r>
              <w:rPr>
                <w:rFonts w:ascii="Arial" w:cs="Arial" w:eastAsia="Arial" w:hAnsi="Arial"/>
                <w:sz w:val="14"/>
                <w:szCs w:val="14"/>
                <w:i w:val="1"/>
                <w:iCs w:val="1"/>
                <w:color w:val="auto"/>
                <w:w w:val="72"/>
              </w:rPr>
              <w:t>in</w:t>
            </w:r>
          </w:p>
        </w:tc>
        <w:tc>
          <w:tcPr>
            <w:tcW w:w="1100" w:type="dxa"/>
            <w:vAlign w:val="bottom"/>
            <w:gridSpan w:val="2"/>
          </w:tcPr>
          <w:p>
            <w:pPr>
              <w:spacing w:after="0" w:line="162" w:lineRule="exact"/>
              <w:rPr>
                <w:sz w:val="20"/>
                <w:szCs w:val="20"/>
                <w:color w:val="auto"/>
              </w:rPr>
            </w:pPr>
            <w:r>
              <w:rPr>
                <w:rFonts w:ascii="Arial" w:cs="Arial" w:eastAsia="Arial" w:hAnsi="Arial"/>
                <w:sz w:val="15"/>
                <w:szCs w:val="15"/>
                <w:i w:val="1"/>
                <w:iCs w:val="1"/>
                <w:color w:val="auto"/>
              </w:rPr>
              <w:t>thousands)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1260" w:type="dxa"/>
            <w:vAlign w:val="bottom"/>
            <w:gridSpan w:val="2"/>
          </w:tcPr>
          <w:p>
            <w:pPr>
              <w:jc w:val="right"/>
              <w:ind w:right="51"/>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operations(2)</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ind w:left="340"/>
              <w:spacing w:after="0"/>
              <w:rPr>
                <w:sz w:val="20"/>
                <w:szCs w:val="20"/>
                <w:color w:val="auto"/>
              </w:rPr>
            </w:pPr>
            <w:r>
              <w:rPr>
                <w:rFonts w:ascii="Arial" w:cs="Arial" w:eastAsia="Arial" w:hAnsi="Arial"/>
                <w:sz w:val="18"/>
                <w:szCs w:val="18"/>
                <w:color w:val="auto"/>
              </w:rPr>
              <w:t>Net income (loss) attributable to ACM Research, Inc.(2)</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left="660" w:right="4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“Unaudited Reconciliation of GAAP to Non-GAAP Financial Measures.”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financial measures exclude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 w:name="page5"/>
    <w:bookmarkEnd w:id="4"/>
    <w:p>
      <w:pPr>
        <w:jc w:val="both"/>
        <w:ind w:left="660" w:hanging="328"/>
        <w:spacing w:after="0" w:line="310"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Revenue in the fourth quarter of 2017 increased 19.9% from the comparable quarter in 2016 to $17.2 million. The increase was due to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of single-wafer cleaning equipment and from the first sale of copper plating equipment. Revenue for fiscal year 2017 totaled $36.5 million, an increase of 33.4% from fiscal year 2016, due largely to a higher volume of shipments of single-wafer cleaning equipment.</w:t>
      </w:r>
    </w:p>
    <w:p>
      <w:pPr>
        <w:spacing w:after="0" w:line="83" w:lineRule="exact"/>
        <w:rPr>
          <w:rFonts w:ascii="Arial" w:cs="Arial" w:eastAsia="Arial" w:hAnsi="Arial"/>
          <w:sz w:val="16"/>
          <w:szCs w:val="16"/>
          <w:b w:val="1"/>
          <w:bCs w:val="1"/>
          <w:color w:val="auto"/>
        </w:rPr>
      </w:pPr>
    </w:p>
    <w:p>
      <w:pPr>
        <w:jc w:val="both"/>
        <w:ind w:left="660" w:hanging="328"/>
        <w:spacing w:after="0" w:line="30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Gross margins of 53.4% and 47.2%, respectively, in the three and twelve months ended December 31, 2017 were above the range of</w:t>
      </w:r>
      <w:r>
        <w:rPr>
          <w:rFonts w:ascii="Arial" w:cs="Arial" w:eastAsia="Arial" w:hAnsi="Arial"/>
          <w:sz w:val="16"/>
          <w:szCs w:val="16"/>
          <w:b w:val="1"/>
          <w:bCs w:val="1"/>
          <w:color w:val="auto"/>
        </w:rPr>
        <w:t xml:space="preserve"> </w:t>
      </w:r>
      <w:r>
        <w:rPr>
          <w:rFonts w:ascii="Arial" w:cs="Arial" w:eastAsia="Arial" w:hAnsi="Arial"/>
          <w:sz w:val="16"/>
          <w:szCs w:val="16"/>
          <w:color w:val="auto"/>
        </w:rPr>
        <w:t>40.0% to 45.0% generally anticipated by the Company for the foreseeable future. Gross margin may vary from period to period, primarily related to the level of utilization and the timing and mix of purchase orders. The strong gross margin performance in the fourth quarter of 2017 was due to the sale of the first copper plating equipment, which was manufactured under PRC governmental subsidies.</w:t>
      </w:r>
    </w:p>
    <w:p>
      <w:pPr>
        <w:spacing w:after="0" w:line="89"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 Operating expenses in the fourth quarter of 2017 were $5.4 million, up from $3.3 million in the fourth quarter of 2016.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 fiscal year 2017 totaled $16.5 million, compared to $9.8 million in fiscal 2016. The increases in operating expenses in the fourth quarter and fiscal year 2017 were due to higher R&amp;D spending, sales and marketing expenses, the cost of preparing for the Company’s initial public offering (“IPO”), and an increase in stock-based compensation.</w:t>
      </w:r>
    </w:p>
    <w:p>
      <w:pPr>
        <w:spacing w:after="0" w:line="122"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attributable to ACM Research. </w:t>
      </w:r>
      <w:r>
        <w:rPr>
          <w:rFonts w:ascii="Arial" w:cs="Arial" w:eastAsia="Arial" w:hAnsi="Arial"/>
          <w:sz w:val="18"/>
          <w:szCs w:val="18"/>
          <w:color w:val="auto"/>
        </w:rPr>
        <w:t>Net income in the fourth quarter 2017 was $3.4 million, up from $1.2 million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2016. Net loss for fiscal year 2017 was $0.3 million, compared to net income of $1.0 million in fiscal year 2016. Net loss in 2017 reflected increased spending on research and development and customer support, as well as expenses associated with preparation for the IPO as well as an increase in stock-based compensation.</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Capital Stock. </w:t>
      </w:r>
      <w:r>
        <w:rPr>
          <w:rFonts w:ascii="Arial" w:cs="Arial" w:eastAsia="Arial" w:hAnsi="Arial"/>
          <w:sz w:val="18"/>
          <w:szCs w:val="18"/>
          <w:color w:val="auto"/>
        </w:rPr>
        <w:t>In November 2017 ACM Research sold 2,233,000 shares of Class A common stock in its initial public offering and 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1,333,334 shares in a concurrent private placement, for aggregate gross proceeds of $20.0 million. The Company held $17.7 million in cash as of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Revenue Outlook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2018, the Company expects revenue to be approximately $65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conference call to discuss fourth quarter and fiscal year 2017 results will be held today at 8:00 a.m. U.S. Eastern Time (9:00 p.m. China Time). Dial-in details for the call are as follows. Please reference conference ID 9376915.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Toll-Free Number</w:t>
            </w: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Phone Number</w:t>
            </w:r>
          </w:p>
        </w:tc>
      </w:tr>
      <w:tr>
        <w:trPr>
          <w:trHeight w:val="20"/>
        </w:trPr>
        <w:tc>
          <w:tcPr>
            <w:tcW w:w="28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2880" w:type="dxa"/>
            <w:vAlign w:val="bottom"/>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tcPr>
          <w:p>
            <w:pPr>
              <w:spacing w:after="0"/>
              <w:rPr>
                <w:sz w:val="20"/>
                <w:szCs w:val="20"/>
                <w:color w:val="auto"/>
              </w:rPr>
            </w:pPr>
            <w:r>
              <w:rPr>
                <w:rFonts w:ascii="Arial" w:cs="Arial" w:eastAsia="Arial" w:hAnsi="Arial"/>
                <w:sz w:val="18"/>
                <w:szCs w:val="18"/>
                <w:color w:val="auto"/>
                <w:w w:val="88"/>
              </w:rPr>
              <w:t>+1 (845) 675-0437</w:t>
            </w:r>
          </w:p>
        </w:tc>
        <w:tc>
          <w:tcPr>
            <w:tcW w:w="15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87"/>
              </w:rPr>
              <w:t>+1 (866) 519-4004</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Hong Kong</w:t>
            </w:r>
          </w:p>
        </w:tc>
        <w:tc>
          <w:tcPr>
            <w:tcW w:w="1340" w:type="dxa"/>
            <w:vAlign w:val="bottom"/>
            <w:gridSpan w:val="2"/>
          </w:tcPr>
          <w:p>
            <w:pPr>
              <w:spacing w:after="0"/>
              <w:rPr>
                <w:sz w:val="20"/>
                <w:szCs w:val="20"/>
                <w:color w:val="auto"/>
              </w:rPr>
            </w:pPr>
            <w:r>
              <w:rPr>
                <w:rFonts w:ascii="Arial" w:cs="Arial" w:eastAsia="Arial" w:hAnsi="Arial"/>
                <w:sz w:val="18"/>
                <w:szCs w:val="18"/>
                <w:color w:val="auto"/>
              </w:rPr>
              <w:t>+852 3018 6771</w:t>
            </w:r>
          </w:p>
        </w:tc>
        <w:tc>
          <w:tcPr>
            <w:tcW w:w="15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95"/>
              </w:rPr>
              <w:t>+852 800906601</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Mainland China</w:t>
            </w:r>
          </w:p>
        </w:tc>
        <w:tc>
          <w:tcPr>
            <w:tcW w:w="280" w:type="dxa"/>
            <w:vAlign w:val="bottom"/>
          </w:tcPr>
          <w:p>
            <w:pPr>
              <w:spacing w:after="0"/>
              <w:rPr>
                <w:sz w:val="20"/>
                <w:szCs w:val="20"/>
                <w:color w:val="auto"/>
              </w:rPr>
            </w:pPr>
            <w:r>
              <w:rPr>
                <w:rFonts w:ascii="Arial" w:cs="Arial" w:eastAsia="Arial" w:hAnsi="Arial"/>
                <w:sz w:val="18"/>
                <w:szCs w:val="18"/>
                <w:color w:val="auto"/>
                <w:w w:val="85"/>
              </w:rPr>
              <w:t>+86</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(800) 819 0121</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5"/>
              </w:rPr>
              <w:t>+86</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(400) 620 8038</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Other International</w:t>
            </w:r>
          </w:p>
        </w:tc>
        <w:tc>
          <w:tcPr>
            <w:tcW w:w="280" w:type="dxa"/>
            <w:vAlign w:val="bottom"/>
          </w:tcPr>
          <w:p>
            <w:pPr>
              <w:spacing w:after="0"/>
              <w:rPr>
                <w:sz w:val="20"/>
                <w:szCs w:val="20"/>
                <w:color w:val="auto"/>
              </w:rPr>
            </w:pPr>
            <w:r>
              <w:rPr>
                <w:rFonts w:ascii="Arial" w:cs="Arial" w:eastAsia="Arial" w:hAnsi="Arial"/>
                <w:sz w:val="18"/>
                <w:szCs w:val="18"/>
                <w:color w:val="auto"/>
                <w:w w:val="85"/>
              </w:rPr>
              <w:t>+65</w:t>
            </w:r>
          </w:p>
        </w:tc>
        <w:tc>
          <w:tcPr>
            <w:tcW w:w="1060" w:type="dxa"/>
            <w:vAlign w:val="bottom"/>
          </w:tcPr>
          <w:p>
            <w:pPr>
              <w:ind w:left="20"/>
              <w:spacing w:after="0"/>
              <w:rPr>
                <w:sz w:val="20"/>
                <w:szCs w:val="20"/>
                <w:color w:val="auto"/>
              </w:rPr>
            </w:pPr>
            <w:r>
              <w:rPr>
                <w:rFonts w:ascii="Arial" w:cs="Arial" w:eastAsia="Arial" w:hAnsi="Arial"/>
                <w:sz w:val="18"/>
                <w:szCs w:val="18"/>
                <w:color w:val="auto"/>
              </w:rPr>
              <w:t>6713 5090</w:t>
            </w: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recording of the webcast will be available on the investor page of the ACM Research website at </w:t>
      </w:r>
      <w:r>
        <w:rPr>
          <w:rFonts w:ascii="Arial" w:cs="Arial" w:eastAsia="Arial" w:hAnsi="Arial"/>
          <w:sz w:val="16"/>
          <w:szCs w:val="16"/>
          <w:u w:val="single" w:color="auto"/>
          <w:color w:val="0563C1"/>
        </w:rPr>
        <w:t>www.acmrcsh.com</w:t>
      </w:r>
      <w:r>
        <w:rPr>
          <w:rFonts w:ascii="Arial" w:cs="Arial" w:eastAsia="Arial" w:hAnsi="Arial"/>
          <w:sz w:val="16"/>
          <w:szCs w:val="16"/>
          <w:color w:val="auto"/>
        </w:rPr>
        <w:t xml:space="preserve"> for one week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ACM Research presents non-GAAP gross margin, operating income and net income (loss) as supplemental measures to GAAP financial measures regarding ACM Research’s operational performance. These supplemental measures exclude the impact of stock-based compensation, which ACM Research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ACM Research believes these non-GAAP financial measures are useful to investors in assessing its operating performance. ACM Research uses these financial measures internally to evaluate its operating performance and for planning and forecasting of future periods. Financial analysts may focus on and publish both historical results and future projections based on the non-GAAP financial measures. ACM Research also believes it is in the best interests of investors for ACM Research to provide this non-GAAP information.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ACM Research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 Research’s consolidated financial statements prepared in accordance with GAAP.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Information presented above under “Financial Summary—Gross Margin” with respect to the expected range of gross margin for the foreseeable future and under “Fiscal 2018 Revenue Outlook” contains forward-looking statements for purposes of the safe harbor provisions of the Private Securities Litigation Reform Act of 1995. Actual results may vary significantly from ACM Research’s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 Research’s demands on a timely basis; volatile global economic, market, industry and other conditions could result in sharply lower demand for products containing semiconductors and for the company's products and in disruption of capital and credit markets; ACM Research’s failure to successfully manage its operations; and trade regulations, currency fluctuations, political instability and war may materially adversely affect ACM Research due to its substantial non-U.S. customer and supplier base and its substantial non-U.S. manufacturing operations. ACM Research cannot guarantee any future results, levels of activity, performance or achievements. ACM Research expressly disclaims any obligation to update forward-looking statements after the date of this press release.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16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ACM Research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72" w:lineRule="exact"/>
        <w:rPr>
          <w:sz w:val="20"/>
          <w:szCs w:val="20"/>
          <w:color w:val="auto"/>
        </w:rPr>
      </w:pPr>
    </w:p>
    <w:p>
      <w:pPr>
        <w:ind w:firstLine="8"/>
        <w:spacing w:after="0" w:line="268" w:lineRule="auto"/>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ACM Research, Inc. SAPS, TEBO and the ACM Research logo are trademarks of ACM Research, Inc. All rights reserved. Any other trademarks are the property of their respective owners.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In the United States:</w:t>
            </w:r>
          </w:p>
        </w:tc>
        <w:tc>
          <w:tcPr>
            <w:tcW w:w="9560" w:type="dxa"/>
            <w:vAlign w:val="bottom"/>
          </w:tcPr>
          <w:p>
            <w:pPr>
              <w:ind w:left="440"/>
              <w:spacing w:after="0"/>
              <w:rPr>
                <w:sz w:val="20"/>
                <w:szCs w:val="20"/>
                <w:color w:val="auto"/>
              </w:rPr>
            </w:pPr>
            <w:r>
              <w:rPr>
                <w:rFonts w:ascii="Arial" w:cs="Arial" w:eastAsia="Arial" w:hAnsi="Arial"/>
                <w:sz w:val="18"/>
                <w:szCs w:val="18"/>
                <w:color w:val="auto"/>
              </w:rPr>
              <w:t>The Blueshirt Group</w:t>
            </w:r>
          </w:p>
        </w:tc>
      </w:tr>
      <w:tr>
        <w:trPr>
          <w:trHeight w:val="216"/>
        </w:trPr>
        <w:tc>
          <w:tcPr>
            <w:tcW w:w="18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Ralph Fong</w:t>
            </w:r>
          </w:p>
        </w:tc>
      </w:tr>
      <w:tr>
        <w:trPr>
          <w:trHeight w:val="216"/>
        </w:trPr>
        <w:tc>
          <w:tcPr>
            <w:tcW w:w="18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+1 (415) 489-2195</w:t>
            </w:r>
          </w:p>
        </w:tc>
      </w:tr>
      <w:tr>
        <w:trPr>
          <w:trHeight w:val="222"/>
        </w:trPr>
        <w:tc>
          <w:tcPr>
            <w:tcW w:w="1860" w:type="dxa"/>
            <w:vAlign w:val="bottom"/>
          </w:tcPr>
          <w:p>
            <w:pPr>
              <w:spacing w:after="0"/>
              <w:rPr>
                <w:sz w:val="19"/>
                <w:szCs w:val="19"/>
                <w:color w:val="auto"/>
              </w:rPr>
            </w:pPr>
          </w:p>
        </w:tc>
        <w:tc>
          <w:tcPr>
            <w:tcW w:w="9560" w:type="dxa"/>
            <w:vAlign w:val="bottom"/>
          </w:tcPr>
          <w:p>
            <w:pPr>
              <w:ind w:left="440"/>
              <w:spacing w:after="0"/>
              <w:rPr>
                <w:sz w:val="20"/>
                <w:szCs w:val="20"/>
                <w:color w:val="auto"/>
              </w:rPr>
            </w:pPr>
            <w:r>
              <w:rPr>
                <w:rFonts w:ascii="Arial" w:cs="Arial" w:eastAsia="Arial" w:hAnsi="Arial"/>
                <w:sz w:val="18"/>
                <w:szCs w:val="18"/>
                <w:i w:val="1"/>
                <w:iCs w:val="1"/>
                <w:color w:val="0563C1"/>
              </w:rPr>
              <w:t>ralph@blueshirtgroup.com</w:t>
            </w:r>
          </w:p>
        </w:tc>
      </w:tr>
      <w:tr>
        <w:trPr>
          <w:trHeight w:val="426"/>
        </w:trPr>
        <w:tc>
          <w:tcPr>
            <w:tcW w:w="1860" w:type="dxa"/>
            <w:vAlign w:val="bottom"/>
          </w:tcPr>
          <w:p>
            <w:pPr>
              <w:spacing w:after="0"/>
              <w:rPr>
                <w:sz w:val="20"/>
                <w:szCs w:val="20"/>
                <w:color w:val="auto"/>
              </w:rPr>
            </w:pPr>
            <w:r>
              <w:rPr>
                <w:rFonts w:ascii="Arial" w:cs="Arial" w:eastAsia="Arial" w:hAnsi="Arial"/>
                <w:sz w:val="18"/>
                <w:szCs w:val="18"/>
                <w:color w:val="auto"/>
              </w:rPr>
              <w:t>In China:</w:t>
            </w:r>
          </w:p>
        </w:tc>
        <w:tc>
          <w:tcPr>
            <w:tcW w:w="9560" w:type="dxa"/>
            <w:vAlign w:val="bottom"/>
          </w:tcPr>
          <w:p>
            <w:pPr>
              <w:ind w:left="440"/>
              <w:spacing w:after="0"/>
              <w:rPr>
                <w:sz w:val="20"/>
                <w:szCs w:val="20"/>
                <w:color w:val="auto"/>
              </w:rPr>
            </w:pPr>
            <w:r>
              <w:rPr>
                <w:rFonts w:ascii="Arial" w:cs="Arial" w:eastAsia="Arial" w:hAnsi="Arial"/>
                <w:sz w:val="18"/>
                <w:szCs w:val="18"/>
                <w:color w:val="auto"/>
              </w:rPr>
              <w:t>The Blueshirt Group Asia</w:t>
            </w:r>
          </w:p>
        </w:tc>
      </w:tr>
      <w:tr>
        <w:trPr>
          <w:trHeight w:val="216"/>
        </w:trPr>
        <w:tc>
          <w:tcPr>
            <w:tcW w:w="18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Gary Dvorchak, CFA</w:t>
            </w:r>
          </w:p>
        </w:tc>
      </w:tr>
      <w:tr>
        <w:trPr>
          <w:trHeight w:val="216"/>
        </w:trPr>
        <w:tc>
          <w:tcPr>
            <w:tcW w:w="18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+86 (138) 1079-1480</w:t>
            </w:r>
          </w:p>
        </w:tc>
      </w:tr>
      <w:tr>
        <w:trPr>
          <w:trHeight w:val="222"/>
        </w:trPr>
        <w:tc>
          <w:tcPr>
            <w:tcW w:w="1860" w:type="dxa"/>
            <w:vAlign w:val="bottom"/>
          </w:tcPr>
          <w:p>
            <w:pPr>
              <w:spacing w:after="0"/>
              <w:rPr>
                <w:sz w:val="19"/>
                <w:szCs w:val="19"/>
                <w:color w:val="auto"/>
              </w:rPr>
            </w:pPr>
          </w:p>
        </w:tc>
        <w:tc>
          <w:tcPr>
            <w:tcW w:w="9560" w:type="dxa"/>
            <w:vAlign w:val="bottom"/>
          </w:tcPr>
          <w:p>
            <w:pPr>
              <w:ind w:left="440"/>
              <w:spacing w:after="0"/>
              <w:rPr>
                <w:sz w:val="20"/>
                <w:szCs w:val="20"/>
                <w:color w:val="auto"/>
              </w:rPr>
            </w:pPr>
            <w:r>
              <w:rPr>
                <w:rFonts w:ascii="Arial" w:cs="Arial" w:eastAsia="Arial" w:hAnsi="Arial"/>
                <w:sz w:val="18"/>
                <w:szCs w:val="18"/>
                <w:i w:val="1"/>
                <w:iCs w:val="1"/>
                <w:color w:val="0563C1"/>
              </w:rPr>
              <w:t>gary@blueshirtgroup.com</w:t>
            </w:r>
          </w:p>
        </w:tc>
      </w:tr>
      <w:tr>
        <w:trPr>
          <w:trHeight w:val="434"/>
        </w:trPr>
        <w:tc>
          <w:tcPr>
            <w:tcW w:w="18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2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Arial" w:cs="Arial" w:eastAsia="Arial" w:hAnsi="Arial"/>
                <w:sz w:val="15"/>
                <w:szCs w:val="15"/>
                <w:i w:val="1"/>
                <w:i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5"/>
                <w:szCs w:val="15"/>
                <w:i w:val="1"/>
                <w:iCs w:val="1"/>
                <w:color w:val="auto"/>
                <w:w w:val="72"/>
              </w:rPr>
              <w:t>thousands)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17,681</w:t>
            </w:r>
          </w:p>
        </w:tc>
        <w:tc>
          <w:tcPr>
            <w:tcW w:w="62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w w:val="90"/>
              </w:rPr>
              <w:t>Accounts receivable, less allowance for doubtful accounts of $0 and $0 as of December 31, 2017 and 2016, respectively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62,914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20" w:type="dxa"/>
            <w:vAlign w:val="bottom"/>
          </w:tcPr>
          <w:p>
            <w:pPr>
              <w:spacing w:after="0"/>
              <w:rPr>
                <w:sz w:val="20"/>
                <w:szCs w:val="20"/>
                <w:color w:val="auto"/>
              </w:rPr>
            </w:pPr>
            <w:r>
              <w:rPr>
                <w:rFonts w:ascii="Arial" w:cs="Arial" w:eastAsia="Arial" w:hAnsi="Arial"/>
                <w:sz w:val="18"/>
                <w:szCs w:val="18"/>
                <w:color w:val="auto"/>
              </w:rPr>
              <w:t>Investment in equity method affiliates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Liabilities, Redeemable Convertible Preferred and Stock Stockholders’ Equity (Deficit)</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8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5,095</w:t>
            </w:r>
          </w:p>
        </w:tc>
        <w:tc>
          <w:tcPr>
            <w:tcW w:w="62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Investors’ deposit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w w:val="95"/>
              </w:rPr>
              <w:t>Accounts payable (including amounts due to a related party of $1,925 and $508 at December 31, 2017 and 2016,</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w w:val="88"/>
              </w:rPr>
              <w:t>Other payables and accrued expenses (including amounts due to a related party of $2,024 and $1,883 as of December 31,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20" w:type="dxa"/>
            <w:vAlign w:val="bottom"/>
          </w:tcPr>
          <w:p>
            <w:pPr>
              <w:ind w:left="340"/>
              <w:spacing w:after="0"/>
              <w:rPr>
                <w:sz w:val="20"/>
                <w:szCs w:val="20"/>
                <w:color w:val="auto"/>
              </w:rPr>
            </w:pPr>
            <w:r>
              <w:rPr>
                <w:rFonts w:ascii="Arial" w:cs="Arial" w:eastAsia="Arial" w:hAnsi="Arial"/>
                <w:sz w:val="18"/>
                <w:szCs w:val="18"/>
                <w:color w:val="auto"/>
              </w:rPr>
              <w:t>2017 and 2016, respectively)</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21,817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redeemable convertible preferred stock (note 15)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ACM Research, Inc. stockholders’ (deficit) equity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39,857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stockholders’ equity (deficit)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liabilities, redeemable convertible preferred stock and stockholders’ equity</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67,891</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396"/>
              <w:spacing w:after="0"/>
              <w:rPr>
                <w:sz w:val="20"/>
                <w:szCs w:val="20"/>
                <w:color w:val="auto"/>
              </w:rPr>
            </w:pPr>
            <w:r>
              <w:rPr>
                <w:rFonts w:ascii="Arial" w:cs="Arial" w:eastAsia="Arial" w:hAnsi="Arial"/>
                <w:sz w:val="15"/>
                <w:szCs w:val="15"/>
                <w:b w:val="1"/>
                <w:bCs w:val="1"/>
                <w:color w:val="auto"/>
                <w:w w:val="91"/>
              </w:rPr>
              <w:t>Three Months Ended</w:t>
            </w:r>
          </w:p>
        </w:tc>
        <w:tc>
          <w:tcPr>
            <w:tcW w:w="240" w:type="dxa"/>
            <w:vAlign w:val="bottom"/>
          </w:tcPr>
          <w:p>
            <w:pPr>
              <w:spacing w:after="0"/>
              <w:rPr>
                <w:sz w:val="14"/>
                <w:szCs w:val="1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5"/>
                <w:szCs w:val="15"/>
                <w:b w:val="1"/>
                <w:bCs w:val="1"/>
                <w:color w:val="auto"/>
              </w:rPr>
              <w:t>Twelve Months Ended</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5"/>
                <w:szCs w:val="15"/>
                <w:b w:val="1"/>
                <w:bCs w:val="1"/>
                <w:color w:val="auto"/>
                <w:w w:val="90"/>
              </w:rPr>
              <w:t>December 31,</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line="162" w:lineRule="exact"/>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w w:val="95"/>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ind w:left="20"/>
              <w:spacing w:after="0" w:line="154" w:lineRule="exact"/>
              <w:rPr>
                <w:sz w:val="20"/>
                <w:szCs w:val="20"/>
                <w:color w:val="auto"/>
              </w:rPr>
            </w:pPr>
            <w:r>
              <w:rPr>
                <w:rFonts w:ascii="Arial" w:cs="Arial" w:eastAsia="Arial" w:hAnsi="Arial"/>
                <w:sz w:val="15"/>
                <w:szCs w:val="15"/>
                <w:i w:val="1"/>
                <w:iCs w:val="1"/>
                <w:color w:val="auto"/>
                <w:w w:val="95"/>
              </w:rPr>
              <w:t>(in</w:t>
            </w:r>
          </w:p>
        </w:tc>
        <w:tc>
          <w:tcPr>
            <w:tcW w:w="1100" w:type="dxa"/>
            <w:vAlign w:val="bottom"/>
            <w:gridSpan w:val="2"/>
          </w:tcPr>
          <w:p>
            <w:pPr>
              <w:ind w:left="20"/>
              <w:spacing w:after="0" w:line="154" w:lineRule="exact"/>
              <w:rPr>
                <w:sz w:val="20"/>
                <w:szCs w:val="20"/>
                <w:color w:val="auto"/>
              </w:rPr>
            </w:pPr>
            <w:r>
              <w:rPr>
                <w:rFonts w:ascii="Arial" w:cs="Arial" w:eastAsia="Arial" w:hAnsi="Arial"/>
                <w:sz w:val="15"/>
                <w:szCs w:val="15"/>
                <w:i w:val="1"/>
                <w:iCs w:val="1"/>
                <w:color w:val="auto"/>
                <w:w w:val="87"/>
              </w:rPr>
              <w:t>thousands, except</w:t>
            </w:r>
          </w:p>
        </w:tc>
        <w:tc>
          <w:tcPr>
            <w:tcW w:w="260" w:type="dxa"/>
            <w:vAlign w:val="bottom"/>
          </w:tcPr>
          <w:p>
            <w:pPr>
              <w:jc w:val="right"/>
              <w:spacing w:after="0"/>
              <w:rPr>
                <w:sz w:val="20"/>
                <w:szCs w:val="20"/>
                <w:color w:val="auto"/>
              </w:rPr>
            </w:pPr>
            <w:r>
              <w:rPr>
                <w:rFonts w:ascii="Arial" w:cs="Arial" w:eastAsia="Arial" w:hAnsi="Arial"/>
                <w:sz w:val="13"/>
                <w:szCs w:val="13"/>
                <w:i w:val="1"/>
                <w:iCs w:val="1"/>
                <w:color w:val="auto"/>
                <w:w w:val="73"/>
              </w:rPr>
              <w:t>share</w:t>
            </w:r>
          </w:p>
        </w:tc>
        <w:tc>
          <w:tcPr>
            <w:tcW w:w="1380" w:type="dxa"/>
            <w:vAlign w:val="bottom"/>
            <w:gridSpan w:val="3"/>
          </w:tcPr>
          <w:p>
            <w:pPr>
              <w:jc w:val="right"/>
              <w:ind w:right="100"/>
              <w:spacing w:after="0" w:line="154" w:lineRule="exact"/>
              <w:rPr>
                <w:sz w:val="20"/>
                <w:szCs w:val="20"/>
                <w:color w:val="auto"/>
              </w:rPr>
            </w:pPr>
            <w:r>
              <w:rPr>
                <w:rFonts w:ascii="Arial" w:cs="Arial" w:eastAsia="Arial" w:hAnsi="Arial"/>
                <w:sz w:val="15"/>
                <w:szCs w:val="15"/>
                <w:i w:val="1"/>
                <w:iCs w:val="1"/>
                <w:color w:val="auto"/>
                <w:w w:val="96"/>
              </w:rPr>
              <w:t>and per share data)</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17,192</w:t>
            </w:r>
          </w:p>
        </w:tc>
        <w:tc>
          <w:tcPr>
            <w:tcW w:w="6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14,344</w:t>
            </w:r>
          </w:p>
        </w:tc>
        <w:tc>
          <w:tcPr>
            <w:tcW w:w="26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36,506</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8"/>
                <w:szCs w:val="18"/>
                <w:color w:val="auto"/>
              </w:rPr>
              <w:t>Operating expenses,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 net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36"/>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Equity in net income of affiliates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36"/>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3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8"/>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36"/>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3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8"/>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6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3,365</w:t>
            </w:r>
          </w:p>
        </w:tc>
        <w:tc>
          <w:tcPr>
            <w:tcW w:w="6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2,856</w:t>
            </w:r>
          </w:p>
        </w:tc>
        <w:tc>
          <w:tcPr>
            <w:tcW w:w="26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36"/>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8"/>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w w:val="95"/>
              </w:rPr>
              <w:t>Total comprehensive income (loss) attributable to ACM Research, Inc.</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Net income (loss) per common shares: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6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0.31</w:t>
            </w:r>
          </w:p>
        </w:tc>
        <w:tc>
          <w:tcPr>
            <w:tcW w:w="26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w w:val="99"/>
              </w:rPr>
              <w:t>Weighted average common stocks outstanding used in computing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12,013,651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2,475,654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6,865,390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2,176,315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14,978,998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3,713,008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6,865,390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3,792,137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described under “Use of Non-GAAP Financial Measures” above, ACM Research presents non-GAAP gross margin, operating income and net income (loss) as supplemental measures to GAAP financial measures, each of which excludes stock-based compensation (“SBC”) from the equivalent GAAP financial line items. The following tables reconcile gross margin, operating income and net income (loss) to the related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5608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sectPr>
      <w:pgSz w:w="11900" w:h="16838" w:orient="portrait"/>
      <w:cols w:equalWidth="0" w:num="1">
        <w:col w:w="11240"/>
      </w:cols>
      <w:pgMar w:left="240" w:top="55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2019-12-29T00:30:16Z</dcterms:created>
  <dcterms:modified xsi:type="dcterms:W3CDTF">2019-12-29T00:30:16Z</dcterms:modified>
</cp:coreProperties>
</file>