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2023, we issued a press release announcing financial results for the first quarter of 2023. The full text of the press release is furnished as Exhibit 99.01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Press Release of ACM Research, Inc. dated May 5, 2023</w:t>
      </w:r>
    </w:p>
    <w:p>
      <w:pPr>
        <w:spacing w:after="0" w:line="27"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2023</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156845</wp:posOffset>
            </wp:positionV>
            <wp:extent cx="76263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6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First Quarter 2023 Results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FREMONT, Calif., May. 05, 2023 (Globe Newswire) – ACM Research, Inc. (“ACM” or the “Company”) (NASDAQ: ACMR), a leading supplier of wafer processing solutions for semiconductor and advanced wafer-level packaging applications, today reported financial results for its first quarter ended March 31, 2023.</w:t>
      </w:r>
    </w:p>
    <w:p>
      <w:pPr>
        <w:spacing w:after="0" w:line="17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“We delivered 76% revenue growth and good profitability. Our team executed well through the relaxed COVID policy, initial impacts from the U.S. advanced node export restrictions, and the Chinese New Year holiday,” said ACM’s President and Chief Executive Officer, Dr. David Wang. “Our results demonstrate the positive trajectory of ACM’s multi-product portfolio strategy. We had good growth from cleaning and increased contribution from our ECP, furnace, and other technologies. I am also pleased with our technical progress and growing customer interest in our new Track and PECVD platforms.”</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Dr. Wang continued, “We are moving forward with our global expansion efforts. We purchased land in South Korea, to serve as a site for a new R&amp;D and production facility, in an effort to further leverage local expertise in the close proximity to large potential customers. The evaluation of two cleaning tools at the U.S. facility of a major U.S.-based semiconductor manufacturer is going well, and we recently leased a facility in Oregon to add to our services and demonstration capabilities in the region. We are excited to begin initial production at our new facility in Lingang, Shanghai in the second half of 2023.”</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Dr. Wang concluded, “As we look to the rest of 2023, we expect growth to continue driven by new products, mature node investments in China, and initial contribution from certain international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74,256</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42,186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74,256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42,186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8,862</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10,930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7,145</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9,867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79" w:lineRule="exact"/>
        <w:rPr>
          <w:sz w:val="20"/>
          <w:szCs w:val="20"/>
          <w:color w:val="auto"/>
        </w:rPr>
      </w:pPr>
    </w:p>
    <w:p>
      <w:pPr>
        <w:ind w:left="340" w:right="18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trading securities.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adjusted to reflect the three-for-one stock split effected in the form of a stock dividend in March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for the first quarter of 2022 was incorrectly reported as ($0.09) on May 6,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maintaining its revenue guidance range of $515 million to $585 million for fiscal year 2023. This expectation is based on ACM management’s current assessment of the continuing impact from current U.S.-China trade policy together with various expected spending scenarios of key customers, supply chain constraints, and the timing of acceptances for first tools under evaluation in the field,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first quarter of 2023 were $89.0 million, up 33.0% from the first quarter of 2022. Total shipments include deliveries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revenue in the quarter and deliveries of first tool systems awaiting customer acceptance for potential revenue in future quarters.</w:t>
      </w:r>
    </w:p>
    <w:p>
      <w:pPr>
        <w:spacing w:after="0" w:line="154" w:lineRule="exact"/>
        <w:rPr>
          <w:rFonts w:ascii="Times New Roman" w:cs="Times New Roman" w:eastAsia="Times New Roman" w:hAnsi="Times New Roman"/>
          <w:sz w:val="18"/>
          <w:szCs w:val="18"/>
          <w:color w:val="auto"/>
        </w:rPr>
      </w:pPr>
    </w:p>
    <w:p>
      <w:pPr>
        <w:jc w:val="both"/>
        <w:ind w:left="340" w:right="1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Purchase Order for SAPS Tool from Major European Global Semiconductor Manufacturer. </w:t>
      </w:r>
      <w:r>
        <w:rPr>
          <w:rFonts w:ascii="Times New Roman" w:cs="Times New Roman" w:eastAsia="Times New Roman" w:hAnsi="Times New Roman"/>
          <w:sz w:val="18"/>
          <w:szCs w:val="18"/>
          <w:color w:val="auto"/>
        </w:rPr>
        <w:t>In February 2023, ACM received a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 order for its Ultra C SAPS-V cleaning tool from a major Europe-based global semiconductor manufacturer. The tool is expected to be shipped to the prospective customer’s European facility in the fourth quarter of 2023.</w:t>
      </w:r>
    </w:p>
    <w:p>
      <w:pPr>
        <w:spacing w:after="0" w:line="170" w:lineRule="exact"/>
        <w:rPr>
          <w:rFonts w:ascii="Times New Roman" w:cs="Times New Roman" w:eastAsia="Times New Roman" w:hAnsi="Times New Roman"/>
          <w:sz w:val="18"/>
          <w:szCs w:val="18"/>
          <w:color w:val="auto"/>
        </w:rPr>
      </w:pPr>
    </w:p>
    <w:p>
      <w:pPr>
        <w:ind w:left="340" w:right="10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First Purchase Order for Ultra C SiC Substrate Cleaning Tool from Leading Chinese Semiconductor Manufacturer. </w:t>
      </w:r>
      <w:r>
        <w:rPr>
          <w:rFonts w:ascii="Times New Roman" w:cs="Times New Roman" w:eastAsia="Times New Roman" w:hAnsi="Times New Roman"/>
          <w:sz w:val="18"/>
          <w:szCs w:val="18"/>
          <w:color w:val="auto"/>
        </w:rPr>
        <w:t>In March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received a purchase order for its Ultra C SiC substrate cleaning tool from a leading Chinese silicon carbide (SiC) substrate manufacturer. The platform leverages ACM’s patented Space Alternated Phase Shift (SAPS) cleaning technology which is designed to achieve more comprehensive cleaning without damage to device features. The tool is expected to be shipped before the end of the third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first quarter of 2023 and comparisons are with the first quarter of 2022.</w:t>
      </w:r>
    </w:p>
    <w:p>
      <w:pPr>
        <w:spacing w:after="0" w:line="223" w:lineRule="exact"/>
        <w:rPr>
          <w:sz w:val="20"/>
          <w:szCs w:val="20"/>
          <w:color w:val="auto"/>
        </w:rPr>
      </w:pPr>
    </w:p>
    <w:p>
      <w:pPr>
        <w:ind w:left="340" w:right="36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$74.3 million, up 76.0%, reflecting continued share gains by our flagship cleaning products and incremental contribution from ECP,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Furnace and other technologies, and Advanced packaging, services and spares.</w:t>
      </w:r>
    </w:p>
    <w:p>
      <w:pPr>
        <w:spacing w:after="0" w:line="154" w:lineRule="exact"/>
        <w:rPr>
          <w:rFonts w:ascii="Times New Roman" w:cs="Times New Roman" w:eastAsia="Times New Roman" w:hAnsi="Times New Roman"/>
          <w:sz w:val="18"/>
          <w:szCs w:val="18"/>
          <w:color w:val="auto"/>
        </w:rPr>
      </w:pPr>
    </w:p>
    <w:p>
      <w:pPr>
        <w:ind w:left="340" w:right="10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53.8%, up from 46.7%. Non-GAAP gross margin, which excludes stock-based compensation, was 54.0%, up from 46.9%.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the Company’s long-term business model due to favorable product mix. The Company expects gross margin to vary from period to period due to a variety of factors, such as product mix, currency impacts and sales volume.</w:t>
      </w:r>
    </w:p>
    <w:p>
      <w:pPr>
        <w:spacing w:after="0" w:line="170" w:lineRule="exact"/>
        <w:rPr>
          <w:rFonts w:ascii="Times New Roman" w:cs="Times New Roman" w:eastAsia="Times New Roman" w:hAnsi="Times New Roman"/>
          <w:sz w:val="18"/>
          <w:szCs w:val="18"/>
          <w:color w:val="auto"/>
        </w:rPr>
      </w:pPr>
    </w:p>
    <w:p>
      <w:pPr>
        <w:ind w:left="340" w:right="6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$31.1 million, an increase of 7.4%. Non-GAAP operating expenses, which exclude the effect of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$29.2 million, up 5.2%. Operating expenses as a percent of revenue decreased to 41.9% from 68.7%. Non-GAAP operating expenses as a percent of revenue decreased to 39.3% from 65.7%.</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$8.9 million, compared to an operating loss of $9.3 million. Non-GAAP operating income, which excludes the effect of stock-based compensation, was $10.9 million, compared to a non-GAAP operating loss of $7.9 million.</w:t>
      </w:r>
    </w:p>
    <w:p>
      <w:pPr>
        <w:spacing w:after="0" w:line="154" w:lineRule="exact"/>
        <w:rPr>
          <w:rFonts w:ascii="Times New Roman" w:cs="Times New Roman" w:eastAsia="Times New Roman" w:hAnsi="Times New Roman"/>
          <w:sz w:val="18"/>
          <w:szCs w:val="18"/>
          <w:color w:val="auto"/>
        </w:rPr>
      </w:pPr>
    </w:p>
    <w:p>
      <w:pPr>
        <w:ind w:left="340" w:right="1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trading securities </w:t>
      </w:r>
      <w:r>
        <w:rPr>
          <w:rFonts w:ascii="Times New Roman" w:cs="Times New Roman" w:eastAsia="Times New Roman" w:hAnsi="Times New Roman"/>
          <w:sz w:val="18"/>
          <w:szCs w:val="18"/>
          <w:color w:val="auto"/>
        </w:rPr>
        <w:t>was $0.7 million. The loss reflects the change in market value of the indirect investment by ACM Shanghai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STAR Market IPO shares of Semiconductor Manufacturing International Corporation (“SMIC”). The value is marked-to-market quarterly and is excluded in the non-GAAP financial metrics.</w:t>
      </w:r>
    </w:p>
    <w:p>
      <w:pPr>
        <w:spacing w:after="0" w:line="170" w:lineRule="exact"/>
        <w:rPr>
          <w:rFonts w:ascii="Times New Roman" w:cs="Times New Roman" w:eastAsia="Times New Roman" w:hAnsi="Times New Roman"/>
          <w:sz w:val="18"/>
          <w:szCs w:val="18"/>
          <w:color w:val="auto"/>
        </w:rPr>
      </w:pPr>
    </w:p>
    <w:p>
      <w:pPr>
        <w:ind w:left="340" w:right="1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Realized gain from sale of trading securities </w:t>
      </w:r>
      <w:r>
        <w:rPr>
          <w:rFonts w:ascii="Times New Roman" w:cs="Times New Roman" w:eastAsia="Times New Roman" w:hAnsi="Times New Roman"/>
          <w:sz w:val="18"/>
          <w:szCs w:val="18"/>
          <w:color w:val="auto"/>
        </w:rPr>
        <w:t>was $4.0 million due to the sale of a portion of ACM Shanghai’s shares of SMIC, which generated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$11.1 million.</w:t>
      </w:r>
    </w:p>
    <w:p>
      <w:pPr>
        <w:spacing w:after="0" w:line="154" w:lineRule="exact"/>
        <w:rPr>
          <w:rFonts w:ascii="Times New Roman" w:cs="Times New Roman" w:eastAsia="Times New Roman" w:hAnsi="Times New Roman"/>
          <w:sz w:val="18"/>
          <w:szCs w:val="18"/>
          <w:color w:val="auto"/>
        </w:rPr>
      </w:pPr>
    </w:p>
    <w:p>
      <w:pPr>
        <w:ind w:left="340" w:right="10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$2.9 million, compared to an income tax benefit of $4.0 million. As a result of a change in Section 174 of the U.S.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as amended, that became effective on January 1, 2022, the Company’s effective tax rate has increased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due primarily to a new requirement to capitalize and amortize previously deductible research and experimental expenses.</w:t>
      </w:r>
    </w:p>
    <w:p>
      <w:pPr>
        <w:spacing w:after="0" w:line="170" w:lineRule="exact"/>
        <w:rPr>
          <w:rFonts w:ascii="Times New Roman" w:cs="Times New Roman" w:eastAsia="Times New Roman" w:hAnsi="Times New Roman"/>
          <w:sz w:val="18"/>
          <w:szCs w:val="18"/>
          <w:color w:val="auto"/>
        </w:rPr>
      </w:pPr>
    </w:p>
    <w:p>
      <w:pPr>
        <w:ind w:left="340" w:right="1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$7.1 million, compared to a net loss of $5.8 million. Non-GAAP net income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Research, Inc., which excludes the effect of stock-based compensation and unrealized loss on trading securities, was $9.9 million, as compared to a non-GAAP net loss of $0.6 million.</w:t>
      </w:r>
    </w:p>
    <w:p>
      <w:pPr>
        <w:spacing w:after="0" w:line="170" w:lineRule="exact"/>
        <w:rPr>
          <w:rFonts w:ascii="Times New Roman" w:cs="Times New Roman" w:eastAsia="Times New Roman" w:hAnsi="Times New Roman"/>
          <w:sz w:val="18"/>
          <w:szCs w:val="18"/>
          <w:color w:val="auto"/>
        </w:rPr>
      </w:pPr>
    </w:p>
    <w:p>
      <w:pPr>
        <w:jc w:val="both"/>
        <w:ind w:left="340" w:right="1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$0.11, compared to a net loss of $0.10. Non-GAAP net income per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which excludes the effect of stock-based compensation and unrealized loss on trading securities, was $0.15, compared to a non-GAAP net loss per diluted share of $0.01.</w:t>
      </w:r>
    </w:p>
    <w:p>
      <w:pPr>
        <w:spacing w:after="0" w:line="345"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ind w:left="340" w:righ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$260.4 million at March 31, 2023, versus $248.0 million at December 31, 2022. Cash and cash equivalents,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cash and time deposits, were $381.7 million at March 31, 2023, versus $420.9 million at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Friday, May 5, 2023,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https://register.vevent.com/register/BI87673465a34d43ce843a1e8c7ed05148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0" w:lineRule="exact"/>
        <w:rPr>
          <w:sz w:val="20"/>
          <w:szCs w:val="20"/>
          <w:color w:val="auto"/>
        </w:rPr>
      </w:pPr>
    </w:p>
    <w:p>
      <w:pPr>
        <w:ind w:firstLine="8"/>
        <w:spacing w:after="0" w:line="266" w:lineRule="auto"/>
        <w:tabs>
          <w:tab w:leader="none" w:pos="1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SAPS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w w:val="97"/>
              </w:rPr>
              <w:t>yujia@blueshirtgroup.com</w:t>
            </w:r>
          </w:p>
        </w:tc>
      </w:tr>
      <w:tr>
        <w:trPr>
          <w:trHeight w:val="391"/>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w w:val="99"/>
              </w:rPr>
              <w:t>gary@blueshirtgroup.com</w:t>
            </w:r>
          </w:p>
        </w:tc>
      </w:tr>
    </w:tbl>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4380" w:type="dxa"/>
            <w:vAlign w:val="bottom"/>
            <w:gridSpan w:val="5"/>
          </w:tcPr>
          <w:p>
            <w:pPr>
              <w:ind w:left="30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5"/>
          </w:tcPr>
          <w:p>
            <w:pPr>
              <w:ind w:left="86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vMerge w:val="restart"/>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w w:val="99"/>
              </w:rPr>
              <w:t>(In thousands, except for par value)</w:t>
            </w:r>
          </w:p>
        </w:tc>
        <w:tc>
          <w:tcPr>
            <w:tcW w:w="0" w:type="dxa"/>
            <w:vAlign w:val="bottom"/>
          </w:tcPr>
          <w:p>
            <w:pPr>
              <w:spacing w:after="0"/>
              <w:rPr>
                <w:sz w:val="1"/>
                <w:szCs w:val="1"/>
                <w:color w:val="auto"/>
              </w:rPr>
            </w:pPr>
          </w:p>
        </w:tc>
      </w:tr>
      <w:tr>
        <w:trPr>
          <w:trHeight w:val="198"/>
        </w:trPr>
        <w:tc>
          <w:tcPr>
            <w:tcW w:w="522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260,387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247,951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70,492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182,936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473,299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393,172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993,811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963,806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149,904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82,875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17,459</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50,265</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6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1,312,751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tcPr>
          <w:p>
            <w:pPr>
              <w:ind w:left="32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18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56,745</w:t>
            </w:r>
          </w:p>
        </w:tc>
        <w:tc>
          <w:tcPr>
            <w:tcW w:w="1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153,773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FIN-48 payable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450,211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423,329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604,089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94,426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(32,768)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(40,546)</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ACM Research, Inc. stockholders’ equity</w:t>
            </w:r>
          </w:p>
        </w:tc>
        <w:tc>
          <w:tcPr>
            <w:tcW w:w="30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691,927</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832,705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812,171</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0"/>
        </w:trPr>
        <w:tc>
          <w:tcPr>
            <w:tcW w:w="5220" w:type="dxa"/>
            <w:vAlign w:val="bottom"/>
          </w:tcPr>
          <w:p>
            <w:pPr>
              <w:spacing w:after="0"/>
              <w:rPr>
                <w:sz w:val="24"/>
                <w:szCs w:val="24"/>
                <w:color w:val="auto"/>
              </w:rPr>
            </w:pPr>
          </w:p>
        </w:tc>
        <w:tc>
          <w:tcPr>
            <w:tcW w:w="3060" w:type="dxa"/>
            <w:vAlign w:val="bottom"/>
          </w:tcPr>
          <w:p>
            <w:pPr>
              <w:jc w:val="right"/>
              <w:ind w:right="2455"/>
              <w:spacing w:after="0"/>
              <w:rPr>
                <w:sz w:val="20"/>
                <w:szCs w:val="20"/>
                <w:color w:val="auto"/>
              </w:rPr>
            </w:pPr>
            <w:r>
              <w:rPr>
                <w:rFonts w:ascii="Times New Roman" w:cs="Times New Roman" w:eastAsia="Times New Roman" w:hAnsi="Times New Roman"/>
                <w:sz w:val="14"/>
                <w:szCs w:val="14"/>
                <w:color w:val="auto"/>
              </w:rPr>
              <w:t>- 5 -</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2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ACM RESEARCH, INC.</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r>
      <w:tr>
        <w:trPr>
          <w:trHeight w:val="196"/>
        </w:trPr>
        <w:tc>
          <w:tcPr>
            <w:tcW w:w="8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3"/>
          </w:tcPr>
          <w:p>
            <w:pPr>
              <w:jc w:val="center"/>
              <w:ind w:left="33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w:t>
            </w:r>
          </w:p>
        </w:tc>
      </w:tr>
      <w:tr>
        <w:trPr>
          <w:trHeight w:val="236"/>
        </w:trPr>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per share data)</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17,346</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4,949</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(loss) operations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trading securities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trading securities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loss in net loss of affiliates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4,011</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 and redeemable non-controlling interests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(3,916)</w:t>
            </w: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 per share of common stock:</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59,736,764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58,827,390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r>
        <w:trPr>
          <w:trHeight w:val="217"/>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5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65,058,777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58,827,390</w:t>
            </w:r>
          </w:p>
        </w:tc>
      </w:tr>
      <w:tr>
        <w:trPr>
          <w:trHeight w:val="557"/>
        </w:trPr>
        <w:tc>
          <w:tcPr>
            <w:tcW w:w="3100" w:type="dxa"/>
            <w:vAlign w:val="bottom"/>
          </w:tcPr>
          <w:p>
            <w:pPr>
              <w:spacing w:after="0"/>
              <w:rPr>
                <w:sz w:val="24"/>
                <w:szCs w:val="24"/>
                <w:color w:val="auto"/>
              </w:rPr>
            </w:pPr>
          </w:p>
        </w:tc>
        <w:tc>
          <w:tcPr>
            <w:tcW w:w="5580" w:type="dxa"/>
            <w:vAlign w:val="bottom"/>
          </w:tcPr>
          <w:p>
            <w:pPr>
              <w:jc w:val="right"/>
              <w:ind w:right="2868"/>
              <w:spacing w:after="0"/>
              <w:rPr>
                <w:sz w:val="20"/>
                <w:szCs w:val="20"/>
                <w:color w:val="auto"/>
              </w:rPr>
            </w:pPr>
            <w:r>
              <w:rPr>
                <w:rFonts w:ascii="Times New Roman" w:cs="Times New Roman" w:eastAsia="Times New Roman" w:hAnsi="Times New Roman"/>
                <w:sz w:val="14"/>
                <w:szCs w:val="14"/>
                <w:color w:val="auto"/>
              </w:rPr>
              <w:t>- 6 -</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by Equipment Type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36,614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D0D0D"/>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D0D0D"/>
              </w:rPr>
              <w:t>26,033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D0D0D"/>
              </w:rPr>
              <w:t>26,598</w:t>
            </w: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D0D0D"/>
              </w:rPr>
              <w:t>12,248</w:t>
            </w:r>
          </w:p>
        </w:tc>
        <w:tc>
          <w:tcPr>
            <w:tcW w:w="8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11,044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3,905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74,256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D0D0D"/>
              </w:rPr>
              <w:t>42,186</w:t>
            </w: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Wet-cleaning and other front-end processing tools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D0D0D"/>
              </w:rPr>
              <w:t>56,382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D0D0D"/>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D0D0D"/>
              </w:rPr>
              <w:t>31,702</w:t>
            </w:r>
          </w:p>
        </w:tc>
        <w:tc>
          <w:tcPr>
            <w:tcW w:w="8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other processing tools, services and spares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17,874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10,484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Front-End and Back-End</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74,256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D0D0D"/>
              </w:rPr>
              <w:t>42,186</w:t>
            </w:r>
          </w:p>
        </w:tc>
        <w:tc>
          <w:tcPr>
            <w:tcW w:w="8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19"/>
                <w:szCs w:val="19"/>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D0D0D"/>
              </w:rPr>
              <w:t>72,458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42,130</w:t>
            </w:r>
          </w:p>
        </w:tc>
        <w:tc>
          <w:tcPr>
            <w:tcW w:w="8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1,798</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Region</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74,256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42,186</w:t>
            </w: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9"/>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760" w:type="dxa"/>
            <w:vAlign w:val="bottom"/>
            <w:gridSpan w:val="2"/>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9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Actual</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SBC</w:t>
            </w:r>
          </w:p>
        </w:tc>
        <w:tc>
          <w:tcPr>
            <w:tcW w:w="16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80" w:type="dxa"/>
            <w:vAlign w:val="bottom"/>
          </w:tcPr>
          <w:p>
            <w:pPr>
              <w:spacing w:after="0"/>
              <w:rPr>
                <w:sz w:val="18"/>
                <w:szCs w:val="18"/>
                <w:color w:val="auto"/>
              </w:rPr>
            </w:pP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0" w:type="dxa"/>
            <w:vAlign w:val="bottom"/>
          </w:tcPr>
          <w:p>
            <w:pPr>
              <w:spacing w:after="0"/>
              <w:rPr>
                <w:sz w:val="18"/>
                <w:szCs w:val="18"/>
                <w:color w:val="auto"/>
              </w:rPr>
            </w:pPr>
          </w:p>
        </w:tc>
        <w:tc>
          <w:tcPr>
            <w:tcW w:w="8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4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30"/>
        </w:trPr>
        <w:tc>
          <w:tcPr>
            <w:tcW w:w="4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1"/>
                <w:szCs w:val="11"/>
                <w:color w:val="auto"/>
              </w:rPr>
            </w:pPr>
          </w:p>
        </w:tc>
        <w:tc>
          <w:tcPr>
            <w:tcW w:w="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9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74,256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42,186</w:t>
            </w: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(34,270)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39,986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16"/>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(14,029)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(31,124)</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trading securities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w:t>
            </w:r>
          </w:p>
        </w:tc>
        <w:tc>
          <w:tcPr>
            <w:tcW w:w="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9,867</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598"/>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- 7 -</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2023-05-05T06:03:27Z</dcterms:created>
  <dcterms:modified xsi:type="dcterms:W3CDTF">2023-05-05T06:03:27Z</dcterms:modified>
</cp:coreProperties>
</file>