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5"/>
          <w:szCs w:val="15"/>
          <w:b w:val="1"/>
          <w:bCs w:val="1"/>
          <w:color w:val="E31937"/>
        </w:rPr>
        <w:t>As filed with the Securities and Exchange Commission on December 10, 2018</w:t>
      </w:r>
    </w:p>
    <w:p>
      <w:pPr>
        <w:spacing w:after="0" w:line="56" w:lineRule="exact"/>
        <w:rPr>
          <w:sz w:val="24"/>
          <w:szCs w:val="24"/>
          <w:color w:val="auto"/>
        </w:rPr>
      </w:pPr>
    </w:p>
    <w:p>
      <w:pPr>
        <w:ind w:left="922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S-3</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REGISTRATION STATEMENT UNDER THE SECURITIES ACT OF 1933</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ACM RESEARCH,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449" w:right="239" w:bottom="1440" w:gutter="0" w:footer="0" w:header="0"/>
        </w:sectPr>
      </w:pPr>
    </w:p>
    <w:p>
      <w:pPr>
        <w:spacing w:after="0" w:line="138"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920"/>
        <w:spacing w:after="0"/>
        <w:rPr>
          <w:sz w:val="20"/>
          <w:szCs w:val="20"/>
          <w:color w:val="auto"/>
        </w:rPr>
      </w:pPr>
      <w:r>
        <w:rPr>
          <w:rFonts w:ascii="Arial" w:cs="Arial" w:eastAsia="Arial" w:hAnsi="Arial"/>
          <w:sz w:val="16"/>
          <w:szCs w:val="16"/>
          <w:i w:val="1"/>
          <w:iCs w:val="1"/>
          <w:color w:val="auto"/>
        </w:rPr>
        <w:t>(State or other jurisdiction of incorporation or organization</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1380"/>
        <w:spacing w:after="0"/>
        <w:rPr>
          <w:sz w:val="20"/>
          <w:szCs w:val="20"/>
          <w:color w:val="auto"/>
        </w:rPr>
      </w:pPr>
      <w:r>
        <w:rPr>
          <w:rFonts w:ascii="Arial" w:cs="Arial" w:eastAsia="Arial" w:hAnsi="Arial"/>
          <w:sz w:val="18"/>
          <w:szCs w:val="18"/>
          <w:b w:val="1"/>
          <w:bCs w:val="1"/>
          <w:color w:val="auto"/>
        </w:rPr>
        <w:t>94-3290283</w:t>
      </w:r>
    </w:p>
    <w:p>
      <w:pPr>
        <w:spacing w:after="0" w:line="21" w:lineRule="exact"/>
        <w:rPr>
          <w:sz w:val="24"/>
          <w:szCs w:val="24"/>
          <w:color w:val="auto"/>
        </w:rPr>
      </w:pPr>
    </w:p>
    <w:p>
      <w:pPr>
        <w:jc w:val="center"/>
        <w:ind w:right="1380"/>
        <w:spacing w:after="0"/>
        <w:rPr>
          <w:sz w:val="20"/>
          <w:szCs w:val="20"/>
          <w:color w:val="auto"/>
        </w:rPr>
      </w:pPr>
      <w:r>
        <w:rPr>
          <w:rFonts w:ascii="Arial" w:cs="Arial" w:eastAsia="Arial" w:hAnsi="Arial"/>
          <w:sz w:val="16"/>
          <w:szCs w:val="16"/>
          <w:i w:val="1"/>
          <w:iCs w:val="1"/>
          <w:color w:val="auto"/>
        </w:rPr>
        <w:t>(I.R.S. Employer Identification Number)</w:t>
      </w:r>
    </w:p>
    <w:p>
      <w:pPr>
        <w:spacing w:after="0" w:line="168" w:lineRule="exact"/>
        <w:rPr>
          <w:sz w:val="24"/>
          <w:szCs w:val="24"/>
          <w:color w:val="auto"/>
        </w:rPr>
      </w:pPr>
    </w:p>
    <w:p>
      <w:pPr>
        <w:sectPr>
          <w:pgSz w:w="11900" w:h="16838" w:orient="portrait"/>
          <w:cols w:equalWidth="0" w:num="2">
            <w:col w:w="6500" w:space="720"/>
            <w:col w:w="4200"/>
          </w:cols>
          <w:pgMar w:left="240" w:top="449"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42307 Osgood Road, Suite I, Fremont, California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(510) 445-3700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including zip code, and telephone number, including area code, of registrant’s principal executive offices)</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H. Wang</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President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42307 Osgood Road, Suite I, Fremont, California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(510) 445-3700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(Name, address, including zip code, and telephone number, including area code, of agent for service)</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L. Johnson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Bella Zaslavsky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K&amp;L Gates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Lincoln Street, Boston, Massachusetts 02111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261-3100</w:t>
      </w:r>
    </w:p>
    <w:p>
      <w:pPr>
        <w:spacing w:after="0" w:line="14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this registration statement is declared effective.</w:t>
      </w:r>
    </w:p>
    <w:p>
      <w:pPr>
        <w:spacing w:after="0" w:line="15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13"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24" w:lineRule="exact"/>
        <w:rPr>
          <w:sz w:val="24"/>
          <w:szCs w:val="24"/>
          <w:color w:val="auto"/>
        </w:rPr>
      </w:pPr>
    </w:p>
    <w:p>
      <w:pPr>
        <w:jc w:val="both"/>
        <w:ind w:right="20"/>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24" w:lineRule="exact"/>
        <w:rPr>
          <w:sz w:val="24"/>
          <w:szCs w:val="24"/>
          <w:color w:val="auto"/>
        </w:rPr>
      </w:pPr>
    </w:p>
    <w:p>
      <w:pPr>
        <w:jc w:val="both"/>
        <w:ind w:right="20"/>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24" w:lineRule="exact"/>
        <w:rPr>
          <w:sz w:val="24"/>
          <w:szCs w:val="24"/>
          <w:color w:val="auto"/>
        </w:rPr>
      </w:pPr>
    </w:p>
    <w:p>
      <w:pPr>
        <w:jc w:val="both"/>
        <w:ind w:right="20"/>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on filing with the Commission pursuant to Rule 462(e) under the Securities Act, check the following box. </w:t>
      </w:r>
      <w:r>
        <w:rPr>
          <w:rFonts w:ascii="MS PGothic" w:cs="MS PGothic" w:eastAsia="MS PGothic" w:hAnsi="MS PGothic"/>
          <w:sz w:val="18"/>
          <w:szCs w:val="18"/>
          <w:color w:val="auto"/>
        </w:rPr>
        <w:t>☐</w:t>
      </w:r>
    </w:p>
    <w:p>
      <w:pPr>
        <w:spacing w:after="0" w:line="124"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24"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49" w:right="239" w:bottom="1440" w:gutter="0" w:footer="0" w:header="0"/>
          <w:type w:val="continuous"/>
        </w:sectPr>
      </w:pPr>
    </w:p>
    <w:p>
      <w:pPr>
        <w:spacing w:after="0" w:line="94" w:lineRule="exact"/>
        <w:rPr>
          <w:sz w:val="24"/>
          <w:szCs w:val="24"/>
          <w:color w:val="auto"/>
        </w:rPr>
      </w:pPr>
    </w:p>
    <w:p>
      <w:pPr>
        <w:ind w:left="34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81" w:lineRule="exact"/>
        <w:rPr>
          <w:sz w:val="24"/>
          <w:szCs w:val="24"/>
          <w:color w:val="auto"/>
        </w:rPr>
      </w:pPr>
    </w:p>
    <w:p>
      <w:pPr>
        <w:sectPr>
          <w:pgSz w:w="11900" w:h="16838" w:orient="portrait"/>
          <w:cols w:equalWidth="0" w:num="2">
            <w:col w:w="4960" w:space="720"/>
            <w:col w:w="5740"/>
          </w:cols>
          <w:pgMar w:left="240" w:top="449" w:right="239" w:bottom="1440" w:gutter="0" w:footer="0" w:header="0"/>
          <w:type w:val="continuous"/>
        </w:sectPr>
      </w:pPr>
    </w:p>
    <w:p>
      <w:pPr>
        <w:ind w:left="34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jc w:val="center"/>
        <w:ind w:right="3620"/>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81" w:lineRule="exact"/>
        <w:rPr>
          <w:sz w:val="24"/>
          <w:szCs w:val="24"/>
          <w:color w:val="auto"/>
        </w:rPr>
      </w:pPr>
    </w:p>
    <w:p>
      <w:pPr>
        <w:sectPr>
          <w:pgSz w:w="11900" w:h="16838" w:orient="portrait"/>
          <w:cols w:equalWidth="0" w:num="2">
            <w:col w:w="4960" w:space="720"/>
            <w:col w:w="5740"/>
          </w:cols>
          <w:pgMar w:left="240" w:top="449" w:right="239" w:bottom="1440" w:gutter="0" w:footer="0" w:header="0"/>
          <w:type w:val="continuous"/>
        </w:sectPr>
      </w:pPr>
    </w:p>
    <w:p>
      <w:pPr>
        <w:ind w:left="56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449" w:right="239" w:bottom="1440" w:gutter="0" w:footer="0" w:header="0"/>
          <w:type w:val="continuous"/>
        </w:sectPr>
      </w:pPr>
    </w:p>
    <w:p>
      <w:pPr>
        <w:spacing w:after="0" w:line="213"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CALCULATION OF REGISTRATION FEE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9"/>
              </w:rPr>
              <w:t>Proposed Maximum</w:t>
            </w:r>
          </w:p>
        </w:tc>
        <w:tc>
          <w:tcPr>
            <w:tcW w:w="160" w:type="dxa"/>
            <w:vAlign w:val="bottom"/>
          </w:tcPr>
          <w:p>
            <w:pPr>
              <w:spacing w:after="0"/>
              <w:rPr>
                <w:sz w:val="14"/>
                <w:szCs w:val="14"/>
                <w:color w:val="auto"/>
              </w:rPr>
            </w:pPr>
          </w:p>
        </w:tc>
        <w:tc>
          <w:tcPr>
            <w:tcW w:w="1820" w:type="dxa"/>
            <w:vAlign w:val="bottom"/>
            <w:gridSpan w:val="3"/>
          </w:tcPr>
          <w:p>
            <w:pPr>
              <w:jc w:val="center"/>
              <w:ind w:right="480"/>
              <w:spacing w:after="0"/>
              <w:rPr>
                <w:sz w:val="20"/>
                <w:szCs w:val="20"/>
                <w:color w:val="auto"/>
              </w:rPr>
            </w:pPr>
            <w:r>
              <w:rPr>
                <w:rFonts w:ascii="Arial" w:cs="Arial" w:eastAsia="Arial" w:hAnsi="Arial"/>
                <w:sz w:val="15"/>
                <w:szCs w:val="15"/>
                <w:b w:val="1"/>
                <w:bCs w:val="1"/>
                <w:color w:val="auto"/>
                <w:w w:val="91"/>
              </w:rPr>
              <w:t>Proposed Maximum</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left="126"/>
              <w:spacing w:after="0" w:line="162" w:lineRule="exact"/>
              <w:rPr>
                <w:sz w:val="20"/>
                <w:szCs w:val="20"/>
                <w:color w:val="auto"/>
              </w:rPr>
            </w:pPr>
            <w:r>
              <w:rPr>
                <w:rFonts w:ascii="Arial" w:cs="Arial" w:eastAsia="Arial" w:hAnsi="Arial"/>
                <w:sz w:val="15"/>
                <w:szCs w:val="15"/>
                <w:b w:val="1"/>
                <w:bCs w:val="1"/>
                <w:color w:val="auto"/>
                <w:w w:val="88"/>
              </w:rPr>
              <w:t>Amount to be</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2"/>
          </w:tcPr>
          <w:p>
            <w:pPr>
              <w:jc w:val="center"/>
              <w:ind w:right="200"/>
              <w:spacing w:after="0" w:line="162" w:lineRule="exact"/>
              <w:rPr>
                <w:sz w:val="20"/>
                <w:szCs w:val="20"/>
                <w:color w:val="auto"/>
              </w:rPr>
            </w:pPr>
            <w:r>
              <w:rPr>
                <w:rFonts w:ascii="Arial" w:cs="Arial" w:eastAsia="Arial" w:hAnsi="Arial"/>
                <w:sz w:val="15"/>
                <w:szCs w:val="15"/>
                <w:b w:val="1"/>
                <w:bCs w:val="1"/>
                <w:color w:val="auto"/>
                <w:w w:val="90"/>
              </w:rPr>
              <w:t>Offering Price Per</w:t>
            </w:r>
          </w:p>
        </w:tc>
        <w:tc>
          <w:tcPr>
            <w:tcW w:w="160" w:type="dxa"/>
            <w:vAlign w:val="bottom"/>
          </w:tcPr>
          <w:p>
            <w:pPr>
              <w:spacing w:after="0"/>
              <w:rPr>
                <w:sz w:val="14"/>
                <w:szCs w:val="14"/>
                <w:color w:val="auto"/>
              </w:rPr>
            </w:pPr>
          </w:p>
        </w:tc>
        <w:tc>
          <w:tcPr>
            <w:tcW w:w="1820" w:type="dxa"/>
            <w:vAlign w:val="bottom"/>
            <w:gridSpan w:val="3"/>
          </w:tcPr>
          <w:p>
            <w:pPr>
              <w:jc w:val="center"/>
              <w:ind w:right="480"/>
              <w:spacing w:after="0" w:line="162" w:lineRule="exact"/>
              <w:rPr>
                <w:sz w:val="20"/>
                <w:szCs w:val="20"/>
                <w:color w:val="auto"/>
              </w:rPr>
            </w:pPr>
            <w:r>
              <w:rPr>
                <w:rFonts w:ascii="Arial" w:cs="Arial" w:eastAsia="Arial" w:hAnsi="Arial"/>
                <w:sz w:val="15"/>
                <w:szCs w:val="15"/>
                <w:b w:val="1"/>
                <w:bCs w:val="1"/>
                <w:color w:val="auto"/>
                <w:w w:val="89"/>
              </w:rPr>
              <w:t>Aggregate Offering</w:t>
            </w:r>
          </w:p>
        </w:tc>
        <w:tc>
          <w:tcPr>
            <w:tcW w:w="1440" w:type="dxa"/>
            <w:vAlign w:val="bottom"/>
            <w:gridSpan w:val="3"/>
          </w:tcPr>
          <w:p>
            <w:pPr>
              <w:jc w:val="center"/>
              <w:ind w:right="360"/>
              <w:spacing w:after="0" w:line="162" w:lineRule="exact"/>
              <w:rPr>
                <w:sz w:val="20"/>
                <w:szCs w:val="20"/>
                <w:color w:val="auto"/>
              </w:rPr>
            </w:pPr>
            <w:r>
              <w:rPr>
                <w:rFonts w:ascii="Arial" w:cs="Arial" w:eastAsia="Arial" w:hAnsi="Arial"/>
                <w:sz w:val="15"/>
                <w:szCs w:val="15"/>
                <w:b w:val="1"/>
                <w:bCs w:val="1"/>
                <w:color w:val="auto"/>
                <w:w w:val="90"/>
              </w:rPr>
              <w:t>Amount of</w:t>
            </w:r>
          </w:p>
        </w:tc>
        <w:tc>
          <w:tcPr>
            <w:tcW w:w="0" w:type="dxa"/>
            <w:vAlign w:val="bottom"/>
          </w:tcPr>
          <w:p>
            <w:pPr>
              <w:spacing w:after="0"/>
              <w:rPr>
                <w:sz w:val="1"/>
                <w:szCs w:val="1"/>
                <w:color w:val="auto"/>
              </w:rPr>
            </w:pPr>
          </w:p>
        </w:tc>
      </w:tr>
      <w:tr>
        <w:trPr>
          <w:trHeight w:val="175"/>
        </w:trPr>
        <w:tc>
          <w:tcPr>
            <w:tcW w:w="4580" w:type="dxa"/>
            <w:vAlign w:val="bottom"/>
            <w:gridSpan w:val="2"/>
          </w:tcPr>
          <w:p>
            <w:pPr>
              <w:spacing w:after="0"/>
              <w:rPr>
                <w:sz w:val="20"/>
                <w:szCs w:val="20"/>
                <w:color w:val="auto"/>
              </w:rPr>
            </w:pPr>
            <w:r>
              <w:rPr>
                <w:rFonts w:ascii="Arial" w:cs="Arial" w:eastAsia="Arial" w:hAnsi="Arial"/>
                <w:sz w:val="15"/>
                <w:szCs w:val="15"/>
                <w:b w:val="1"/>
                <w:bCs w:val="1"/>
                <w:color w:val="auto"/>
              </w:rPr>
              <w:t>Title of Each Class of Securities to be Registered</w:t>
            </w:r>
          </w:p>
        </w:tc>
        <w:tc>
          <w:tcPr>
            <w:tcW w:w="180" w:type="dxa"/>
            <w:vAlign w:val="bottom"/>
          </w:tcPr>
          <w:p>
            <w:pPr>
              <w:spacing w:after="0"/>
              <w:rPr>
                <w:sz w:val="15"/>
                <w:szCs w:val="15"/>
                <w:color w:val="auto"/>
              </w:rPr>
            </w:pPr>
          </w:p>
        </w:tc>
        <w:tc>
          <w:tcPr>
            <w:tcW w:w="1180" w:type="dxa"/>
            <w:vAlign w:val="bottom"/>
          </w:tcPr>
          <w:p>
            <w:pPr>
              <w:jc w:val="center"/>
              <w:ind w:left="106"/>
              <w:spacing w:after="0"/>
              <w:rPr>
                <w:sz w:val="20"/>
                <w:szCs w:val="20"/>
                <w:color w:val="auto"/>
              </w:rPr>
            </w:pPr>
            <w:r>
              <w:rPr>
                <w:rFonts w:ascii="Arial" w:cs="Arial" w:eastAsia="Arial" w:hAnsi="Arial"/>
                <w:sz w:val="15"/>
                <w:szCs w:val="15"/>
                <w:b w:val="1"/>
                <w:bCs w:val="1"/>
                <w:color w:val="auto"/>
                <w:w w:val="87"/>
              </w:rPr>
              <w:t>Registered</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5"/>
              </w:rPr>
              <w:t>Unit</w:t>
            </w:r>
          </w:p>
        </w:tc>
        <w:tc>
          <w:tcPr>
            <w:tcW w:w="160" w:type="dxa"/>
            <w:vAlign w:val="bottom"/>
          </w:tcPr>
          <w:p>
            <w:pPr>
              <w:spacing w:after="0"/>
              <w:rPr>
                <w:sz w:val="15"/>
                <w:szCs w:val="15"/>
                <w:color w:val="auto"/>
              </w:rPr>
            </w:pPr>
          </w:p>
        </w:tc>
        <w:tc>
          <w:tcPr>
            <w:tcW w:w="1820" w:type="dxa"/>
            <w:vAlign w:val="bottom"/>
            <w:gridSpan w:val="3"/>
          </w:tcPr>
          <w:p>
            <w:pPr>
              <w:jc w:val="center"/>
              <w:ind w:right="480"/>
              <w:spacing w:after="0"/>
              <w:rPr>
                <w:sz w:val="20"/>
                <w:szCs w:val="20"/>
                <w:color w:val="auto"/>
              </w:rPr>
            </w:pPr>
            <w:r>
              <w:rPr>
                <w:rFonts w:ascii="Arial" w:cs="Arial" w:eastAsia="Arial" w:hAnsi="Arial"/>
                <w:sz w:val="15"/>
                <w:szCs w:val="15"/>
                <w:b w:val="1"/>
                <w:bCs w:val="1"/>
                <w:color w:val="auto"/>
                <w:w w:val="92"/>
              </w:rPr>
              <w:t>Price</w:t>
            </w:r>
          </w:p>
        </w:tc>
        <w:tc>
          <w:tcPr>
            <w:tcW w:w="1440" w:type="dxa"/>
            <w:vAlign w:val="bottom"/>
            <w:gridSpan w:val="3"/>
          </w:tcPr>
          <w:p>
            <w:pPr>
              <w:jc w:val="center"/>
              <w:ind w:right="340"/>
              <w:spacing w:after="0"/>
              <w:rPr>
                <w:sz w:val="20"/>
                <w:szCs w:val="20"/>
                <w:color w:val="auto"/>
              </w:rPr>
            </w:pPr>
            <w:r>
              <w:rPr>
                <w:rFonts w:ascii="Arial" w:cs="Arial" w:eastAsia="Arial" w:hAnsi="Arial"/>
                <w:sz w:val="15"/>
                <w:szCs w:val="15"/>
                <w:b w:val="1"/>
                <w:bCs w:val="1"/>
                <w:color w:val="auto"/>
                <w:w w:val="90"/>
              </w:rPr>
              <w:t>Registration Fee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par value $0.0001 per share</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Preferred stock, par value $0.0001 per share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860" w:type="dxa"/>
            <w:vAlign w:val="bottom"/>
            <w:gridSpan w:val="3"/>
          </w:tcPr>
          <w:p>
            <w:pPr>
              <w:jc w:val="right"/>
              <w:ind w:right="3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Warrants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860" w:type="dxa"/>
            <w:vAlign w:val="bottom"/>
            <w:gridSpan w:val="3"/>
          </w:tcPr>
          <w:p>
            <w:pPr>
              <w:jc w:val="right"/>
              <w:ind w:right="3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Units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gridSpan w:val="4"/>
          </w:tcPr>
          <w:p>
            <w:pPr>
              <w:jc w:val="right"/>
              <w:ind w:right="40"/>
              <w:spacing w:after="0"/>
              <w:rPr>
                <w:sz w:val="20"/>
                <w:szCs w:val="20"/>
                <w:color w:val="auto"/>
              </w:rPr>
            </w:pPr>
            <w:r>
              <w:rPr>
                <w:rFonts w:ascii="Arial" w:cs="Arial" w:eastAsia="Arial" w:hAnsi="Arial"/>
                <w:sz w:val="18"/>
                <w:szCs w:val="18"/>
                <w:color w:val="auto"/>
              </w:rPr>
              <w:t>$  100,000,000.00(2)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12,120.00(3)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left="340" w:right="40" w:hanging="332"/>
        <w:spacing w:after="0" w:line="284"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General Instruction II.D of Form S-3 under the Securities Act, this information is not required to be specified. The securities being registered consist of an indeterminate number or amount of each class of identified securities that from time to time may be (a) sold at indeterminate prices, (b) issued upon conversion, exchange, exercise or settlement of other identified securities, which may, but need not, be issued for separate consideration, and</w:t>
      </w:r>
    </w:p>
    <w:p>
      <w:pPr>
        <w:spacing w:after="0" w:line="1" w:lineRule="exact"/>
        <w:rPr>
          <w:rFonts w:ascii="Arial" w:cs="Arial" w:eastAsia="Arial" w:hAnsi="Arial"/>
          <w:sz w:val="16"/>
          <w:szCs w:val="16"/>
          <w:color w:val="auto"/>
        </w:rPr>
      </w:pPr>
    </w:p>
    <w:p>
      <w:pPr>
        <w:ind w:left="340" w:right="40"/>
        <w:spacing w:after="0" w:line="261" w:lineRule="auto"/>
        <w:rPr>
          <w:rFonts w:ascii="Arial" w:cs="Arial" w:eastAsia="Arial" w:hAnsi="Arial"/>
          <w:sz w:val="16"/>
          <w:szCs w:val="16"/>
          <w:color w:val="auto"/>
        </w:rPr>
      </w:pPr>
      <w:r>
        <w:rPr>
          <w:rFonts w:ascii="Arial" w:cs="Arial" w:eastAsia="Arial" w:hAnsi="Arial"/>
          <w:sz w:val="18"/>
          <w:szCs w:val="18"/>
          <w:color w:val="auto"/>
        </w:rPr>
        <w:t>(c) pursuant to Rule 416 under the Securities Act, issued in connection with any stock split, stock dividend or similar transaction with respect to, or pursuant to anti-dilution provisions of, other identified securities.</w:t>
      </w:r>
    </w:p>
    <w:p>
      <w:pPr>
        <w:spacing w:after="0" w:line="124"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proposed maximum aggregate offering price has been estimated solely for the purpose of calculating the registration fee.</w:t>
      </w:r>
    </w:p>
    <w:p>
      <w:pPr>
        <w:spacing w:after="0" w:line="157"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registration fee has been calculated in accordance with Rule 457(o) under the Securities Act.</w:t>
      </w:r>
    </w:p>
    <w:p>
      <w:pPr>
        <w:spacing w:after="0" w:line="152"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60"/>
          </w:cols>
          <w:pgMar w:left="240" w:top="503" w:right="199" w:bottom="1440" w:gutter="0" w:footer="0" w:header="0"/>
        </w:sectPr>
      </w:pPr>
    </w:p>
    <w:bookmarkStart w:id="2" w:name="page3"/>
    <w:bookmarkEnd w:id="2"/>
    <w:p>
      <w:pPr>
        <w:jc w:val="both"/>
        <w:spacing w:after="0" w:line="262" w:lineRule="auto"/>
        <w:rPr>
          <w:sz w:val="20"/>
          <w:szCs w:val="20"/>
          <w:color w:val="auto"/>
        </w:rPr>
      </w:pPr>
      <w:r>
        <w:rPr>
          <w:rFonts w:ascii="Arial" w:cs="Arial" w:eastAsia="Arial" w:hAnsi="Arial"/>
          <w:sz w:val="18"/>
          <w:szCs w:val="18"/>
          <w:b w:val="1"/>
          <w:bCs w:val="1"/>
          <w:color w:val="E31937"/>
        </w:rPr>
        <w:t>The information in this prospectus is not complete and may be changed. The securities may not be sold until the registration statement filed with the Securities and Exchange Commission is declared effective. This prospectus is not an offer to sell these securities and it is not soliciting an offer to buy these securities in any state where the offer or sale is not permitted.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E31937"/>
        </w:rPr>
        <w:t>Subject to Completion, dated December 10, 2018.</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105410</wp:posOffset>
            </wp:positionV>
            <wp:extent cx="1311910" cy="823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91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Class A Common Stock</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Preferred Stock</w:t>
      </w:r>
    </w:p>
    <w:p>
      <w:pPr>
        <w:jc w:val="center"/>
        <w:ind w:right="-19"/>
        <w:spacing w:after="0" w:line="230" w:lineRule="auto"/>
        <w:rPr>
          <w:sz w:val="20"/>
          <w:szCs w:val="20"/>
          <w:color w:val="auto"/>
        </w:rPr>
      </w:pPr>
      <w:r>
        <w:rPr>
          <w:rFonts w:ascii="Arial" w:cs="Arial" w:eastAsia="Arial" w:hAnsi="Arial"/>
          <w:sz w:val="22"/>
          <w:szCs w:val="22"/>
          <w:b w:val="1"/>
          <w:bCs w:val="1"/>
          <w:color w:val="auto"/>
        </w:rPr>
        <w:t>Debt Securities</w:t>
      </w:r>
    </w:p>
    <w:p>
      <w:pPr>
        <w:jc w:val="center"/>
        <w:ind w:right="-19"/>
        <w:spacing w:after="0" w:line="231" w:lineRule="auto"/>
        <w:rPr>
          <w:sz w:val="20"/>
          <w:szCs w:val="20"/>
          <w:color w:val="auto"/>
        </w:rPr>
      </w:pPr>
      <w:r>
        <w:rPr>
          <w:rFonts w:ascii="Arial" w:cs="Arial" w:eastAsia="Arial" w:hAnsi="Arial"/>
          <w:sz w:val="22"/>
          <w:szCs w:val="22"/>
          <w:b w:val="1"/>
          <w:bCs w:val="1"/>
          <w:color w:val="auto"/>
        </w:rPr>
        <w:t>Warrants</w:t>
      </w:r>
    </w:p>
    <w:p>
      <w:pPr>
        <w:jc w:val="center"/>
        <w:ind w:right="-19"/>
        <w:spacing w:after="0"/>
        <w:rPr>
          <w:sz w:val="20"/>
          <w:szCs w:val="20"/>
          <w:color w:val="auto"/>
        </w:rPr>
      </w:pPr>
      <w:r>
        <w:rPr>
          <w:rFonts w:ascii="Arial" w:cs="Arial" w:eastAsia="Arial" w:hAnsi="Arial"/>
          <w:sz w:val="22"/>
          <w:szCs w:val="22"/>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may offer and sell up to $100,000,000 in the aggregate of the securities identified above from time to time in one or more offerings. This prospectus provides you with a general description of the securities.</w:t>
      </w:r>
    </w:p>
    <w:p>
      <w:pPr>
        <w:spacing w:after="0" w:line="11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For more information, please see “About This Prospectus” and “Plan of Distribution” in this prospectus. No securities may be sold without delivery of this prospectus and the applicable prospectus supplement describing the method and terms of the offering of the securities.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Our Class A common stock is listed on the Nasdaq Global Market under the symbol “ACMR”.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148590</wp:posOffset>
            </wp:positionV>
            <wp:extent cx="14490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both"/>
        <w:spacing w:after="0" w:line="378" w:lineRule="auto"/>
        <w:rPr>
          <w:sz w:val="20"/>
          <w:szCs w:val="20"/>
          <w:color w:val="auto"/>
        </w:rPr>
      </w:pPr>
      <w:r>
        <w:rPr>
          <w:rFonts w:ascii="Arial" w:cs="Arial" w:eastAsia="Arial" w:hAnsi="Arial"/>
          <w:sz w:val="15"/>
          <w:szCs w:val="15"/>
          <w:b w:val="1"/>
          <w:bCs w:val="1"/>
          <w:color w:val="auto"/>
        </w:rPr>
        <w:t>Investing in these securities involves significant risks. See “Risk Factors” included in any accompanying prospectus supplement and in the documents incorporated by reference in this prospectus for a discussion of the factors you should carefully consider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75565</wp:posOffset>
            </wp:positionV>
            <wp:extent cx="14490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2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 201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40" w:type="dxa"/>
            <w:vAlign w:val="bottom"/>
            <w:gridSpan w:val="3"/>
          </w:tcPr>
          <w:p>
            <w:pPr>
              <w:ind w:left="10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760" w:type="dxa"/>
            <w:vAlign w:val="bottom"/>
            <w:gridSpan w:val="14"/>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7360" w:type="dxa"/>
            <w:vAlign w:val="bottom"/>
            <w:gridSpan w:val="2"/>
            <w:shd w:val="clear" w:color="auto" w:fill="CCEEFF"/>
          </w:tcPr>
          <w:p>
            <w:pPr>
              <w:jc w:val="center"/>
              <w:ind w:left="6932"/>
              <w:spacing w:after="0" w:line="176" w:lineRule="exact"/>
              <w:rPr>
                <w:sz w:val="20"/>
                <w:szCs w:val="20"/>
                <w:color w:val="auto"/>
              </w:rPr>
            </w:pPr>
            <w:r>
              <w:rPr>
                <w:rFonts w:ascii="Arial" w:cs="Arial" w:eastAsia="Arial" w:hAnsi="Arial"/>
                <w:sz w:val="18"/>
                <w:szCs w:val="18"/>
                <w:color w:val="auto"/>
                <w:w w:val="99"/>
              </w:rPr>
              <w:t>1</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70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760" w:type="dxa"/>
            <w:vAlign w:val="bottom"/>
            <w:gridSpan w:val="14"/>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Where You Can Find More Information</w:t>
              </w:r>
            </w:hyperlink>
          </w:p>
        </w:tc>
        <w:tc>
          <w:tcPr>
            <w:tcW w:w="7360" w:type="dxa"/>
            <w:vAlign w:val="bottom"/>
            <w:gridSpan w:val="2"/>
          </w:tcPr>
          <w:p>
            <w:pPr>
              <w:jc w:val="center"/>
              <w:ind w:left="6932"/>
              <w:spacing w:after="0" w:line="176" w:lineRule="exact"/>
              <w:rPr>
                <w:sz w:val="20"/>
                <w:szCs w:val="20"/>
                <w:color w:val="auto"/>
              </w:rPr>
            </w:pPr>
            <w:r>
              <w:rPr>
                <w:rFonts w:ascii="Arial" w:cs="Arial" w:eastAsia="Arial" w:hAnsi="Arial"/>
                <w:sz w:val="18"/>
                <w:szCs w:val="18"/>
                <w:color w:val="auto"/>
                <w:w w:val="99"/>
              </w:rPr>
              <w:t>2</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8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About Our Company</w:t>
              </w:r>
            </w:hyperlink>
          </w:p>
        </w:tc>
        <w:tc>
          <w:tcPr>
            <w:tcW w:w="2280" w:type="dxa"/>
            <w:vAlign w:val="bottom"/>
            <w:tcBorders>
              <w:bottom w:val="single" w:sz="8" w:color="CCEEFF"/>
            </w:tcBorders>
            <w:gridSpan w:val="6"/>
            <w:shd w:val="clear" w:color="auto" w:fill="CCEEFF"/>
          </w:tcPr>
          <w:p>
            <w:pPr>
              <w:spacing w:after="0"/>
              <w:rPr>
                <w:sz w:val="17"/>
                <w:szCs w:val="17"/>
                <w:color w:val="auto"/>
              </w:rPr>
            </w:pPr>
          </w:p>
        </w:tc>
        <w:tc>
          <w:tcPr>
            <w:tcW w:w="7360" w:type="dxa"/>
            <w:vAlign w:val="bottom"/>
            <w:tcBorders>
              <w:bottom w:val="single" w:sz="8" w:color="CCEEFF"/>
            </w:tcBorders>
            <w:gridSpan w:val="2"/>
            <w:shd w:val="clear" w:color="auto" w:fill="CCEEFF"/>
          </w:tcPr>
          <w:p>
            <w:pPr>
              <w:jc w:val="center"/>
              <w:ind w:left="6932"/>
              <w:spacing w:after="0" w:line="176" w:lineRule="exact"/>
              <w:rPr>
                <w:sz w:val="20"/>
                <w:szCs w:val="20"/>
                <w:color w:val="auto"/>
              </w:rPr>
            </w:pPr>
            <w:r>
              <w:rPr>
                <w:rFonts w:ascii="Arial" w:cs="Arial" w:eastAsia="Arial" w:hAnsi="Arial"/>
                <w:sz w:val="18"/>
                <w:szCs w:val="18"/>
                <w:color w:val="auto"/>
                <w:w w:val="99"/>
              </w:rPr>
              <w:t>4</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gridSpan w:val="14"/>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7360" w:type="dxa"/>
            <w:vAlign w:val="bottom"/>
            <w:gridSpan w:val="2"/>
          </w:tcPr>
          <w:p>
            <w:pPr>
              <w:jc w:val="center"/>
              <w:ind w:left="6932"/>
              <w:spacing w:after="0" w:line="176" w:lineRule="exact"/>
              <w:rPr>
                <w:sz w:val="20"/>
                <w:szCs w:val="20"/>
                <w:color w:val="auto"/>
              </w:rPr>
            </w:pPr>
            <w:r>
              <w:rPr>
                <w:rFonts w:ascii="Arial" w:cs="Arial" w:eastAsia="Arial" w:hAnsi="Arial"/>
                <w:sz w:val="18"/>
                <w:szCs w:val="18"/>
                <w:color w:val="auto"/>
                <w:w w:val="99"/>
              </w:rPr>
              <w:t>4</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760" w:type="dxa"/>
            <w:vAlign w:val="bottom"/>
            <w:gridSpan w:val="14"/>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7360" w:type="dxa"/>
            <w:vAlign w:val="bottom"/>
            <w:gridSpan w:val="2"/>
            <w:shd w:val="clear" w:color="auto" w:fill="CCEEFF"/>
          </w:tcPr>
          <w:p>
            <w:pPr>
              <w:jc w:val="center"/>
              <w:ind w:left="6932"/>
              <w:spacing w:after="0" w:line="176" w:lineRule="exact"/>
              <w:rPr>
                <w:sz w:val="20"/>
                <w:szCs w:val="20"/>
                <w:color w:val="auto"/>
              </w:rPr>
            </w:pPr>
            <w:r>
              <w:rPr>
                <w:rFonts w:ascii="Arial" w:cs="Arial" w:eastAsia="Arial" w:hAnsi="Arial"/>
                <w:sz w:val="18"/>
                <w:szCs w:val="18"/>
                <w:color w:val="auto"/>
                <w:w w:val="99"/>
              </w:rPr>
              <w:t>4</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70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760" w:type="dxa"/>
            <w:vAlign w:val="bottom"/>
            <w:gridSpan w:val="14"/>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Description of Capital Stock</w:t>
              </w:r>
            </w:hyperlink>
          </w:p>
        </w:tc>
        <w:tc>
          <w:tcPr>
            <w:tcW w:w="7360" w:type="dxa"/>
            <w:vAlign w:val="bottom"/>
            <w:gridSpan w:val="2"/>
          </w:tcPr>
          <w:p>
            <w:pPr>
              <w:jc w:val="center"/>
              <w:ind w:left="6932"/>
              <w:spacing w:after="0" w:line="176" w:lineRule="exact"/>
              <w:rPr>
                <w:sz w:val="20"/>
                <w:szCs w:val="20"/>
                <w:color w:val="auto"/>
              </w:rPr>
            </w:pPr>
            <w:r>
              <w:rPr>
                <w:rFonts w:ascii="Arial" w:cs="Arial" w:eastAsia="Arial" w:hAnsi="Arial"/>
                <w:sz w:val="18"/>
                <w:szCs w:val="18"/>
                <w:color w:val="auto"/>
                <w:w w:val="99"/>
              </w:rPr>
              <w:t>5</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2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Description of Debt Securities</w:t>
              </w:r>
            </w:hyperlink>
          </w:p>
        </w:tc>
        <w:tc>
          <w:tcPr>
            <w:tcW w:w="1640" w:type="dxa"/>
            <w:vAlign w:val="bottom"/>
            <w:tcBorders>
              <w:bottom w:val="single" w:sz="8" w:color="CCEEFF"/>
            </w:tcBorders>
            <w:gridSpan w:val="2"/>
            <w:shd w:val="clear" w:color="auto" w:fill="CCEEFF"/>
          </w:tcPr>
          <w:p>
            <w:pPr>
              <w:spacing w:after="0"/>
              <w:rPr>
                <w:sz w:val="17"/>
                <w:szCs w:val="17"/>
                <w:color w:val="auto"/>
              </w:rPr>
            </w:pPr>
          </w:p>
        </w:tc>
        <w:tc>
          <w:tcPr>
            <w:tcW w:w="7360" w:type="dxa"/>
            <w:vAlign w:val="bottom"/>
            <w:tcBorders>
              <w:bottom w:val="single" w:sz="8" w:color="CCEEFF"/>
            </w:tcBorders>
            <w:gridSpan w:val="2"/>
            <w:shd w:val="clear" w:color="auto" w:fill="CCEEFF"/>
          </w:tcPr>
          <w:p>
            <w:pPr>
              <w:jc w:val="center"/>
              <w:ind w:left="6932"/>
              <w:spacing w:after="0" w:line="176" w:lineRule="exact"/>
              <w:rPr>
                <w:sz w:val="20"/>
                <w:szCs w:val="20"/>
                <w:color w:val="auto"/>
              </w:rPr>
            </w:pPr>
            <w:r>
              <w:rPr>
                <w:rFonts w:ascii="Arial" w:cs="Arial" w:eastAsia="Arial" w:hAnsi="Arial"/>
                <w:sz w:val="18"/>
                <w:szCs w:val="18"/>
                <w:color w:val="auto"/>
                <w:w w:val="89"/>
              </w:rPr>
              <w:t>10</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gridSpan w:val="14"/>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Description of Warrants</w:t>
              </w:r>
            </w:hyperlink>
          </w:p>
        </w:tc>
        <w:tc>
          <w:tcPr>
            <w:tcW w:w="7360" w:type="dxa"/>
            <w:vAlign w:val="bottom"/>
            <w:gridSpan w:val="2"/>
          </w:tcPr>
          <w:p>
            <w:pPr>
              <w:jc w:val="center"/>
              <w:ind w:left="6932"/>
              <w:spacing w:after="0" w:line="176" w:lineRule="exact"/>
              <w:rPr>
                <w:sz w:val="20"/>
                <w:szCs w:val="20"/>
                <w:color w:val="auto"/>
              </w:rPr>
            </w:pPr>
            <w:r>
              <w:rPr>
                <w:rFonts w:ascii="Arial" w:cs="Arial" w:eastAsia="Arial" w:hAnsi="Arial"/>
                <w:sz w:val="18"/>
                <w:szCs w:val="18"/>
                <w:color w:val="auto"/>
                <w:w w:val="89"/>
              </w:rPr>
              <w:t>19</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60" w:type="dxa"/>
            <w:vAlign w:val="bottom"/>
            <w:gridSpan w:val="14"/>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Description of Units</w:t>
              </w:r>
            </w:hyperlink>
          </w:p>
        </w:tc>
        <w:tc>
          <w:tcPr>
            <w:tcW w:w="7360" w:type="dxa"/>
            <w:vAlign w:val="bottom"/>
            <w:gridSpan w:val="2"/>
            <w:shd w:val="clear" w:color="auto" w:fill="CCEEFF"/>
          </w:tcPr>
          <w:p>
            <w:pPr>
              <w:jc w:val="center"/>
              <w:ind w:left="6932"/>
              <w:spacing w:after="0" w:line="176" w:lineRule="exact"/>
              <w:rPr>
                <w:sz w:val="20"/>
                <w:szCs w:val="20"/>
                <w:color w:val="auto"/>
              </w:rPr>
            </w:pPr>
            <w:r>
              <w:rPr>
                <w:rFonts w:ascii="Arial" w:cs="Arial" w:eastAsia="Arial" w:hAnsi="Arial"/>
                <w:sz w:val="18"/>
                <w:szCs w:val="18"/>
                <w:color w:val="auto"/>
                <w:w w:val="89"/>
              </w:rPr>
              <w:t>20</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2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Global Securities</w:t>
              </w:r>
            </w:hyperlink>
          </w:p>
        </w:tc>
        <w:tc>
          <w:tcPr>
            <w:tcW w:w="2340" w:type="dxa"/>
            <w:vAlign w:val="bottom"/>
            <w:tcBorders>
              <w:top w:val="single" w:sz="8" w:color="CCEEFF"/>
            </w:tcBorders>
            <w:gridSpan w:val="7"/>
          </w:tcPr>
          <w:p>
            <w:pPr>
              <w:spacing w:after="0"/>
              <w:rPr>
                <w:sz w:val="15"/>
                <w:szCs w:val="15"/>
                <w:color w:val="auto"/>
              </w:rPr>
            </w:pPr>
          </w:p>
        </w:tc>
        <w:tc>
          <w:tcPr>
            <w:tcW w:w="7360" w:type="dxa"/>
            <w:vAlign w:val="bottom"/>
            <w:tcBorders>
              <w:top w:val="single" w:sz="8" w:color="CCEEFF"/>
            </w:tcBorders>
            <w:gridSpan w:val="2"/>
          </w:tcPr>
          <w:p>
            <w:pPr>
              <w:jc w:val="center"/>
              <w:ind w:left="6932"/>
              <w:spacing w:after="0" w:line="176" w:lineRule="exact"/>
              <w:rPr>
                <w:sz w:val="20"/>
                <w:szCs w:val="20"/>
                <w:color w:val="auto"/>
              </w:rPr>
            </w:pPr>
            <w:r>
              <w:rPr>
                <w:rFonts w:ascii="Arial" w:cs="Arial" w:eastAsia="Arial" w:hAnsi="Arial"/>
                <w:sz w:val="18"/>
                <w:szCs w:val="18"/>
                <w:color w:val="auto"/>
                <w:w w:val="89"/>
              </w:rPr>
              <w:t>21</w:t>
            </w:r>
          </w:p>
        </w:tc>
        <w:tc>
          <w:tcPr>
            <w:tcW w:w="2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60" w:type="dxa"/>
            <w:vAlign w:val="bottom"/>
            <w:gridSpan w:val="14"/>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Plan of Distribution</w:t>
              </w:r>
            </w:hyperlink>
          </w:p>
        </w:tc>
        <w:tc>
          <w:tcPr>
            <w:tcW w:w="7360" w:type="dxa"/>
            <w:vAlign w:val="bottom"/>
            <w:gridSpan w:val="2"/>
            <w:shd w:val="clear" w:color="auto" w:fill="CCEEFF"/>
          </w:tcPr>
          <w:p>
            <w:pPr>
              <w:jc w:val="center"/>
              <w:ind w:left="6932"/>
              <w:spacing w:after="0" w:line="176" w:lineRule="exact"/>
              <w:rPr>
                <w:sz w:val="20"/>
                <w:szCs w:val="20"/>
                <w:color w:val="auto"/>
              </w:rPr>
            </w:pPr>
            <w:r>
              <w:rPr>
                <w:rFonts w:ascii="Arial" w:cs="Arial" w:eastAsia="Arial" w:hAnsi="Arial"/>
                <w:sz w:val="18"/>
                <w:szCs w:val="18"/>
                <w:color w:val="auto"/>
                <w:w w:val="89"/>
              </w:rPr>
              <w:t>24</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8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Legal Matters</w:t>
              </w:r>
            </w:hyperlink>
          </w:p>
        </w:tc>
        <w:tc>
          <w:tcPr>
            <w:tcW w:w="2380" w:type="dxa"/>
            <w:vAlign w:val="bottom"/>
            <w:tcBorders>
              <w:top w:val="single" w:sz="8" w:color="CCEEFF"/>
            </w:tcBorders>
            <w:gridSpan w:val="8"/>
          </w:tcPr>
          <w:p>
            <w:pPr>
              <w:spacing w:after="0"/>
              <w:rPr>
                <w:sz w:val="15"/>
                <w:szCs w:val="15"/>
                <w:color w:val="auto"/>
              </w:rPr>
            </w:pPr>
          </w:p>
        </w:tc>
        <w:tc>
          <w:tcPr>
            <w:tcW w:w="7360" w:type="dxa"/>
            <w:vAlign w:val="bottom"/>
            <w:tcBorders>
              <w:top w:val="single" w:sz="8" w:color="CCEEFF"/>
            </w:tcBorders>
            <w:gridSpan w:val="2"/>
          </w:tcPr>
          <w:p>
            <w:pPr>
              <w:jc w:val="center"/>
              <w:ind w:left="6932"/>
              <w:spacing w:after="0" w:line="176" w:lineRule="exact"/>
              <w:rPr>
                <w:sz w:val="20"/>
                <w:szCs w:val="20"/>
                <w:color w:val="auto"/>
              </w:rPr>
            </w:pPr>
            <w:r>
              <w:rPr>
                <w:rFonts w:ascii="Arial" w:cs="Arial" w:eastAsia="Arial" w:hAnsi="Arial"/>
                <w:sz w:val="18"/>
                <w:szCs w:val="18"/>
                <w:color w:val="auto"/>
                <w:w w:val="89"/>
              </w:rPr>
              <w:t>26</w:t>
            </w:r>
          </w:p>
        </w:tc>
        <w:tc>
          <w:tcPr>
            <w:tcW w:w="2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60" w:type="dxa"/>
            <w:vAlign w:val="bottom"/>
            <w:gridSpan w:val="14"/>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Experts</w:t>
              </w:r>
            </w:hyperlink>
          </w:p>
        </w:tc>
        <w:tc>
          <w:tcPr>
            <w:tcW w:w="7360" w:type="dxa"/>
            <w:vAlign w:val="bottom"/>
            <w:gridSpan w:val="2"/>
            <w:shd w:val="clear" w:color="auto" w:fill="CCEEFF"/>
          </w:tcPr>
          <w:p>
            <w:pPr>
              <w:jc w:val="center"/>
              <w:ind w:left="6932"/>
              <w:spacing w:after="0" w:line="176" w:lineRule="exact"/>
              <w:rPr>
                <w:sz w:val="20"/>
                <w:szCs w:val="20"/>
                <w:color w:val="auto"/>
              </w:rPr>
            </w:pPr>
            <w:r>
              <w:rPr>
                <w:rFonts w:ascii="Arial" w:cs="Arial" w:eastAsia="Arial" w:hAnsi="Arial"/>
                <w:sz w:val="18"/>
                <w:szCs w:val="18"/>
                <w:color w:val="auto"/>
                <w:w w:val="89"/>
              </w:rPr>
              <w:t>26</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c>
          <w:tcPr>
            <w:tcW w:w="700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6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SEC, using a “shelf” registration process. By using a shelf registration statement, we may sell securities from time to time in one or more offerings of up to a total of $100,000,000,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w:t>
      </w:r>
    </w:p>
    <w:p>
      <w:pPr>
        <w:spacing w:after="0" w:line="106"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estimates and projections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95"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References in this prospectus to “our company,” “our,” “us,” “we” and similar terms refer to ACM Research, Inc. (including its predecessor prior to its redomestication from California to Delaware in November 2016) and not, unless the context otherwise requires, subsidiaries of ACM Research, Inc.</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logo design is one of our trademarks. This prospectus also includes trademarks, tradenames, and service marks that are the property of other organizations. For convenience, our logo appears in this prospectus without the ™ symbol, but those uses are not intended to indicate that we will not assert, to the fullest extent under applicable law, our rights to this trademark.</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file reports, proxy statements and other information with the SEC. Information filed with the SEC by us can be inspected and copied at the Public Reference Room maintained by the SEC at 100 F Street, N.E., Washington, D.C. 20549. You may also obtain copies of this information by mail from the Public Reference Room of the SEC at prescribed rates. Further information on the operation of the SEC’s Public Reference Room in Washington, D.C. can be obtained by calling the SEC at 1-800-SEC-0330. The SEC also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reports, proxy and information statements and other information about issuers, such as us, who file electronically with the SEC.</w:t>
      </w:r>
    </w:p>
    <w:p>
      <w:pPr>
        <w:spacing w:after="0" w:line="12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www.acmrcsh.com</w:t>
      </w:r>
      <w:r>
        <w:rPr>
          <w:rFonts w:ascii="Arial" w:cs="Arial" w:eastAsia="Arial" w:hAnsi="Arial"/>
          <w:sz w:val="18"/>
          <w:szCs w:val="18"/>
          <w:color w:val="auto"/>
        </w:rPr>
        <w:t>. The information on our website, however, is not, and should not be deemed to be, a part of this prospectus or any prospectus supplement. We have included our website address as an inactive textual reference only.</w:t>
      </w:r>
    </w:p>
    <w:p>
      <w:pPr>
        <w:spacing w:after="0" w:line="11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at the SEC’s Public Reference Room in Washington, D.C. or through the SEC’s website, as provided above.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16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02"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We incorporate by reference our documents listed below and any future filings made by us with the SEC under Section 13(a), 13(c), 14 or 15(d) of the Securities Exchange Act of 1934, or the Exchange Act,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Compensation Committee report and performance graph or any information furnished pursuant to Item 2.02 or 7.01 of Form 8-K or related exhibits furnished pursuant to Item 9.01 of Form 8-K.</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This prospectus and any accompanying prospectus supplement incorporate by reference the documents set forth below that have previously been filed with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w:t>
      </w:r>
    </w:p>
    <w:p>
      <w:pPr>
        <w:spacing w:after="0" w:line="15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2017, filed with the SEC on March 23, 2018.</w:t>
      </w:r>
    </w:p>
    <w:p>
      <w:pPr>
        <w:spacing w:after="0" w:line="157"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our Annual Report on Form 10-K for the year ended December 31, 2017, from our Definitive Proxy Statement on Schedule 14A, filed with the SEC on May 4, 2018.</w:t>
      </w:r>
    </w:p>
    <w:p>
      <w:pPr>
        <w:spacing w:after="0" w:line="118" w:lineRule="exact"/>
        <w:rPr>
          <w:rFonts w:ascii="Arial" w:cs="Arial" w:eastAsia="Arial" w:hAnsi="Arial"/>
          <w:sz w:val="18"/>
          <w:szCs w:val="18"/>
          <w:color w:val="auto"/>
        </w:rPr>
      </w:pPr>
    </w:p>
    <w:p>
      <w:pPr>
        <w:ind w:left="660" w:right="20" w:hanging="328"/>
        <w:spacing w:after="0" w:line="33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Quarterly Reports on Form 10-Q, as amended, for the quarters ended March 31, 2018, June 30, 2018 and September 30, 2018, filed with the SEC on May 14, 2018 (as amended on October 15, 2018), August 9, 2018 (as amended on October 15, 2018) and November 14, 2018, respectively. and</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 w:name="page7"/>
    <w:bookmarkEnd w:id="6"/>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Current Reports on Form 8-K filed with the SEC on January 16, 2018, January 22, 2018, May 1, 2018, June 20, 2018 and July 3, 2018.</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You may request a free copy of any of the documents incorporated by reference in this prospectus by writing or telephoning us at the following address: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ACM Research,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42307 Osgood Road, Suite I</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Fremont, California</w:t>
      </w:r>
    </w:p>
    <w:p>
      <w:pPr>
        <w:spacing w:after="0" w:line="9" w:lineRule="exact"/>
        <w:rPr>
          <w:sz w:val="20"/>
          <w:szCs w:val="20"/>
          <w:color w:val="auto"/>
        </w:rPr>
      </w:pPr>
    </w:p>
    <w:p>
      <w:pPr>
        <w:ind w:left="5580" w:hanging="415"/>
        <w:spacing w:after="0"/>
        <w:tabs>
          <w:tab w:leader="none" w:pos="5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445-3700</w:t>
      </w:r>
    </w:p>
    <w:p>
      <w:pPr>
        <w:spacing w:after="0" w:line="32" w:lineRule="exact"/>
        <w:rPr>
          <w:rFonts w:ascii="Arial" w:cs="Arial" w:eastAsia="Arial" w:hAnsi="Arial"/>
          <w:sz w:val="16"/>
          <w:szCs w:val="16"/>
          <w:color w:val="auto"/>
        </w:rPr>
      </w:pPr>
    </w:p>
    <w:p>
      <w:pPr>
        <w:ind w:left="4700"/>
        <w:spacing w:after="0"/>
        <w:rPr>
          <w:rFonts w:ascii="Arial" w:cs="Arial" w:eastAsia="Arial" w:hAnsi="Arial"/>
          <w:sz w:val="16"/>
          <w:szCs w:val="16"/>
          <w:color w:val="auto"/>
        </w:rPr>
      </w:pPr>
      <w:r>
        <w:rPr>
          <w:rFonts w:ascii="Arial" w:cs="Arial" w:eastAsia="Arial" w:hAnsi="Arial"/>
          <w:sz w:val="18"/>
          <w:szCs w:val="18"/>
          <w:color w:val="auto"/>
        </w:rPr>
        <w:t>Attention: Investor Relations</w:t>
      </w:r>
    </w:p>
    <w:p>
      <w:pPr>
        <w:spacing w:after="0" w:line="15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Exhibits to the filings will not be sent, unless those exhibits have been specifically incorporated by reference in this prospectus or any accompanying prospectus supplement.</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ABOUT OUR COMPANY</w:t>
      </w:r>
    </w:p>
    <w:p>
      <w:pPr>
        <w:spacing w:after="0" w:line="164"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We, and our subsidiaries, primarily develop, manufacture and sell single-wafer wet cleaning equipment, which semiconductor manufacturers can use in numerous manufacturing steps to remove particles, contaminants and other random defects, and thereby improve product yield, in fabricating advanced integrated circuits.</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incorporated in California in January 1998 and redomesticated in Delaware in November 2016. Our headquarters are located at 42307 Osgood Road, Suite I, Fremont, California 94539, where our telephone number is (510) 445-3700.</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Investment in any securities offered pursuant to this prospectus and the applicable prospectus supplement involves risks. Before acquiring any of such securities, you should carefully consider the risk factors incorporated by reference to our most recent Annual Report on Form 10-K and any subsequent Quarterly Reports on Form 10-Q or Current Reports on Form 8-K filed by us, and all other information contained or incorporated by reference into this prospectus, as updated by our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w:t>
      </w:r>
    </w:p>
    <w:p>
      <w:pPr>
        <w:spacing w:after="0" w:line="9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We intend to use the net proceeds from the sale of securities as set forth in the applicable prospectus supplement.</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1, 2018, our authorized capital stock consisted of 50,000,000 shares of Class A common stock, $0.0001 par value per share, 2,409,738 shares of Class B common stock, $0.0001 par value per share, and 10,000,000 shares of preferred stock, $0.0001 par value per share. Class A common stock and Class B common stock are referred to collectively as common stock.</w:t>
      </w:r>
    </w:p>
    <w:p>
      <w:pPr>
        <w:spacing w:after="0" w:line="12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following summary describes our capital stock, including material provisions of our charter, our bylaws and Delaware law. Because the following is only a summary, it does not contain all of the information that may be important to you. For a complete description, you should refer to our charter and bylaws, copies of which are incorporated by reference as exhibits to the registration statement of which this prospectus is a part.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Shares and Options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1, 2018, there were:</w:t>
      </w:r>
    </w:p>
    <w:p>
      <w:pPr>
        <w:spacing w:after="0" w:line="15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14,085,315 shares of Class A common stock outstanding, held of record by 88 stockholders;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3,739,503 shares of Class A common stock issuable upon exercise of outstanding stock options;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1,918,423 shares of Class B common stock outstanding, held of record by 35 stockholders.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Authorized but unissued shares of Class B common stock are not available for reissuance. The actual number of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Voting Rights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Except as otherwise required by Delaware law, at every annual or special meeting of stockholders, holders of Class B common stock are entitled to 20 votes per share and holders of Class A common stock are entitled to one vote per share. The holders of Class A common stock and Class B common stock vote together as a single class, unless otherwise required by law. Delaware law could require either holders of Class A common stock or Class B common stock to vote separately as a single class in the following circumstances:</w:t>
      </w:r>
    </w:p>
    <w:p>
      <w:pPr>
        <w:spacing w:after="0" w:line="130" w:lineRule="exact"/>
        <w:rPr>
          <w:sz w:val="20"/>
          <w:szCs w:val="20"/>
          <w:color w:val="auto"/>
        </w:rPr>
      </w:pPr>
    </w:p>
    <w:p>
      <w:pPr>
        <w:ind w:left="660" w:hanging="328"/>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were to seek to amend our charter to increase the authorized number of shares of a class of stock, or to increase or decrease the per share par value of a class of stock, then that class would be required to vote separately to approve the proposed amendment;</w:t>
      </w:r>
    </w:p>
    <w:p>
      <w:pPr>
        <w:spacing w:after="0" w:line="118" w:lineRule="exact"/>
        <w:rPr>
          <w:rFonts w:ascii="Arial" w:cs="Arial" w:eastAsia="Arial" w:hAnsi="Arial"/>
          <w:sz w:val="18"/>
          <w:szCs w:val="18"/>
          <w:color w:val="auto"/>
        </w:rPr>
      </w:pPr>
    </w:p>
    <w:p>
      <w:pPr>
        <w:ind w:left="660" w:right="20" w:hanging="328"/>
        <w:spacing w:after="0" w:line="33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we were to seek to amend our charter in a manner that alters or changes the powers, preferences or special rights of a class of stock in a manner that affected its holders adversely, then that class would be required to vote separately to approve the proposed amendment; and</w:t>
      </w:r>
    </w:p>
    <w:p>
      <w:pPr>
        <w:spacing w:after="0" w:line="71"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were to seek to declare a dividend or distribution that would be disparate as between the two classes.</w:t>
      </w:r>
    </w:p>
    <w:p>
      <w:pPr>
        <w:spacing w:after="0" w:line="15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Stockholders do not have the ability to cumulate votes for the election of directors. Our charter and bylaws provide for a classified board of directors consisting of three classes of approximately equal size, each serving staggered three-year terms, when the outstanding shares of Class B common stock represent less than a majority of the combined voting power of the common stock. Our directors will be assigned by the then-current board to a class when the outstanding shares of Class B common stock represent less than a majority of the combined voting power of the common stock.</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Dividends</w:t>
      </w:r>
    </w:p>
    <w:p>
      <w:pPr>
        <w:spacing w:after="0" w:line="15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Subject to preferences that may be applicable to any then outstanding preferred stock, the holders of our outstanding shares of common stock are entitled to receive dividends, if any, as may be declared from time to time by the board of directors out of legally available funds. The holders of Class A common stock and Class B common stock are entitled to share equally, identically and ratably, on a per share basis, with respect to any dividend or distribution unless different treatment of the shares of each such class is approved by the affirmative vote of the holders of a majority of the outstanding shares of Class A common stock and Class B common stock, each voting separately as a class. At present, we have no plans to issue dividends.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i w:val="1"/>
          <w:iCs w:val="1"/>
          <w:color w:val="auto"/>
        </w:rPr>
        <w:t>Liquidation</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Conversion</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Each outstanding share of Class B common stock is convertible into one share of Class A common stock (a) at any time, at the option of the holder, or (b) upon any transfer of such share of Class B common stock, whether or not for value, except for certain transfers described in our charter, including transfers to family members, trusts solely for the benefit of the stockholder or their family members, and partnerships, corporations, and other entities exclusively owned by the stockholder or their family members. In addition, on or after the date of this prospectus, all outstanding shares of Class B common stock will convert automatically into shares of Class A common stock, on a one for one basis, upon (a) the election of the holders of a majority of the then outstanding shares of Class B common stock or (b) on the first December 31 that occurs more than five years after the date of this prospectus if the October Market Cap with respect to the month of October immediately preceding such December 31 exceeds $1.0 billion, provided that the conversion provided by this clause (b) shall not apply and no automatic conversion of Class B common stock into Class A common stock will ever occur pursuant to this clause (b) if the October Market Cap for the month of October immediately preceding a December 31 exceeds $1.0 billion prior to the fifth anniversary of the date of this prospectus. For purposes of this paragraph, “October Market Cap” means, with respect to any October throughout which Class A common stock is traded on a registered securities exchange, the product of the average of the daily volume weighted average trading prices of Class A common stock for each of the days in such month of October multiplied by the number of shares of common stock outstanding on the last trading day of such month of October. Once converted or transferred and converted into Class A common stock, shares of Class B common stock will not be reissued.</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Rights and Preferences</w:t>
      </w:r>
    </w:p>
    <w:p>
      <w:pPr>
        <w:spacing w:after="0" w:line="15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Other than as described above, holders of common stock have no preemptive, conversion or subscription rights, and there are no redemption or sinking fund provisions applicable to common stock. The rights, preferences and privileges of the holders of common stock are subject to, and may be adversely affected by, the rights of the holders of shares of any series of preferred stock that we may designate and issue in the future.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64" w:lineRule="exact"/>
        <w:rPr>
          <w:sz w:val="20"/>
          <w:szCs w:val="20"/>
          <w:color w:val="auto"/>
        </w:rPr>
      </w:pPr>
    </w:p>
    <w:p>
      <w:pPr>
        <w:jc w:val="both"/>
        <w:ind w:firstLine="17"/>
        <w:spacing w:after="0" w:line="290" w:lineRule="auto"/>
        <w:rPr>
          <w:sz w:val="20"/>
          <w:szCs w:val="20"/>
          <w:color w:val="auto"/>
        </w:rPr>
      </w:pPr>
      <w:r>
        <w:rPr>
          <w:rFonts w:ascii="Arial" w:cs="Arial" w:eastAsia="Arial" w:hAnsi="Arial"/>
          <w:sz w:val="16"/>
          <w:szCs w:val="16"/>
          <w:color w:val="auto"/>
        </w:rPr>
        <w:t>Under the terms of our charter, the board of directors is authorized to issue up to 10,000,000 shares of preferred stock in one or more series, to establish the number of shares to be included in each such series, and to fix the designation, powers, preferences and rights of such shares and any qualifications, limitations or restrictions thereof. These rights, preferences and privileges could include dividend rights, conversion rights, voting rights, terms of redemption, liquidation preferences, sinking fund terms and other provisions, any or all of which may be greater than the rights of common stock. The issuance of preferred stock with voting and conversion rights may adversely affect the voting power of the holders of common stock, including the loss of voting control to others, and the likelihood that such holders will receive dividend payments and payments upon our liquidation. In addition, the issuance of preferred stock could have the effect of delaying, deferring or preventing a change in control of our company or other corporate action.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our registration rights agreement with certain of our stockholders, based on the number of shares outstanding as of December 1, 2018, stockholders, or their transferees, have the right, under specified circumstances, to require us to register from time to time under the Securities Act of 1933, or the Securities Act, up to 2,950,697 shares of Class A common stock.</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0" w:name="page11"/>
    <w:bookmarkEnd w:id="10"/>
    <w:p>
      <w:pPr>
        <w:spacing w:after="0" w:line="332" w:lineRule="auto"/>
        <w:rPr>
          <w:sz w:val="20"/>
          <w:szCs w:val="20"/>
          <w:color w:val="auto"/>
        </w:rPr>
      </w:pPr>
      <w:r>
        <w:rPr>
          <w:rFonts w:ascii="Arial" w:cs="Arial" w:eastAsia="Arial" w:hAnsi="Arial"/>
          <w:sz w:val="16"/>
          <w:szCs w:val="16"/>
          <w:color w:val="auto"/>
        </w:rPr>
        <w:t>The following description of the terms of the registration rights agreement is intended as a summary only and is qualified in its entirety by reference to the registration rights agreement filed with the SEC on and is incorporated by reference as an exhibit to the registration statement of which this prospectus is a part.</w:t>
      </w:r>
    </w:p>
    <w:p>
      <w:pPr>
        <w:spacing w:after="0" w:line="72" w:lineRule="exact"/>
        <w:rPr>
          <w:sz w:val="20"/>
          <w:szCs w:val="20"/>
          <w:color w:val="auto"/>
        </w:rPr>
      </w:pPr>
    </w:p>
    <w:p>
      <w:pPr>
        <w:jc w:val="both"/>
        <w:ind w:left="660" w:hanging="328"/>
        <w:spacing w:after="0" w:line="287"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Demand Registration Rights</w:t>
      </w:r>
      <w:r>
        <w:rPr>
          <w:rFonts w:ascii="Arial" w:cs="Arial" w:eastAsia="Arial" w:hAnsi="Arial"/>
          <w:sz w:val="16"/>
          <w:szCs w:val="16"/>
          <w:color w:val="auto"/>
        </w:rPr>
        <w:t>. Any time at least 90 days after the date of this prospectus, on no more than four occasions and no more than one occasion</w:t>
      </w:r>
      <w:r>
        <w:rPr>
          <w:rFonts w:ascii="Arial" w:cs="Arial" w:eastAsia="Arial" w:hAnsi="Arial"/>
          <w:sz w:val="16"/>
          <w:szCs w:val="16"/>
          <w:i w:val="1"/>
          <w:iCs w:val="1"/>
          <w:color w:val="auto"/>
        </w:rPr>
        <w:t xml:space="preserve"> </w:t>
      </w:r>
      <w:r>
        <w:rPr>
          <w:rFonts w:ascii="Arial" w:cs="Arial" w:eastAsia="Arial" w:hAnsi="Arial"/>
          <w:sz w:val="16"/>
          <w:szCs w:val="16"/>
          <w:color w:val="auto"/>
        </w:rPr>
        <w:t>in any six-month period, Xinxin (Hongkong) Capital Co., Limited and Victorious Way Limited will have the right to request that we register with the SEC (a) on a registration statement on Form S-1, (i) all or a portion of the shares registrable under the registration rights agreement reasonably anticipated to have an aggregate offering price of at least $7,500,000 or (ii) all of the registrable shares then held by Xinxin (Hongkong) Capital Co., Limited and Victorious Way Limited or (b) on a registration statement on Form S-3, (i) all or a portion of the shares registrable under the registration rights agreement reasonably anticipated to have an aggregate offering price of at least $3,750,000 or (ii) all of the registrable shares then held by Xinxin (Hongkong) Capital Co., Limited and Victorious Way Limited. Following such a request, the other holders of registrable shares will have the right to request that we include in such registration statement all or a portion of their registrable shares. Such demand registration rights are held by Xinxin (Hongkong) Capital Co., Limited and Victorious Way Limited and granting demand registration rights to any other holders will require the consent of Xinxin (Hongkong) Capital Co., Limited and Victorious Way Limited.</w:t>
      </w:r>
    </w:p>
    <w:p>
      <w:pPr>
        <w:spacing w:after="0" w:line="109" w:lineRule="exact"/>
        <w:rPr>
          <w:rFonts w:ascii="Arial" w:cs="Arial" w:eastAsia="Arial" w:hAnsi="Arial"/>
          <w:sz w:val="16"/>
          <w:szCs w:val="16"/>
          <w:color w:val="auto"/>
        </w:rPr>
      </w:pPr>
    </w:p>
    <w:p>
      <w:pPr>
        <w:ind w:left="660" w:hanging="328"/>
        <w:spacing w:after="0" w:line="33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Incidental Registration Rights</w:t>
      </w:r>
      <w:r>
        <w:rPr>
          <w:rFonts w:ascii="Arial" w:cs="Arial" w:eastAsia="Arial" w:hAnsi="Arial"/>
          <w:sz w:val="16"/>
          <w:szCs w:val="16"/>
          <w:color w:val="auto"/>
        </w:rPr>
        <w:t>. If we propose to register shares of Class A common stock under the Securities Act on a form that may be used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of eligible shares, the holders may request that we register all or a portion of the eligible shares they held by them.</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the event that any registration in which the holders of eligible shares participate pursuant to the registration rights agreement is an underwritten public offering, the number of eligible shares to be included may, in specified circumstances, be limited due to market conditions. If the underwriter determines that less than all of the eligible shares proposed to be sold can be included in such offering, then eligible shares held by executive officers shall only be included in such offering if all the holders that are not executive officers are able to register all of the eligible shares proposed to be sold in such registration.</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Under the registration rights agreement, we generally are required to pay all registration expenses other than underwriting discounts and selling commissions and we are required to indemnify each participating holder with respect to each registration of eligible shares that is completed.</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further information on our registration rights agreement, you should refer to second amended and restated registration rights agreement, a copy of which is incorporated by reference as an exhibit to the registration statement of which this prospectus is a part.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w:t>
      </w:r>
    </w:p>
    <w:p>
      <w:pPr>
        <w:spacing w:after="0" w:line="16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So long as the outstanding shares of Class B common stock represent a majority of the combined voting power of common stock, the holders of Class B common stock will effectively control all matters submitted to our stockholders for a vote, as well as the overall management and direction of our company, which will have the effect of delaying, deferring or discouraging another person from acquiring control of our company.</w:t>
      </w:r>
    </w:p>
    <w:p>
      <w:pPr>
        <w:spacing w:after="0" w:line="93"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After such time as the shares of Class B common stock no longer represent a majority of the combined voting power of common stock, the provisions of Delaware law, and our charter and our bylaws may have the effect of delaying, deferring or discouraging another person from acquiring control of our company.</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Delaware Law</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Section 203 of the Delaware General Corporation Law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13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time that the interested stockholder became an interested stockholder;</w:t>
      </w:r>
    </w:p>
    <w:p>
      <w:pPr>
        <w:spacing w:after="0" w:line="157"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stockholder’s becoming an interested stockholder, the interested stockholder owned at least 85% of the voting stock of the corporation outstanding at the time the transaction commenced, excluding stock owned by directors who are also officers of the corporation; or</w:t>
      </w:r>
    </w:p>
    <w:p>
      <w:pPr>
        <w:spacing w:after="0" w:line="126" w:lineRule="exact"/>
        <w:rPr>
          <w:rFonts w:ascii="Arial" w:cs="Arial" w:eastAsia="Arial" w:hAnsi="Arial"/>
          <w:sz w:val="18"/>
          <w:szCs w:val="18"/>
          <w:color w:val="auto"/>
        </w:rPr>
      </w:pPr>
    </w:p>
    <w:p>
      <w:pPr>
        <w:ind w:left="660" w:right="20" w:hanging="328"/>
        <w:spacing w:after="0" w:line="33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subsequent to such time that the stockholder became an interested stockholder the business combination is approved by the board and authorized at an annual or special meeting of stockholders by at least two-thirds of the outstanding voting stock that is not owned by the interested stockholder.</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charter or an express provision in its charter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 and Bylaw Provisions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charter and bylaws include a number of provisions that may have the effect of deterring hostile takeovers or delaying or preventing changes in control of our company, even after such time as the shares of Class B common stock no longer represent a majority of the combined voting power of common stock, including the following:</w:t>
      </w:r>
    </w:p>
    <w:p>
      <w:pPr>
        <w:spacing w:after="0" w:line="127" w:lineRule="exact"/>
        <w:rPr>
          <w:sz w:val="20"/>
          <w:szCs w:val="20"/>
          <w:color w:val="auto"/>
        </w:rPr>
      </w:pPr>
    </w:p>
    <w:p>
      <w:pPr>
        <w:jc w:val="both"/>
        <w:ind w:left="660" w:hanging="328"/>
        <w:spacing w:after="0" w:line="298" w:lineRule="auto"/>
        <w:tabs>
          <w:tab w:leader="none" w:pos="66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Separate Class B Vote for Certain Transactions</w:t>
      </w:r>
      <w:r>
        <w:rPr>
          <w:rFonts w:ascii="Arial" w:cs="Arial" w:eastAsia="Arial" w:hAnsi="Arial"/>
          <w:sz w:val="16"/>
          <w:szCs w:val="16"/>
          <w:color w:val="auto"/>
        </w:rPr>
        <w:t>. Until the first date on which the outstanding shares of Class B common stock represent less than 35%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combined voting power of common stock, any transaction that would result in a change in control of our company will require the approval of a majority of our outstanding Class B common stock voting as a separate class. This provision could delay or prevent the approval of a change in control that might otherwise be approved by a majority of outstanding shares of Class A and Class B common stock, voting together on a combined basis.</w:t>
      </w:r>
    </w:p>
    <w:p>
      <w:pPr>
        <w:spacing w:after="0" w:line="99" w:lineRule="exact"/>
        <w:rPr>
          <w:rFonts w:ascii="Arial" w:cs="Arial" w:eastAsia="Arial" w:hAnsi="Arial"/>
          <w:sz w:val="16"/>
          <w:szCs w:val="16"/>
          <w:i w:val="1"/>
          <w:iCs w:val="1"/>
          <w:color w:val="auto"/>
        </w:rPr>
      </w:pPr>
    </w:p>
    <w:p>
      <w:pPr>
        <w:jc w:val="both"/>
        <w:ind w:left="660" w:hanging="328"/>
        <w:spacing w:after="0" w:line="298"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Dual Class Stoc</w:t>
      </w:r>
      <w:r>
        <w:rPr>
          <w:rFonts w:ascii="Arial" w:cs="Arial" w:eastAsia="Arial" w:hAnsi="Arial"/>
          <w:sz w:val="16"/>
          <w:szCs w:val="16"/>
          <w:color w:val="auto"/>
        </w:rPr>
        <w:t>k. As described above in “—Common Stock—Voting Rights,” our charter provides for a dual class common stock structure, which</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certain members of our senior management with the ability to control the outcome of matters requiring stockholder approval, even if they collectively own significantly less than a majority of the shares of our outstanding Class A and Class B common stock, including the election of directors and significant corporate transactions, such as a merger or other sale of our company or its assets.</w:t>
      </w:r>
    </w:p>
    <w:p>
      <w:pPr>
        <w:spacing w:after="0" w:line="99" w:lineRule="exact"/>
        <w:rPr>
          <w:rFonts w:ascii="Arial" w:cs="Arial" w:eastAsia="Arial" w:hAnsi="Arial"/>
          <w:sz w:val="16"/>
          <w:szCs w:val="16"/>
          <w:color w:val="auto"/>
        </w:rPr>
      </w:pPr>
    </w:p>
    <w:p>
      <w:pPr>
        <w:jc w:val="both"/>
        <w:ind w:left="660" w:hanging="328"/>
        <w:spacing w:after="0" w:line="256" w:lineRule="auto"/>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Supermajority Approvals</w:t>
      </w:r>
      <w:r>
        <w:rPr>
          <w:rFonts w:ascii="Arial" w:cs="Arial" w:eastAsia="Arial" w:hAnsi="Arial"/>
          <w:sz w:val="18"/>
          <w:szCs w:val="18"/>
          <w:color w:val="auto"/>
        </w:rPr>
        <w:t>. Our charter and bylaws provide that when the outstanding shares of Class B common stock represent less than a majority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combined voting power of common stock, certain amendments to our charter or bylaws will require the approval of two-thirds of the combined vote of our then-outstanding shares of Class A and Class B common stock. This will have the effect of making it more difficult to amend our charter or bylaws to remove or modify certain provisions.</w:t>
      </w:r>
    </w:p>
    <w:p>
      <w:pPr>
        <w:spacing w:after="0" w:line="129" w:lineRule="exact"/>
        <w:rPr>
          <w:rFonts w:ascii="Arial" w:cs="Arial" w:eastAsia="Arial" w:hAnsi="Arial"/>
          <w:sz w:val="18"/>
          <w:szCs w:val="18"/>
          <w:i w:val="1"/>
          <w:iCs w:val="1"/>
          <w:color w:val="auto"/>
        </w:rPr>
      </w:pPr>
    </w:p>
    <w:p>
      <w:pPr>
        <w:jc w:val="both"/>
        <w:ind w:left="660" w:hanging="328"/>
        <w:spacing w:after="0" w:line="25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Board of Directors Vacancies</w:t>
      </w:r>
      <w:r>
        <w:rPr>
          <w:rFonts w:ascii="Arial" w:cs="Arial" w:eastAsia="Arial" w:hAnsi="Arial"/>
          <w:sz w:val="18"/>
          <w:szCs w:val="18"/>
          <w:color w:val="auto"/>
        </w:rPr>
        <w:t>. Our charter and bylaws provide that stockholders may fill vacant directorships. When the outstanding shares of Class B</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represent less than a majority of the combined voting power of common stock, our charter and bylaws authorize only the board of directors to fill vacant directorships. In addition, the number of directors constituting the board is set only by resolution adopted by a majority vote of our entire board. These provisions restricting the filling of vacancies will prevent a stockholder from increasing the size of the board and gaining control of the board by filling the resulting vacancies with its own nominees. Our charter provides that directors may be removed with or without cause only by the affirmative vote of the holders of at least two-thirds of the votes that all of the stockholders would be entitled to cast in any annual election of directors.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 w:name="page13"/>
    <w:bookmarkEnd w:id="12"/>
    <w:p>
      <w:pPr>
        <w:jc w:val="both"/>
        <w:ind w:left="660" w:hanging="328"/>
        <w:spacing w:after="0" w:line="25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The board of directors is not currently classified. Our charter and bylaws provide that when outstanding shares of Class B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represent less than a majority of the combined voting power of common stock, the board will be classified into three classes of directors, each of which will hold office for a three-year term. In addition, thereafter, directors may be removed from the board with or without cause only by the affirmative vote of the holders of at least two-thirds of the voting power of the then-outstanding shares of Class A and Class B common stock. The existence of a classified board could delay a successful tender offeror from obtaining majority control of the board, and the prospect of that delay might deter a potential offeror.</w:t>
      </w:r>
    </w:p>
    <w:p>
      <w:pPr>
        <w:spacing w:after="0" w:line="130" w:lineRule="exact"/>
        <w:rPr>
          <w:rFonts w:ascii="Arial" w:cs="Arial" w:eastAsia="Arial" w:hAnsi="Arial"/>
          <w:sz w:val="18"/>
          <w:szCs w:val="18"/>
          <w:color w:val="auto"/>
        </w:rPr>
      </w:pPr>
    </w:p>
    <w:p>
      <w:pPr>
        <w:jc w:val="both"/>
        <w:ind w:left="660" w:hanging="328"/>
        <w:spacing w:after="0" w:line="289"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Stockholder Action; Special Meeting of Stockholders</w:t>
      </w:r>
      <w:r>
        <w:rPr>
          <w:rFonts w:ascii="Arial" w:cs="Arial" w:eastAsia="Arial" w:hAnsi="Arial"/>
          <w:sz w:val="16"/>
          <w:szCs w:val="16"/>
          <w:color w:val="auto"/>
        </w:rPr>
        <w:t>. Our charter provides that stockholders will be able to take action by written consent. When the</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shares of Class B common stock represent less than a majority of the combined voting power of common stock, our stockholders will no longer be able to take action by written consent, and will only be able to take action at annual or special meetings of our stockholders. Stockholders will not be permitted to cumulate their votes for the election of directors. The absence of cumulative voting may make it more difficult for stockholders who own less than a majority in voting power to elect any directors to the board of directors. Our bylaws further provide that special meetings of our stockholders may be called only by the board, the chair of the board or our chief executive officer. A stockholder may not call a special meeting, which may delay the ability of our stockholders to force consideration of a proposal or for holders controlling a majority in voting power of our capital stock to take any action, including the removal of director.</w:t>
      </w:r>
    </w:p>
    <w:p>
      <w:pPr>
        <w:spacing w:after="0" w:line="104" w:lineRule="exact"/>
        <w:rPr>
          <w:rFonts w:ascii="Arial" w:cs="Arial" w:eastAsia="Arial" w:hAnsi="Arial"/>
          <w:sz w:val="16"/>
          <w:szCs w:val="16"/>
          <w:color w:val="auto"/>
        </w:rPr>
      </w:pPr>
    </w:p>
    <w:p>
      <w:pPr>
        <w:jc w:val="both"/>
        <w:ind w:left="660" w:hanging="328"/>
        <w:spacing w:after="0" w:line="298"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Advance Notice Requirements for Stockholder Proposals and Director Nominations</w:t>
      </w:r>
      <w:r>
        <w:rPr>
          <w:rFonts w:ascii="Arial" w:cs="Arial" w:eastAsia="Arial" w:hAnsi="Arial"/>
          <w:sz w:val="16"/>
          <w:szCs w:val="16"/>
          <w:color w:val="auto"/>
        </w:rPr>
        <w:t>. Our bylaws provide advance notice procedures for stockholders</w:t>
      </w:r>
      <w:r>
        <w:rPr>
          <w:rFonts w:ascii="Arial" w:cs="Arial" w:eastAsia="Arial" w:hAnsi="Arial"/>
          <w:sz w:val="16"/>
          <w:szCs w:val="16"/>
          <w:i w:val="1"/>
          <w:iCs w:val="1"/>
          <w:color w:val="auto"/>
        </w:rPr>
        <w:t xml:space="preserve"> </w:t>
      </w:r>
      <w:r>
        <w:rPr>
          <w:rFonts w:ascii="Arial" w:cs="Arial" w:eastAsia="Arial" w:hAnsi="Arial"/>
          <w:sz w:val="16"/>
          <w:szCs w:val="16"/>
          <w:color w:val="auto"/>
        </w:rPr>
        <w:t>seeking to bring business before our annual meeting of stockholders, or to nominate candidates for election as directors at any meeting of stockholders. Our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99" w:lineRule="exact"/>
        <w:rPr>
          <w:rFonts w:ascii="Arial" w:cs="Arial" w:eastAsia="Arial" w:hAnsi="Arial"/>
          <w:sz w:val="16"/>
          <w:szCs w:val="16"/>
          <w:color w:val="auto"/>
        </w:rPr>
      </w:pPr>
    </w:p>
    <w:p>
      <w:pPr>
        <w:jc w:val="both"/>
        <w:ind w:left="66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Issuance of Undesignated Preferred Stock</w:t>
      </w:r>
      <w:r>
        <w:rPr>
          <w:rFonts w:ascii="Arial" w:cs="Arial" w:eastAsia="Arial" w:hAnsi="Arial"/>
          <w:sz w:val="18"/>
          <w:szCs w:val="18"/>
          <w:color w:val="auto"/>
        </w:rPr>
        <w:t>. The board of directors has the authority, without further action by the stockholders, to issue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undesignated preferred stock with rights and preferences, including voting rights, designated from time to time by the board. The existence of authorized but unissued shares of preferred stock enables the board to render more difficult or to discourage an attempt to obtain control of us by means of a merger, tender offer, proxy contest or otherwise.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6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charter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our charter or bylaws; any action to interpret, apply, enforce, or determine the validity of our charter or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Class A common stock is listed on the Nasdaq Global Market under the symbol “ACMR.”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may offer debt securities that are senior or subordinated. We refer to senior debt securities and subordinated debt securities collectively as debt securities.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will be either filed as exhibits to the registration statement of which this prospectus forms a part or filed as exhibits to a Current Report on Form 8-K and incorporated by reference in such registration statement. The senior indenture and the subordinated indenture are referred to individually as an indenture and together as the indentures, and the senior trustee and the subordinated trustee are referred to individually as a trustee and together as the trustees. This section summarizes some of the provisions of the indentures and is qualified in its entirety by the specific text of the indentures, including definitions of terms used in the indentures. Wherever we refer to particular sections of, or defined terms in,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w:t>
      </w:r>
    </w:p>
    <w:p>
      <w:pPr>
        <w:spacing w:after="0" w:line="1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Neither indenture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senior debt securities will constitute our unsecured and unsubordinated general obligations and will rank equally in right of payment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“—Certain Terms of Subordinated Debt Securities— Subordination.” The debt securities will be structurally subordinated to all existing and future indebtedness and other liabilities of our subsidiaries unless such subsidiaries expressly guarantee such debt securities. Because the debt securities will be our unsecured obligations, any secured debt or other secured obligations will be effectively senior to the debt securities to the extent of the value of the assets securing such debt or other obligations.</w:t>
      </w:r>
    </w:p>
    <w:p>
      <w:pPr>
        <w:spacing w:after="0" w:line="1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applicable prospectus supplement and/or free writing prospectus will include any additional or different terms of the debt securities of any series being offered, including the following terms:</w:t>
      </w:r>
    </w:p>
    <w:p>
      <w:pPr>
        <w:spacing w:after="0" w:line="11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title and type of the debt securities.</w:t>
      </w:r>
    </w:p>
    <w:p>
      <w:pPr>
        <w:spacing w:after="0" w:line="157"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 and, with respect to any subordinated debt securities the terms on which they are subordinated.</w:t>
      </w:r>
    </w:p>
    <w:p>
      <w:pPr>
        <w:spacing w:after="0" w:line="11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initial aggregate principal amount of the debt securities.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price or prices at which we will sell the debt securities.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maturity date or dates of the debt securities and the right, if any, to extend such date or dates.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rate or rates, if any, at which the debt securities will bear interest, or the method of determining such rate or rates.</w:t>
      </w:r>
    </w:p>
    <w:p>
      <w:pPr>
        <w:spacing w:after="0" w:line="157"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method of determination of such dates.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 w:name="page15"/>
    <w:bookmarkEnd w:id="14"/>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provisions for a sinking fund, purchase fund or other analogous fund, if any.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redemption dates, prices, obligations and restrictions on the debt securities.</w:t>
      </w:r>
    </w:p>
    <w:p>
      <w:pPr>
        <w:spacing w:after="0" w:line="157"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currency, currencies or currency units in which the debt securities will be denominated and the currency, currencies or currency units in which principal and interest, if any, on the debt securities may be payable.</w:t>
      </w:r>
    </w:p>
    <w:p>
      <w:pPr>
        <w:spacing w:after="0" w:line="11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conversion or exchange features of the debt securities.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debt securities will be subject to the defeasance provisions in the indenture.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debt securities will be issued in definitive or global form or in definitive form only upon satisfaction of certain conditions.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debt securities will be guaranteed as to payment or performance.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material terms of the debt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When we refer to “principal” in this section with reference to debt securities, we are also referring to premium, if any.</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2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Holders may present debt securities for exchange and may present debt securities for transfer in the manner, at the places and subject to the restrictions set forth in the debt securities and the applicable prospectus supplement. We will provide those services without charge, although a holder may have to pay any tax or other governmental charge payable in connection with any exchange or transfer, as set forth in the indenture.</w:t>
      </w:r>
    </w:p>
    <w:p>
      <w:pPr>
        <w:spacing w:after="0" w:line="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that are treated as having been issued at a discount for U.S. federal income tax purposes will be described in the applicable prospectus supplement.</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Certain Terms of Senior Debt Securities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Covenants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Unless we indicate otherwise in a prospectus supplement with respect to a particular series of senior debt securities, the senior debt securities will not contain any financial or restrictive covenants, including covenants restricting either us or any of our subsidiaries from incurring, issuing, assuming or guaranteeing any indebtedness secured by a lien on any of our or our subsidiaries’ property or capital stock, or restricting either us or any of our subsidiaries from entering into sale and leaseback transactions.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Consolidation, Merger and Sale of Assets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we indicate otherwise in a prospectus supplement with respect to a particular series of senior debt securities, we may not consolidate with or merge into any other person, in a transaction in which we are not the surviving corporation, or convey, transfer or lease our properties and assets substantially as an entirety to any person, in either case, unless:</w:t>
      </w:r>
    </w:p>
    <w:p>
      <w:pPr>
        <w:spacing w:after="0" w:line="12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successor entity, if any, is a U.S. corporation, limited liability company, partnership or trust.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successor entity assumes our obligations on the senior debt securities and under the senior indenture.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157" w:lineRule="exact"/>
        <w:rPr>
          <w:rFonts w:ascii="Arial" w:cs="Arial" w:eastAsia="Arial" w:hAnsi="Arial"/>
          <w:sz w:val="18"/>
          <w:szCs w:val="18"/>
          <w:color w:val="auto"/>
        </w:rPr>
      </w:pPr>
    </w:p>
    <w:p>
      <w:pPr>
        <w:jc w:val="both"/>
        <w:ind w:left="660" w:hanging="328"/>
        <w:spacing w:after="0" w:line="30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have delivered to the senior trustee an officer’s certificate and an opinion of counsel, each stating that the consolidation, merger, conveyance, transfer or lease and, if a supplemental indenture is required in connection with such transaction, such supplemental indenture, comply with the senior indenture and all conditions precedent provided for in the senior indenture relating to such transaction have been complied with.</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restrictions described in the bullets above do not apply (1) to our consolidation with or merging into one of our affiliates, if our board of directors determines in good faith that the purpose of the consolidation or merger is principally to change our state of incorporation or our form of organization to another form or (2) if we merge with or into a single direct or indirect wholly-owned subsidiary of ours.</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surviving business entity will succeed to, and be substituted for, us under the senior indenture and the senior debt securities and, except in the case of a lease, we shall be released from all obligations under the senior indenture and the senior debt securities.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 Protection in the Event of a Change in Control</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we indicate otherwise in a prospectus supplement with respect to a particular series of senior 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Events of Default</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Unless we indicate otherwise in a prospectus supplement with respect to a particular series of senior debt securities, the following are events of default under the senior indenture with respect to senior debt securities of each series:</w:t>
      </w:r>
    </w:p>
    <w:p>
      <w:pPr>
        <w:spacing w:after="0" w:line="118" w:lineRule="exact"/>
        <w:rPr>
          <w:sz w:val="20"/>
          <w:szCs w:val="20"/>
          <w:color w:val="auto"/>
        </w:rPr>
      </w:pPr>
    </w:p>
    <w:p>
      <w:pPr>
        <w:ind w:left="660" w:hanging="328"/>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pay interest on any senior debt securities of such series when due and payable, if that default continues for a period of 30 days (or such other period as may be specified for such series).</w:t>
      </w:r>
    </w:p>
    <w:p>
      <w:pPr>
        <w:spacing w:after="0" w:line="118"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pay principal on the senior debt securities of such series when due and payable whether at maturity, upon redemption, by declaration or otherwise (and, if specified for such series, the continuance of such failure for a specified period).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6" w:name="page17"/>
    <w:bookmarkEnd w:id="16"/>
    <w:p>
      <w:pPr>
        <w:jc w:val="both"/>
        <w:ind w:left="660" w:hanging="328"/>
        <w:spacing w:after="0" w:line="25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default in the performance of or breach of any of our covenants or agreements in the senior indenture applicable to senior debt securities of such series, other than a covenant breach that is specifically dealt with elsewhere in the senior indenture, and that default or breach continues for a period of 90 days after we receive written notice from the trustee or from the holders of 25% or more in aggregate principal amount of the senior debt securities of such series.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events of bankruptcy or insolvency, whether or not voluntary.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other event of default provided for in such series of senior debt securities as may be specified in the applicable prospectus supplement.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senior indenture.</w:t>
      </w:r>
    </w:p>
    <w:p>
      <w:pPr>
        <w:spacing w:after="0" w:line="15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w:t>
      </w:r>
    </w:p>
    <w:p>
      <w:pPr>
        <w:spacing w:after="0" w:line="10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If an event of default specified in the fourth bullet point above occurs and is continuing, the entire principal amount of and accrued interest on each series of senior debt securities then outstanding shall automatically become immediately due and payable.</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w:t>
      </w:r>
    </w:p>
    <w:p>
      <w:pPr>
        <w:spacing w:after="0" w:line="12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subject to various provisions in the senior indenture, the holders of a majority in aggregate principal amount of a series of senior debt securities, by notice to the trustee, may waive a continuing default or event of default with respect to such senior debt securities and its consequences, except a default in the payment of principal of or interest on such senior debt securities (other than any such default in payment resulting solely from an acceleration of the senior debt securities) or in respect of a covenant or provision of the senior indenture that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w:t>
      </w:r>
    </w:p>
    <w:p>
      <w:pPr>
        <w:spacing w:after="0" w:line="10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w:t>
      </w:r>
    </w:p>
    <w:p>
      <w:pPr>
        <w:spacing w:after="0" w:line="10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57"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7" w:name="page18"/>
    <w:bookmarkEnd w:id="17"/>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57"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senior debt securities do not give the trustee a direction that is inconsistent with the request.</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limitations, however, do not apply to the right of any holder of a senior debt security of any affected series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senior indenture requires certain of our officers to certify, on or before a fixed date in each year in which any senior debt security is outstanding, as to their knowledge of our compliance with all covenants, agreements and conditions under the senior indenture.</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Satisfaction and Discharge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can satisfy and discharge our obligations to holders of any series of debt securities if:</w:t>
      </w:r>
    </w:p>
    <w:p>
      <w:pPr>
        <w:spacing w:after="0" w:line="158" w:lineRule="exact"/>
        <w:rPr>
          <w:sz w:val="20"/>
          <w:szCs w:val="20"/>
          <w:color w:val="auto"/>
        </w:rPr>
      </w:pPr>
    </w:p>
    <w:p>
      <w:pPr>
        <w:ind w:left="660" w:hanging="328"/>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paid or caused to be paid the principal of and interest on all senior debt securities of such series (with certain limited exceptions) when due and payable. or</w:t>
      </w:r>
    </w:p>
    <w:p>
      <w:pPr>
        <w:spacing w:after="0" w:line="118"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deliver to the senior trustee for cancellation all senior debt securities of such series theretofore authenticated under the senior indenture (with certain limited exceptions). or</w:t>
      </w:r>
    </w:p>
    <w:p>
      <w:pPr>
        <w:spacing w:after="0" w:line="118"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senior debt securities of such series have become due and payable or will become due and payable within one year (or are to be called for redemption within one year under arrangements satisfactory to the senior trustee) and we deposit in trust an amount of cash or a combination of cash and U.S. government or U.S. government agency obligations (or in the case of senior debt securities denominated in a foreign currency, foreign government securities or foreign government agency securities) sufficient to make interest, principal and any other payments on the debt securities of that series on their various due dates. or</w:t>
      </w:r>
    </w:p>
    <w:p>
      <w:pPr>
        <w:spacing w:after="0" w:line="129" w:lineRule="exact"/>
        <w:rPr>
          <w:rFonts w:ascii="Arial" w:cs="Arial" w:eastAsia="Arial" w:hAnsi="Arial"/>
          <w:sz w:val="18"/>
          <w:szCs w:val="18"/>
          <w:color w:val="auto"/>
        </w:rPr>
      </w:pPr>
    </w:p>
    <w:p>
      <w:pPr>
        <w:ind w:left="660" w:hanging="328"/>
        <w:spacing w:after="0" w:line="33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and if, in any such case, we also pay or cause to be paid all other sums payable under the senior indenture, as and when the same shall be due and payable, and we deliver to the senior trustee an officer’s certificate and an opinion of counsel, each stating that these conditions have been satisfied.</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Defeasance</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Unless the applicable prospectus supplement provides otherwise, the following discussion of legal defeasance and covenant defeasance will apply to any series of debt securities issued under the indentures.</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Legal Defeasance</w:t>
      </w:r>
      <w:r>
        <w:rPr>
          <w:rFonts w:ascii="Arial" w:cs="Arial" w:eastAsia="Arial" w:hAnsi="Arial"/>
          <w:sz w:val="18"/>
          <w:szCs w:val="18"/>
          <w:color w:val="auto"/>
        </w:rPr>
        <w:t>. We can legally release ourselves from any payment or other obligations on the debt securities of any series, a procedure known as legal defeasance, if certain conditions are met, including the following:</w:t>
      </w:r>
    </w:p>
    <w:p>
      <w:pPr>
        <w:spacing w:after="0" w:line="118" w:lineRule="exact"/>
        <w:rPr>
          <w:sz w:val="20"/>
          <w:szCs w:val="20"/>
          <w:color w:val="auto"/>
        </w:rPr>
      </w:pPr>
    </w:p>
    <w:p>
      <w:pPr>
        <w:jc w:val="both"/>
        <w:ind w:left="660" w:hanging="328"/>
        <w:spacing w:after="0" w:line="25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8" w:name="page19"/>
    <w:bookmarkEnd w:id="18"/>
    <w:p>
      <w:pPr>
        <w:jc w:val="both"/>
        <w:ind w:left="660" w:hanging="328"/>
        <w:spacing w:after="0" w:line="25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is a change in current U.S. federal income tax law or an IRS ruling that lets us make the above deposit without causing you to be taxed on the debt securities any differently than if we did not make the deposit and instead repaid the debt securities ourselves when due. 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deliver to the trustee a legal opinion of our counsel confirming the tax law change or ruling described above.</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we accomplish legal defeasance, as described above, you would have to rely solely on the trust deposit for repayment of the debt securities. You could not look to us for repayment in the event of any shortfall.</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u w:val="single" w:color="auto"/>
          <w:color w:val="auto"/>
        </w:rPr>
        <w:t>Covenant Defeasance</w:t>
      </w:r>
      <w:r>
        <w:rPr>
          <w:rFonts w:ascii="Arial" w:cs="Arial" w:eastAsia="Arial" w:hAnsi="Arial"/>
          <w:sz w:val="18"/>
          <w:szCs w:val="18"/>
          <w:color w:val="auto"/>
        </w:rPr>
        <w:t>. Without any change in current U.S. federal tax law, we can make the same type of deposit described above and be released from some of the covenants in the debt securities, a procedure known as covenant defeasance. In that event, you would lose the protection of those covenants but would gain the protection of having money and securities set aside in trust to repay the debt securities. In order to achieve covenant defeasance, we must do the following (among other things):</w:t>
      </w:r>
    </w:p>
    <w:p>
      <w:pPr>
        <w:spacing w:after="0" w:line="130" w:lineRule="exact"/>
        <w:rPr>
          <w:sz w:val="20"/>
          <w:szCs w:val="20"/>
          <w:color w:val="auto"/>
        </w:rPr>
      </w:pPr>
    </w:p>
    <w:p>
      <w:pPr>
        <w:jc w:val="both"/>
        <w:ind w:left="660" w:hanging="328"/>
        <w:spacing w:after="0" w:line="256"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must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129"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Modification and Waiver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We and the trustee may amend or supplement the senior indenture or the senior debt securities of any series without the consent of any holder to:</w:t>
      </w:r>
    </w:p>
    <w:p>
      <w:pPr>
        <w:spacing w:after="0" w:line="18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convey, transfer, assign, mortgage or pledge any assets as security for the senior debt securities of one or more series.</w:t>
      </w:r>
    </w:p>
    <w:p>
      <w:pPr>
        <w:spacing w:after="0" w:line="157" w:lineRule="exact"/>
        <w:rPr>
          <w:rFonts w:ascii="Arial" w:cs="Arial" w:eastAsia="Arial" w:hAnsi="Arial"/>
          <w:sz w:val="18"/>
          <w:szCs w:val="18"/>
          <w:color w:val="auto"/>
        </w:rPr>
      </w:pPr>
    </w:p>
    <w:p>
      <w:pPr>
        <w:ind w:left="660" w:hanging="328"/>
        <w:spacing w:after="0" w:line="33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evidence the succession of a corporation, limited liability company, partnership or trust to us, and the assumption by such successor of our covenants, agreements and obligations under the senior indenture or to otherwise comply with the covenant relating to mergers, consolidations and sales of assets.</w:t>
      </w:r>
    </w:p>
    <w:p>
      <w:pPr>
        <w:spacing w:after="0" w:line="71"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comply with requirements of the SEC in order to effect or maintain the qualification of the senior indenture under the Trust Indenture Act of 1939.</w:t>
      </w:r>
    </w:p>
    <w:p>
      <w:pPr>
        <w:spacing w:after="0" w:line="180" w:lineRule="exact"/>
        <w:rPr>
          <w:rFonts w:ascii="Arial" w:cs="Arial" w:eastAsia="Arial" w:hAnsi="Arial"/>
          <w:sz w:val="16"/>
          <w:szCs w:val="16"/>
          <w:color w:val="auto"/>
        </w:rPr>
      </w:pPr>
    </w:p>
    <w:p>
      <w:pPr>
        <w:ind w:left="660" w:hanging="328"/>
        <w:spacing w:after="0" w:line="33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add to our covenants such new covenants, restrictions, conditions or provisions for the protection of the holders, and to make the occurrence, or the occurrence and continuance, of a default in any such additional covenants, restrictions, conditions or provisions an event of default.</w:t>
      </w:r>
    </w:p>
    <w:p>
      <w:pPr>
        <w:spacing w:after="0" w:line="71" w:lineRule="exact"/>
        <w:rPr>
          <w:rFonts w:ascii="Arial" w:cs="Arial" w:eastAsia="Arial" w:hAnsi="Arial"/>
          <w:sz w:val="16"/>
          <w:szCs w:val="16"/>
          <w:color w:val="auto"/>
        </w:rPr>
      </w:pPr>
    </w:p>
    <w:p>
      <w:pPr>
        <w:ind w:left="660" w:right="20" w:hanging="328"/>
        <w:spacing w:after="0" w:line="33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w:t>
      </w:r>
    </w:p>
    <w:p>
      <w:pPr>
        <w:spacing w:after="0" w:line="71"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 of any series.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the forms or terms of the senior debt securities as permitted by the senior indenture.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9" w:name="page20"/>
    <w:bookmarkEnd w:id="19"/>
    <w:p>
      <w:pPr>
        <w:ind w:left="660" w:hanging="328"/>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under the senior indenture by a successor trustee, or to make such changes as shall be necessary to provide for or facilitate the administration of the trusts in the senior indenture by more than one trustee.</w:t>
      </w:r>
    </w:p>
    <w:p>
      <w:pPr>
        <w:spacing w:after="0" w:line="118" w:lineRule="exact"/>
        <w:rPr>
          <w:rFonts w:ascii="Arial" w:cs="Arial" w:eastAsia="Arial" w:hAnsi="Arial"/>
          <w:sz w:val="18"/>
          <w:szCs w:val="18"/>
          <w:color w:val="auto"/>
        </w:rPr>
      </w:pPr>
    </w:p>
    <w:p>
      <w:pPr>
        <w:jc w:val="both"/>
        <w:ind w:left="660" w:hanging="328"/>
        <w:spacing w:after="0" w:line="298"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add to, change or eliminate any of the provisions of the senior indenture in respect of one or more series of senior debt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addition, change or elimination shall (a) neither (1) apply to any senior debt security of any series created prior to the execution of such supplemental indenture and entitled to the benefit of such provision nor (2) modify the rights of the holder of any such senior debt security with respect to such provision or (b) become effective only when there is no senior debt security described in the preceding clause (a)(1) outstanding.</w:t>
      </w:r>
    </w:p>
    <w:p>
      <w:pPr>
        <w:spacing w:after="0" w:line="99"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any change to the senior debt securities of any series so long as no senior debt securities of such series are outstanding. or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each series affected by the amendment or modification (voting as separate series). provided, however, that each affected holder must consent to any modification, amendment or waiver that:</w:t>
      </w:r>
    </w:p>
    <w:p>
      <w:pPr>
        <w:spacing w:after="0" w:line="13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extends the final maturity of any senior debt securities of such series.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reduces the principal amount of any senior debt securities of such series.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reduces the rate, or extends the time for payment of, interest on any senior debt securities of such series.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reduces the amount payable upon the redemption of any senior debt securities of such series.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the currency of payment of principal of or interest on any senior debt securities of such series.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reduces the principal amount of original issue discount securities payable upon acceleration of maturity or the amount provable in bankruptcy.</w:t>
      </w:r>
    </w:p>
    <w:p>
      <w:pPr>
        <w:spacing w:after="0" w:line="180" w:lineRule="exact"/>
        <w:rPr>
          <w:rFonts w:ascii="Arial" w:cs="Arial" w:eastAsia="Arial" w:hAnsi="Arial"/>
          <w:sz w:val="16"/>
          <w:szCs w:val="16"/>
          <w:color w:val="auto"/>
        </w:rPr>
      </w:pPr>
    </w:p>
    <w:p>
      <w:pPr>
        <w:ind w:left="660" w:hanging="328"/>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waives a continuing default in the payment of principal of or interest on the senior debt securities (other than any such default in payment resulting solely from an acceleration of the senior debt securities).</w:t>
      </w:r>
    </w:p>
    <w:p>
      <w:pPr>
        <w:spacing w:after="0" w:line="118"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the provisions relating to the waiver of past defaults or impairs the right of holders to receive payment or to institute suit for the enforcement of any payment or conversion of any senior debt securities of such series on or after the due date therefor.</w:t>
      </w:r>
    </w:p>
    <w:p>
      <w:pPr>
        <w:spacing w:after="0" w:line="11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w:t>
      </w:r>
    </w:p>
    <w:p>
      <w:pPr>
        <w:spacing w:after="0" w:line="126"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adversely affects the right to convert or exchange senior debt securities into Class A common stock or other property in accordance with the terms of the senior debt securities. or</w:t>
      </w:r>
    </w:p>
    <w:p>
      <w:pPr>
        <w:spacing w:after="0" w:line="118"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senior debt securities of such series whose holders must consent to a supplemental indenture or modifies or amends or waives certain provisions of or defaults under the senior indenture.</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0" w:name="page21"/>
    <w:bookmarkEnd w:id="20"/>
    <w:p>
      <w:pPr>
        <w:ind w:left="340"/>
        <w:spacing w:after="0"/>
        <w:rPr>
          <w:sz w:val="20"/>
          <w:szCs w:val="20"/>
          <w:color w:val="auto"/>
        </w:rPr>
      </w:pPr>
      <w:r>
        <w:rPr>
          <w:rFonts w:ascii="Arial" w:cs="Arial" w:eastAsia="Arial" w:hAnsi="Arial"/>
          <w:sz w:val="18"/>
          <w:szCs w:val="18"/>
          <w:i w:val="1"/>
          <w:iCs w:val="1"/>
          <w:color w:val="auto"/>
        </w:rPr>
        <w:t>No Personal Liability of Stockholders, Officers, Directors</w:t>
      </w:r>
    </w:p>
    <w:p>
      <w:pPr>
        <w:spacing w:after="0" w:line="15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senior indenture provides that no recourse shall be had under any obligation, covenant or agreement of ours in the senior indenture or any supplemental indenture, or in any of the senior debt securities or because of the creation of any indebtedness represented thereby, against any of our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Concerning the Trustee</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senior indenture provides that, except during the continuance of an event of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3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senior indenture and the provisions of the Trust Indenture Act of 1939 incorporated by reference therein contain limitations on the rights of the trustee thereunder, should it become a creditor of ours or any of our subsidiaries,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of 1939), it must eliminate such conflict or resign.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may have normal banking relationships with the senior trustee in the ordinary course of business.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Unclaimed Funds</w:t>
      </w:r>
    </w:p>
    <w:p>
      <w:pPr>
        <w:spacing w:after="0" w:line="15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All funds deposited with the trustee or any paying agent for the payment of principal, premium, interest or additional amounts in respect of the senior debt securities that remain unclaimed for two years after the date upon which such amounts became due and payable will be repaid to us. Thereafter, any right of any holder of senior debt securities to such funds shall be enforceable only against us, and the trustee and paying agents will have no liability therefor.</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Governing Law</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senior indenture and the senior debt securities will be governed by, and construed in accordance with, the internal laws of the State of New York.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Subordinated Debt Securities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Similarity to Certain Terms of Senior Debt Securities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 Additional or different subordination terms may be specified in the prospectus supplement applicable to a particular series.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1" w:name="page22"/>
    <w:bookmarkEnd w:id="21"/>
    <w:p>
      <w:pPr>
        <w:ind w:left="340"/>
        <w:spacing w:after="0"/>
        <w:rPr>
          <w:sz w:val="20"/>
          <w:szCs w:val="20"/>
          <w:color w:val="auto"/>
        </w:rPr>
      </w:pPr>
      <w:r>
        <w:rPr>
          <w:rFonts w:ascii="Arial" w:cs="Arial" w:eastAsia="Arial" w:hAnsi="Arial"/>
          <w:sz w:val="18"/>
          <w:szCs w:val="18"/>
          <w:i w:val="1"/>
          <w:iCs w:val="1"/>
          <w:color w:val="auto"/>
        </w:rPr>
        <w:t>Subordination</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indebtedness evidenced by the subordinated debt securities is subordinate to the prior payment in full of all of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0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7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of the indebtedness of that person for money borrowed.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of the indebtedness of that person evidenced by notes, debentures, bonds or other securities sold by that person for money.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of the lease obligations that are capitalized on the books of that person in accordance with generally accepted accounting principles.</w:t>
      </w:r>
    </w:p>
    <w:p>
      <w:pPr>
        <w:spacing w:after="0" w:line="157"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126"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renewals, extensions or refunding of indebtedness of the kinds described in the first, second or fourth bullet point above and all renewals or extensions of leases of the kinds described in the third or fourth bullet point above.</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indenture.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16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may issue warrants for the purchase of shares of Class A common stock, shares of preferred stock or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The particular terms of any issue of warrants will be described in the prospectus supplement relating to the issue. Those terms may include:</w:t>
      </w:r>
    </w:p>
    <w:p>
      <w:pPr>
        <w:spacing w:after="0" w:line="158" w:lineRule="exact"/>
        <w:rPr>
          <w:sz w:val="20"/>
          <w:szCs w:val="20"/>
          <w:color w:val="auto"/>
        </w:rPr>
      </w:pPr>
    </w:p>
    <w:p>
      <w:pPr>
        <w:ind w:left="660" w:hanging="328"/>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shares of Class A common stock or preferred stock purchasable upon the exercise of warrants to purchase such shares and the price at which such number of shares may be purchased upon such exercise.</w:t>
      </w:r>
    </w:p>
    <w:p>
      <w:pPr>
        <w:spacing w:after="0" w:line="118"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stated value and terms (including liquidation, dividend, conversion and voting rights) of the series of preferred stock purchasable upon exercise of warrants to purchase preferred stock.</w:t>
      </w:r>
    </w:p>
    <w:p>
      <w:pPr>
        <w:spacing w:after="0" w:line="118"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11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date, if any, on and after which the warrants and the related debt securities, preferred stock or Class A common stock will be separately transferable.</w:t>
      </w:r>
    </w:p>
    <w:p>
      <w:pPr>
        <w:spacing w:after="0" w:line="192" w:lineRule="exact"/>
        <w:rPr>
          <w:rFonts w:ascii="Arial" w:cs="Arial" w:eastAsia="Arial" w:hAnsi="Arial"/>
          <w:sz w:val="15"/>
          <w:szCs w:val="15"/>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 federal income tax consequences applicable to the warrants. and</w:t>
      </w:r>
    </w:p>
    <w:p>
      <w:pPr>
        <w:spacing w:after="0" w:line="157" w:lineRule="exact"/>
        <w:rPr>
          <w:rFonts w:ascii="Arial" w:cs="Arial" w:eastAsia="Arial" w:hAnsi="Arial"/>
          <w:sz w:val="18"/>
          <w:szCs w:val="18"/>
          <w:color w:val="auto"/>
        </w:rPr>
      </w:pPr>
    </w:p>
    <w:p>
      <w:pPr>
        <w:ind w:right="500" w:firstLine="332"/>
        <w:spacing w:after="0" w:line="422"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exercise and settlement of the warrants. Holders of equity warrants will not be entitled to:</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vote, consent or receive dividends.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exercise any rights as stockholders of Sienna.</w:t>
      </w:r>
    </w:p>
    <w:p>
      <w:pPr>
        <w:spacing w:after="0" w:line="15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Each warrant will entitle its holder to purchase the principal amount of debt securities or the number of shares of preferred stock or Class A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Class A common stock or preferred stock are exercised, the holders of the warrants will not have any rights of holders of the underlying Class A common stock or preferred stock, including any rights to receive dividends or payments upon any liquidation, dissolution or winding up of the Class A common stock or preferred stock, if any.</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If we offer any units, certain terms of that series of units will be described in the applicable prospectus supplement, including the following, as applicable:</w:t>
      </w:r>
    </w:p>
    <w:p>
      <w:pPr>
        <w:spacing w:after="0" w:line="18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title of the series of units.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identification and description of the separate constituent securities comprising the units.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price or prices at which the units will be issued.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if any, on and after which the constituent securities comprising the units will be separately transferable.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discussion of certain U.S. federal income tax considerations applicable to the units.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GLOBAL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DTC has advised us that it is:</w:t>
      </w:r>
    </w:p>
    <w:p>
      <w:pPr>
        <w:spacing w:after="0" w:line="158"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3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Purchases of securities under the DTC system must be made by or through direct participants, which will receive a credit for the securities on DTC’s records. The ownership interest of the actual purchaser of a security, whom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0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jc w:val="both"/>
        <w:spacing w:after="0" w:line="332" w:lineRule="auto"/>
        <w:rPr>
          <w:sz w:val="20"/>
          <w:szCs w:val="20"/>
          <w:color w:val="auto"/>
        </w:rPr>
      </w:pPr>
      <w:r>
        <w:rPr>
          <w:rFonts w:ascii="Arial" w:cs="Arial" w:eastAsia="Arial" w:hAnsi="Arial"/>
          <w:sz w:val="16"/>
          <w:szCs w:val="16"/>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7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1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if not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0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0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18"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noted above, beneficial owners of a particular series of securities generally will not receive certificates representing their ownership interests in those securities. However, if:</w:t>
      </w:r>
    </w:p>
    <w:p>
      <w:pPr>
        <w:spacing w:after="0" w:line="118" w:lineRule="exact"/>
        <w:rPr>
          <w:sz w:val="20"/>
          <w:szCs w:val="20"/>
          <w:color w:val="auto"/>
        </w:rPr>
      </w:pPr>
    </w:p>
    <w:p>
      <w:pPr>
        <w:jc w:val="both"/>
        <w:ind w:left="660" w:hanging="328"/>
        <w:spacing w:after="0" w:line="306"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6" w:name="page27"/>
    <w:bookmarkEnd w:id="26"/>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determine, in our sole discretion, not to have such securities represented by one or more global securities. or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such series of securities,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then 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Euroclear and Clearstream</w:t>
      </w:r>
    </w:p>
    <w:p>
      <w:pPr>
        <w:spacing w:after="0" w:line="16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that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10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12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fixed prices, which may be changed.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5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1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0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Any Class A common stock that we issue and sell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jc w:val="both"/>
        <w:spacing w:after="0" w:line="288" w:lineRule="auto"/>
        <w:rPr>
          <w:sz w:val="20"/>
          <w:szCs w:val="20"/>
          <w:color w:val="auto"/>
        </w:rPr>
      </w:pPr>
      <w:r>
        <w:rPr>
          <w:rFonts w:ascii="Arial" w:cs="Arial" w:eastAsia="Arial" w:hAnsi="Arial"/>
          <w:sz w:val="16"/>
          <w:szCs w:val="16"/>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specific terms of any lock-up provisions in respect of any given offering will be described in the applicable prospectus supplement.</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K&amp;L Gates LLP, Boston, Massachusetts, will pass upon certain legal matters relating to the issuance and sale of the securities offered hereby on our behalf.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Additional legal matters may be passed upon for us or any underwriters, dealers or agents, by counsel that we will name in the applicable prospectus supplement.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BDO China Shu Lun Pan Certified Public Accountants LLP, our independent registered public accounting firm in the People’s Republic of China, has audited our consolidated financial statements at, and for the years ended, December 31, 2017 and 2016, as set forth in their report incorporated by reference herein. We have incorporated by reference herein the consolidated financial statements in reliance on said firm’s report, given 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0" w:name="page31"/>
    <w:bookmarkEnd w:id="30"/>
    <w:p>
      <w:pPr>
        <w:ind w:left="54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(other than the fees of the Securities and Exchange Commission, or SEC, and the Financial Industry Regulatory Authority, or FINRA) are estimates of the expenses that the registrant may incur in connection with the offering and sale of the securities being registered hereby. All such expenses are to be paid by the registrant.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2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12,120</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FINRA filing fee</w:t>
            </w:r>
          </w:p>
        </w:tc>
        <w:tc>
          <w:tcPr>
            <w:tcW w:w="428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15,500</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4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Exchange listing fee</w:t>
            </w:r>
          </w:p>
        </w:tc>
        <w:tc>
          <w:tcPr>
            <w:tcW w:w="428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4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Printing expenses</w:t>
            </w:r>
          </w:p>
        </w:tc>
        <w:tc>
          <w:tcPr>
            <w:tcW w:w="428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fees and expenses</w:t>
            </w:r>
          </w:p>
        </w:tc>
        <w:tc>
          <w:tcPr>
            <w:tcW w:w="4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Trustee fees and expenses</w:t>
            </w:r>
          </w:p>
        </w:tc>
        <w:tc>
          <w:tcPr>
            <w:tcW w:w="428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Warrant agent fees and expenses</w:t>
            </w:r>
          </w:p>
        </w:tc>
        <w:tc>
          <w:tcPr>
            <w:tcW w:w="4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Miscellaneous</w:t>
            </w:r>
          </w:p>
        </w:tc>
        <w:tc>
          <w:tcPr>
            <w:tcW w:w="428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r>
    </w:tbl>
    <w:p>
      <w:pPr>
        <w:spacing w:after="0" w:line="140" w:lineRule="exact"/>
        <w:rPr>
          <w:sz w:val="20"/>
          <w:szCs w:val="20"/>
          <w:color w:val="auto"/>
        </w:rPr>
      </w:pPr>
    </w:p>
    <w:p>
      <w:pPr>
        <w:ind w:left="1460" w:hanging="155"/>
        <w:spacing w:after="0" w:line="268" w:lineRule="auto"/>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Because these amounts are based on the securities offered and the number of issuances, they cannot be estimated at this time and will be reflected in the applicable prospectus supplements.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Sections 145 and 102(b)(7) of the General Corporation Law of the State of Delaware provide that a corporation may indemnify any person made a party to an action by reason of the fact that the person was a director, officer, employee or agent of the corporation or is or was serving at the request of a corporation against expenses (including attorneys’ fees), judgments, fines and amounts paid in settlement actually and reasonably incurred by the person in connection with such action if the person acted in good faith and in a manner the person reasonably believed to be in, or not opposed to, the best interests of the corporation and, with respect to any criminal action or proceeding, had no reasonable cause to believe the person’s conduct was unlawful, except that, in the case of an action by or in right of the corporation, no indemnification may generally be made in respect of any claim as to which the person is adjudged to be liable to the corporation.</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registrant’s charter contains provisions that eliminate, to the maximum extent permitted by the General Corporation Law of the State of Delaware, the personal liability of the registrant’s directors for monetary damages for breach of their fiduciary duties as directors. The registrant’s bylaws provide that the registrant must indemnify its directors and officers and may indemnify its employees and other agents to the fullest extent permitted by the General Corporation Law of the State of Delaware.</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registrant has entered into indemnification agreements with its directors and executive officers, in addition to the indemnification provided by its bylaws, and intends to enter into indemnification agreements with any new directors and executive officers in the future.</w:t>
      </w:r>
    </w:p>
    <w:p>
      <w:pPr>
        <w:spacing w:after="0" w:line="11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registrant has purchased and intends to maintain insurance on behalf of any person who is or was a director or officer of the registrant against any loss arising from any claim asserted against the person and incurred by the person in any such capacity, subject to certain exclusions.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any underwriting agreement the registrant enters into in connection with the offering of securities being registered hereby, the underwriters may agree to indemnify, under certain conditions, the registrant’s directors and officers (as well as certain other persons) against certain liabilities arising in connection with such offering.</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16. Exhibits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360" w:type="dxa"/>
            <w:vAlign w:val="bottom"/>
            <w:gridSpan w:val="3"/>
          </w:tcPr>
          <w:p>
            <w:pPr>
              <w:ind w:left="24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8"/>
                <w:szCs w:val="18"/>
                <w:b w:val="1"/>
                <w:bCs w:val="1"/>
                <w:color w:val="auto"/>
              </w:rPr>
              <w:t>.</w:t>
            </w:r>
          </w:p>
        </w:tc>
        <w:tc>
          <w:tcPr>
            <w:tcW w:w="10040" w:type="dxa"/>
            <w:vAlign w:val="bottom"/>
            <w:gridSpan w:val="2"/>
          </w:tcPr>
          <w:p>
            <w:pPr>
              <w:ind w:left="12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ESCRIPTION</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5"/>
              </w:rPr>
              <w:t>1.01*</w:t>
            </w:r>
          </w:p>
        </w:tc>
        <w:tc>
          <w:tcPr>
            <w:tcW w:w="98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tcBorders>
              <w:bottom w:val="single" w:sz="8" w:color="0000EE"/>
            </w:tcBorders>
          </w:tcPr>
          <w:p>
            <w:pPr>
              <w:spacing w:after="0" w:line="176" w:lineRule="exact"/>
              <w:rPr>
                <w:rFonts w:ascii="Arial" w:cs="Arial" w:eastAsia="Arial" w:hAnsi="Arial"/>
                <w:sz w:val="18"/>
                <w:szCs w:val="18"/>
                <w:color w:val="0000EE"/>
                <w:w w:val="79"/>
              </w:rPr>
            </w:pPr>
            <w:hyperlink r:id="rId45">
              <w:r>
                <w:rPr>
                  <w:rFonts w:ascii="Arial" w:cs="Arial" w:eastAsia="Arial" w:hAnsi="Arial"/>
                  <w:sz w:val="18"/>
                  <w:szCs w:val="18"/>
                  <w:color w:val="0000EE"/>
                  <w:w w:val="79"/>
                </w:rPr>
                <w:t>3.</w:t>
              </w:r>
              <w:r>
                <w:rPr>
                  <w:rFonts w:ascii="Arial" w:cs="Arial" w:eastAsia="Arial" w:hAnsi="Arial"/>
                  <w:sz w:val="18"/>
                  <w:szCs w:val="18"/>
                  <w:u w:val="single" w:color="auto"/>
                  <w:color w:val="0000EE"/>
                  <w:w w:val="79"/>
                </w:rPr>
                <w:t>01</w:t>
              </w:r>
            </w:hyperlink>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4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Restated Certificate of Incorporation of ACM Research, Inc., as amended</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r:id="rId46">
              <w:r>
                <w:rPr>
                  <w:rFonts w:ascii="Arial" w:cs="Arial" w:eastAsia="Arial" w:hAnsi="Arial"/>
                  <w:sz w:val="18"/>
                  <w:szCs w:val="18"/>
                  <w:color w:val="0000EE"/>
                  <w:w w:val="79"/>
                </w:rPr>
                <w:t>3.</w:t>
              </w:r>
              <w:r>
                <w:rPr>
                  <w:rFonts w:ascii="Arial" w:cs="Arial" w:eastAsia="Arial" w:hAnsi="Arial"/>
                  <w:sz w:val="18"/>
                  <w:szCs w:val="18"/>
                  <w:u w:val="single" w:color="auto"/>
                  <w:color w:val="0000EE"/>
                  <w:w w:val="79"/>
                </w:rPr>
                <w:t>02</w:t>
              </w:r>
            </w:hyperlink>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CCEEFF"/>
            </w:tcBorders>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Restated Bylaws of ACM Research, Inc.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tcBorders>
              <w:top w:val="single" w:sz="8" w:color="CCEEFF"/>
              <w:bottom w:val="single" w:sz="8" w:color="0000EE"/>
            </w:tcBorders>
          </w:tcPr>
          <w:p>
            <w:pPr>
              <w:spacing w:after="0" w:line="176" w:lineRule="exact"/>
              <w:rPr>
                <w:rFonts w:ascii="Arial" w:cs="Arial" w:eastAsia="Arial" w:hAnsi="Arial"/>
                <w:sz w:val="18"/>
                <w:szCs w:val="18"/>
                <w:color w:val="0000EE"/>
                <w:w w:val="79"/>
              </w:rPr>
            </w:pPr>
            <w:hyperlink r:id="rId45">
              <w:r>
                <w:rPr>
                  <w:rFonts w:ascii="Arial" w:cs="Arial" w:eastAsia="Arial" w:hAnsi="Arial"/>
                  <w:sz w:val="18"/>
                  <w:szCs w:val="18"/>
                  <w:color w:val="0000EE"/>
                  <w:w w:val="79"/>
                </w:rPr>
                <w:t>4.</w:t>
              </w:r>
              <w:r>
                <w:rPr>
                  <w:rFonts w:ascii="Arial" w:cs="Arial" w:eastAsia="Arial" w:hAnsi="Arial"/>
                  <w:sz w:val="18"/>
                  <w:szCs w:val="18"/>
                  <w:u w:val="single" w:color="auto"/>
                  <w:color w:val="0000EE"/>
                  <w:w w:val="79"/>
                </w:rPr>
                <w:t>01</w:t>
              </w:r>
            </w:hyperlink>
          </w:p>
        </w:tc>
        <w:tc>
          <w:tcPr>
            <w:tcW w:w="8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10040" w:type="dxa"/>
            <w:vAlign w:val="bottom"/>
            <w:tcBorders>
              <w:top w:val="single" w:sz="8" w:color="CCEEFF"/>
            </w:tcBorders>
            <w:gridSpan w:val="2"/>
          </w:tcPr>
          <w:p>
            <w:pPr>
              <w:ind w:left="120"/>
              <w:spacing w:after="0" w:line="176" w:lineRule="exact"/>
              <w:rPr>
                <w:sz w:val="20"/>
                <w:szCs w:val="20"/>
                <w:color w:val="auto"/>
              </w:rPr>
            </w:pPr>
            <w:r>
              <w:rPr>
                <w:rFonts w:ascii="Arial" w:cs="Arial" w:eastAsia="Arial" w:hAnsi="Arial"/>
                <w:sz w:val="18"/>
                <w:szCs w:val="18"/>
                <w:color w:val="auto"/>
              </w:rPr>
              <w:t>Restated Certificate of Incorporation of ACM Research, Inc., as amended</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r:id="rId46">
              <w:r>
                <w:rPr>
                  <w:rFonts w:ascii="Arial" w:cs="Arial" w:eastAsia="Arial" w:hAnsi="Arial"/>
                  <w:sz w:val="18"/>
                  <w:szCs w:val="18"/>
                  <w:color w:val="0000EE"/>
                  <w:w w:val="79"/>
                </w:rPr>
                <w:t>4.</w:t>
              </w:r>
              <w:r>
                <w:rPr>
                  <w:rFonts w:ascii="Arial" w:cs="Arial" w:eastAsia="Arial" w:hAnsi="Arial"/>
                  <w:sz w:val="18"/>
                  <w:szCs w:val="18"/>
                  <w:u w:val="single" w:color="auto"/>
                  <w:color w:val="0000EE"/>
                  <w:w w:val="79"/>
                </w:rPr>
                <w:t>02</w:t>
              </w:r>
            </w:hyperlink>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CCEEFF"/>
            </w:tcBorders>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Restated Bylaws of ACM Research, Inc.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tcBorders>
              <w:top w:val="single" w:sz="8" w:color="CCEEFF"/>
              <w:bottom w:val="single" w:sz="8" w:color="0000EE"/>
            </w:tcBorders>
          </w:tcPr>
          <w:p>
            <w:pPr>
              <w:spacing w:after="0" w:line="176" w:lineRule="exact"/>
              <w:rPr>
                <w:sz w:val="20"/>
                <w:szCs w:val="20"/>
                <w:color w:val="auto"/>
              </w:rPr>
            </w:pPr>
            <w:r>
              <w:rPr>
                <w:rFonts w:ascii="Arial" w:cs="Arial" w:eastAsia="Arial" w:hAnsi="Arial"/>
                <w:sz w:val="18"/>
                <w:szCs w:val="18"/>
                <w:color w:val="0000EE"/>
                <w:w w:val="79"/>
              </w:rPr>
              <w:t>4.</w:t>
            </w:r>
            <w:r>
              <w:rPr>
                <w:rFonts w:ascii="Arial" w:cs="Arial" w:eastAsia="Arial" w:hAnsi="Arial"/>
                <w:sz w:val="18"/>
                <w:szCs w:val="18"/>
                <w:u w:val="single" w:color="auto"/>
                <w:color w:val="0000EE"/>
                <w:w w:val="79"/>
              </w:rPr>
              <w:t>03</w:t>
            </w:r>
          </w:p>
        </w:tc>
        <w:tc>
          <w:tcPr>
            <w:tcW w:w="8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10040" w:type="dxa"/>
            <w:vAlign w:val="bottom"/>
            <w:tcBorders>
              <w:top w:val="single" w:sz="8" w:color="CCEEFF"/>
            </w:tcBorders>
            <w:gridSpan w:val="2"/>
          </w:tcPr>
          <w:p>
            <w:pPr>
              <w:ind w:left="120"/>
              <w:spacing w:after="0" w:line="176" w:lineRule="exact"/>
              <w:rPr>
                <w:sz w:val="20"/>
                <w:szCs w:val="20"/>
                <w:color w:val="auto"/>
              </w:rPr>
            </w:pPr>
            <w:r>
              <w:rPr>
                <w:rFonts w:ascii="Arial" w:cs="Arial" w:eastAsia="Arial" w:hAnsi="Arial"/>
                <w:sz w:val="18"/>
                <w:szCs w:val="18"/>
                <w:color w:val="auto"/>
              </w:rPr>
              <w:t>Second Amended and Restated Registration Rights Agreement between ACM Research, Inc. and certain of its stockholders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r:id="rId47">
              <w:r>
                <w:rPr>
                  <w:rFonts w:ascii="Arial" w:cs="Arial" w:eastAsia="Arial" w:hAnsi="Arial"/>
                  <w:sz w:val="18"/>
                  <w:szCs w:val="18"/>
                  <w:color w:val="0000EE"/>
                  <w:w w:val="79"/>
                </w:rPr>
                <w:t>4.</w:t>
              </w:r>
              <w:r>
                <w:rPr>
                  <w:rFonts w:ascii="Arial" w:cs="Arial" w:eastAsia="Arial" w:hAnsi="Arial"/>
                  <w:sz w:val="18"/>
                  <w:szCs w:val="18"/>
                  <w:u w:val="single" w:color="auto"/>
                  <w:color w:val="0000EE"/>
                  <w:w w:val="79"/>
                </w:rPr>
                <w:t>04</w:t>
              </w:r>
            </w:hyperlink>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CCEEFF"/>
            </w:tcBorders>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Form of Class A Common Stock Certificate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w w:val="85"/>
              </w:rPr>
              <w:t>4.05*</w:t>
            </w:r>
          </w:p>
        </w:tc>
        <w:tc>
          <w:tcPr>
            <w:tcW w:w="980" w:type="dxa"/>
            <w:vAlign w:val="bottom"/>
            <w:tcBorders>
              <w:top w:val="single" w:sz="8" w:color="CCEEFF"/>
            </w:tcBorders>
          </w:tcPr>
          <w:p>
            <w:pPr>
              <w:spacing w:after="0"/>
              <w:rPr>
                <w:sz w:val="18"/>
                <w:szCs w:val="18"/>
                <w:color w:val="auto"/>
              </w:rPr>
            </w:pPr>
          </w:p>
        </w:tc>
        <w:tc>
          <w:tcPr>
            <w:tcW w:w="10040" w:type="dxa"/>
            <w:vAlign w:val="bottom"/>
            <w:tcBorders>
              <w:top w:val="single" w:sz="8" w:color="CCEEFF"/>
            </w:tcBorders>
            <w:gridSpan w:val="2"/>
          </w:tcPr>
          <w:p>
            <w:pPr>
              <w:ind w:left="120"/>
              <w:spacing w:after="0"/>
              <w:rPr>
                <w:sz w:val="20"/>
                <w:szCs w:val="20"/>
                <w:color w:val="auto"/>
              </w:rPr>
            </w:pPr>
            <w:r>
              <w:rPr>
                <w:rFonts w:ascii="Arial" w:cs="Arial" w:eastAsia="Arial" w:hAnsi="Arial"/>
                <w:sz w:val="18"/>
                <w:szCs w:val="18"/>
                <w:color w:val="auto"/>
              </w:rPr>
              <w:t>Form of Preferred Stock Certificate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5"/>
              </w:rPr>
              <w:t>4.06*</w:t>
            </w:r>
          </w:p>
        </w:tc>
        <w:tc>
          <w:tcPr>
            <w:tcW w:w="98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Form of Senior Indenture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w w:val="85"/>
              </w:rPr>
              <w:t>4.07*</w:t>
            </w:r>
          </w:p>
        </w:tc>
        <w:tc>
          <w:tcPr>
            <w:tcW w:w="98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Form of Subordinated Indenture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5"/>
              </w:rPr>
              <w:t>4.08*</w:t>
            </w:r>
          </w:p>
        </w:tc>
        <w:tc>
          <w:tcPr>
            <w:tcW w:w="98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Form of Senior Note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w w:val="85"/>
              </w:rPr>
              <w:t>4.09*</w:t>
            </w:r>
          </w:p>
        </w:tc>
        <w:tc>
          <w:tcPr>
            <w:tcW w:w="98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Form of Subordinated Note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5"/>
              </w:rPr>
              <w:t>4.10*</w:t>
            </w:r>
          </w:p>
        </w:tc>
        <w:tc>
          <w:tcPr>
            <w:tcW w:w="98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Form of Warrant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w w:val="85"/>
              </w:rPr>
              <w:t>4.11*</w:t>
            </w:r>
          </w:p>
        </w:tc>
        <w:tc>
          <w:tcPr>
            <w:tcW w:w="98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Form of Warrant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5"/>
              </w:rPr>
              <w:t>4.12*</w:t>
            </w:r>
          </w:p>
        </w:tc>
        <w:tc>
          <w:tcPr>
            <w:tcW w:w="98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Form of Unit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w w:val="85"/>
              </w:rPr>
              <w:t>5.01*</w:t>
            </w:r>
          </w:p>
        </w:tc>
        <w:tc>
          <w:tcPr>
            <w:tcW w:w="98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Opinion of K&amp;L Gates LLP</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tcBorders>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01</w:t>
            </w:r>
          </w:p>
        </w:tc>
        <w:tc>
          <w:tcPr>
            <w:tcW w:w="98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CCEEFF"/>
            </w:tcBorders>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Consent of BDO China Shu Lun Pan Certified Public Accountants LLP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23.02*</w:t>
            </w:r>
          </w:p>
        </w:tc>
        <w:tc>
          <w:tcPr>
            <w:tcW w:w="10040" w:type="dxa"/>
            <w:vAlign w:val="bottom"/>
            <w:tcBorders>
              <w:top w:val="single" w:sz="8" w:color="CCEEFF"/>
            </w:tcBorders>
            <w:gridSpan w:val="2"/>
          </w:tcPr>
          <w:p>
            <w:pPr>
              <w:ind w:left="120"/>
              <w:spacing w:after="0"/>
              <w:rPr>
                <w:sz w:val="20"/>
                <w:szCs w:val="20"/>
                <w:color w:val="auto"/>
              </w:rPr>
            </w:pPr>
            <w:r>
              <w:rPr>
                <w:rFonts w:ascii="Arial" w:cs="Arial" w:eastAsia="Arial" w:hAnsi="Arial"/>
                <w:sz w:val="18"/>
                <w:szCs w:val="18"/>
                <w:color w:val="auto"/>
              </w:rPr>
              <w:t>Consent of K&amp;L Gates LLP (included in Exhibit 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24.01</w:t>
            </w:r>
          </w:p>
        </w:tc>
        <w:tc>
          <w:tcPr>
            <w:tcW w:w="98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Powers of Attorney (included on the signature page of the Registration Statement)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auto"/>
              </w:rPr>
              <w:t>25.01*</w:t>
            </w:r>
          </w:p>
        </w:tc>
        <w:tc>
          <w:tcPr>
            <w:tcW w:w="1004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Statement of Eligibility on Form T</w:t>
            </w:r>
            <w:r>
              <w:rPr>
                <w:rFonts w:ascii="MS PGothic" w:cs="MS PGothic" w:eastAsia="MS PGothic" w:hAnsi="MS PGothic"/>
                <w:sz w:val="18"/>
                <w:szCs w:val="18"/>
                <w:color w:val="auto"/>
              </w:rPr>
              <w:t>‑</w:t>
            </w:r>
            <w:r>
              <w:rPr>
                <w:rFonts w:ascii="Arial" w:cs="Arial" w:eastAsia="Arial" w:hAnsi="Arial"/>
                <w:sz w:val="18"/>
                <w:szCs w:val="18"/>
                <w:color w:val="auto"/>
              </w:rPr>
              <w:t>1 under the Trust Indenture Act of 1939 of the Trustee under the Senior Indenture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25.02*</w:t>
            </w:r>
          </w:p>
        </w:tc>
        <w:tc>
          <w:tcPr>
            <w:tcW w:w="10040" w:type="dxa"/>
            <w:vAlign w:val="bottom"/>
            <w:gridSpan w:val="2"/>
            <w:shd w:val="clear" w:color="auto" w:fill="CCEEFF"/>
          </w:tcPr>
          <w:p>
            <w:pPr>
              <w:ind w:left="120"/>
              <w:spacing w:after="0" w:line="207" w:lineRule="exact"/>
              <w:rPr>
                <w:sz w:val="20"/>
                <w:szCs w:val="20"/>
                <w:color w:val="auto"/>
              </w:rPr>
            </w:pPr>
            <w:r>
              <w:rPr>
                <w:rFonts w:ascii="Arial" w:cs="Arial" w:eastAsia="Arial" w:hAnsi="Arial"/>
                <w:sz w:val="18"/>
                <w:szCs w:val="18"/>
                <w:color w:val="auto"/>
              </w:rPr>
              <w:t>Statement of Eligibility on Form T</w:t>
            </w:r>
            <w:r>
              <w:rPr>
                <w:rFonts w:ascii="MS PGothic" w:cs="MS PGothic" w:eastAsia="MS PGothic" w:hAnsi="MS PGothic"/>
                <w:sz w:val="18"/>
                <w:szCs w:val="18"/>
                <w:color w:val="auto"/>
              </w:rPr>
              <w:t>‑</w:t>
            </w:r>
            <w:r>
              <w:rPr>
                <w:rFonts w:ascii="Arial" w:cs="Arial" w:eastAsia="Arial" w:hAnsi="Arial"/>
                <w:sz w:val="18"/>
                <w:szCs w:val="18"/>
                <w:color w:val="auto"/>
              </w:rPr>
              <w:t>1 under the Trust Indenture Act of 1939 of the Trustee under the Subordinated Indenture</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 or incorporated by reference in connection with an offering of securities.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64"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57" w:lineRule="exact"/>
        <w:rPr>
          <w:rFonts w:ascii="Arial" w:cs="Arial" w:eastAsia="Arial" w:hAnsi="Arial"/>
          <w:sz w:val="18"/>
          <w:szCs w:val="18"/>
          <w:color w:val="auto"/>
        </w:rPr>
      </w:pPr>
    </w:p>
    <w:p>
      <w:pPr>
        <w:jc w:val="both"/>
        <w:ind w:left="980" w:hanging="324"/>
        <w:spacing w:after="0" w:line="253" w:lineRule="auto"/>
        <w:tabs>
          <w:tab w:leader="none" w:pos="9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 effective amendment thereof) that,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33" w:lineRule="exact"/>
        <w:rPr>
          <w:rFonts w:ascii="Arial" w:cs="Arial" w:eastAsia="Arial" w:hAnsi="Arial"/>
          <w:sz w:val="18"/>
          <w:szCs w:val="18"/>
          <w:color w:val="auto"/>
        </w:rPr>
      </w:pPr>
    </w:p>
    <w:p>
      <w:pPr>
        <w:ind w:left="980" w:hanging="324"/>
        <w:spacing w:after="0" w:line="268" w:lineRule="auto"/>
        <w:tabs>
          <w:tab w:leader="none" w:pos="9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8"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above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2" w:name="page33"/>
    <w:bookmarkEnd w:id="32"/>
    <w:p>
      <w:pPr>
        <w:jc w:val="both"/>
        <w:ind w:left="660" w:hanging="328"/>
        <w:spacing w:after="0" w:line="25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26"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that remain unsold at the termination of the offering.</w:t>
      </w:r>
    </w:p>
    <w:p>
      <w:pPr>
        <w:spacing w:after="0" w:line="118"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57" w:lineRule="exact"/>
        <w:rPr>
          <w:rFonts w:ascii="Arial" w:cs="Arial" w:eastAsia="Arial" w:hAnsi="Arial"/>
          <w:sz w:val="18"/>
          <w:szCs w:val="18"/>
          <w:color w:val="auto"/>
        </w:rPr>
      </w:pPr>
    </w:p>
    <w:p>
      <w:pPr>
        <w:ind w:left="980" w:right="20" w:hanging="324"/>
        <w:spacing w:after="0" w:line="268"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18"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13" w:lineRule="exact"/>
        <w:rPr>
          <w:rFonts w:ascii="Arial" w:cs="Arial" w:eastAsia="Arial" w:hAnsi="Arial"/>
          <w:sz w:val="16"/>
          <w:szCs w:val="16"/>
          <w:color w:val="auto"/>
        </w:rPr>
      </w:pPr>
    </w:p>
    <w:p>
      <w:pPr>
        <w:ind w:left="660" w:hanging="328"/>
        <w:spacing w:after="0" w:line="26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18"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30" w:lineRule="exact"/>
        <w:rPr>
          <w:sz w:val="20"/>
          <w:szCs w:val="20"/>
          <w:color w:val="auto"/>
        </w:rPr>
      </w:pPr>
    </w:p>
    <w:p>
      <w:pPr>
        <w:ind w:left="980" w:hanging="324"/>
        <w:spacing w:after="0"/>
        <w:tabs>
          <w:tab w:leader="none" w:pos="9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80" w:lineRule="exact"/>
        <w:rPr>
          <w:rFonts w:ascii="Arial" w:cs="Arial" w:eastAsia="Arial" w:hAnsi="Arial"/>
          <w:sz w:val="16"/>
          <w:szCs w:val="16"/>
          <w:color w:val="auto"/>
        </w:rPr>
      </w:pPr>
    </w:p>
    <w:p>
      <w:pPr>
        <w:ind w:left="980" w:hanging="324"/>
        <w:spacing w:after="0" w:line="268"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18" w:lineRule="exact"/>
        <w:rPr>
          <w:rFonts w:ascii="Arial" w:cs="Arial" w:eastAsia="Arial" w:hAnsi="Arial"/>
          <w:sz w:val="18"/>
          <w:szCs w:val="18"/>
          <w:color w:val="auto"/>
        </w:rPr>
      </w:pPr>
    </w:p>
    <w:p>
      <w:pPr>
        <w:ind w:left="980" w:hanging="324"/>
        <w:spacing w:after="0" w:line="268"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8" w:lineRule="exact"/>
        <w:rPr>
          <w:rFonts w:ascii="Arial" w:cs="Arial" w:eastAsia="Arial" w:hAnsi="Arial"/>
          <w:sz w:val="18"/>
          <w:szCs w:val="18"/>
          <w:color w:val="auto"/>
        </w:rPr>
      </w:pPr>
    </w:p>
    <w:p>
      <w:pPr>
        <w:ind w:left="980" w:hanging="324"/>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57"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9" w:lineRule="exact"/>
        <w:rPr>
          <w:rFonts w:ascii="Arial" w:cs="Arial" w:eastAsia="Arial" w:hAnsi="Arial"/>
          <w:sz w:val="18"/>
          <w:szCs w:val="18"/>
          <w:color w:val="auto"/>
        </w:rPr>
      </w:pPr>
    </w:p>
    <w:p>
      <w:pPr>
        <w:jc w:val="both"/>
        <w:ind w:left="340" w:hanging="332"/>
        <w:spacing w:after="0" w:line="290"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4" w:lineRule="exact"/>
        <w:rPr>
          <w:rFonts w:ascii="Arial" w:cs="Arial" w:eastAsia="Arial" w:hAnsi="Arial"/>
          <w:sz w:val="16"/>
          <w:szCs w:val="16"/>
          <w:color w:val="auto"/>
        </w:rPr>
      </w:pPr>
    </w:p>
    <w:p>
      <w:pPr>
        <w:jc w:val="both"/>
        <w:ind w:left="340" w:hanging="332"/>
        <w:spacing w:after="0" w:line="259"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of 1939 in accordance with the rules and regulations prescribed by the SEC under Section 305(b)(2) of the Trust Indenture Act of 1939.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Fremont, State of California, on December 10, 2018.</w:t>
      </w:r>
    </w:p>
    <w:p>
      <w:pPr>
        <w:spacing w:after="0" w:line="1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19685</wp:posOffset>
            </wp:positionV>
            <wp:extent cx="252984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H. Wang</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President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OWER OF</w:t>
      </w:r>
      <w:r>
        <w:rPr>
          <w:rFonts w:ascii="Arial" w:cs="Arial" w:eastAsia="Arial" w:hAnsi="Arial"/>
          <w:sz w:val="18"/>
          <w:szCs w:val="18"/>
          <w:color w:val="auto"/>
        </w:rPr>
        <w:t xml:space="preserve"> A</w:t>
      </w:r>
      <w:r>
        <w:rPr>
          <w:rFonts w:ascii="Arial" w:cs="Arial" w:eastAsia="Arial" w:hAnsi="Arial"/>
          <w:sz w:val="12"/>
          <w:szCs w:val="12"/>
          <w:color w:val="auto"/>
        </w:rPr>
        <w:t>TTORNEY</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David H. Wang, Lisa Feng and Mark McKechnie, or any of them, as his or her true and lawful attorneys-in-fact and agents, with full power of substitution and resubstitution, for him or her and in his or her name, place and stead, in any and all capacities, to file and sign any and all amendments, including post-effective amendments and any registration statement for the same offering that is to be effective under Rule 462(b) of the Securities Act of 1933 to this registration statement,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on behalf of the registrant in the capacities and on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IGNATURE</w:t>
            </w:r>
          </w:p>
        </w:tc>
        <w:tc>
          <w:tcPr>
            <w:tcW w:w="6740" w:type="dxa"/>
            <w:vAlign w:val="bottom"/>
            <w:gridSpan w:val="2"/>
          </w:tcPr>
          <w:p>
            <w:pPr>
              <w:ind w:left="1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ITLE</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ATE</w:t>
            </w:r>
          </w:p>
        </w:tc>
      </w:tr>
      <w:tr>
        <w:trPr>
          <w:trHeight w:val="28"/>
        </w:trPr>
        <w:tc>
          <w:tcPr>
            <w:tcW w:w="20" w:type="dxa"/>
            <w:vAlign w:val="bottom"/>
            <w:shd w:val="clear" w:color="auto" w:fill="000000"/>
          </w:tcPr>
          <w:p>
            <w:pPr>
              <w:spacing w:after="0"/>
              <w:rPr>
                <w:sz w:val="2"/>
                <w:szCs w:val="2"/>
                <w:color w:val="auto"/>
              </w:rPr>
            </w:pPr>
          </w:p>
        </w:tc>
        <w:tc>
          <w:tcPr>
            <w:tcW w:w="2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shd w:val="clear" w:color="auto" w:fill="000000"/>
          </w:tcPr>
          <w:p>
            <w:pPr>
              <w:spacing w:after="0"/>
              <w:rPr>
                <w:sz w:val="2"/>
                <w:szCs w:val="2"/>
                <w:color w:val="auto"/>
              </w:rPr>
            </w:pPr>
          </w:p>
        </w:tc>
      </w:tr>
      <w:tr>
        <w:trPr>
          <w:trHeight w:val="439"/>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w:t>
            </w:r>
            <w:r>
              <w:rPr>
                <w:rFonts w:ascii="Arial" w:cs="Arial" w:eastAsia="Arial" w:hAnsi="Arial"/>
                <w:sz w:val="12"/>
                <w:szCs w:val="12"/>
                <w:color w:val="auto"/>
              </w:rPr>
              <w:t>AVID</w:t>
            </w:r>
            <w:r>
              <w:rPr>
                <w:rFonts w:ascii="Arial" w:cs="Arial" w:eastAsia="Arial" w:hAnsi="Arial"/>
                <w:sz w:val="18"/>
                <w:szCs w:val="18"/>
                <w:color w:val="auto"/>
              </w:rPr>
              <w:t xml:space="preserve"> H. W</w:t>
            </w:r>
            <w:r>
              <w:rPr>
                <w:rFonts w:ascii="Arial" w:cs="Arial" w:eastAsia="Arial" w:hAnsi="Arial"/>
                <w:sz w:val="12"/>
                <w:szCs w:val="12"/>
                <w:color w:val="auto"/>
              </w:rPr>
              <w:t>ANG</w:t>
            </w: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Chief Executive Officer, President</w:t>
            </w: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December 10, 2018</w:t>
            </w: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David H Wang</w:t>
            </w: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 xml:space="preserve">and Chair of the Board </w:t>
            </w:r>
            <w:r>
              <w:rPr>
                <w:rFonts w:ascii="Arial" w:cs="Arial" w:eastAsia="Arial" w:hAnsi="Arial"/>
                <w:sz w:val="18"/>
                <w:szCs w:val="18"/>
                <w:i w:val="1"/>
                <w:iCs w:val="1"/>
                <w:color w:val="auto"/>
              </w:rPr>
              <w:t>(Principal Executive Officer)</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3"/>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w:t>
            </w:r>
            <w:r>
              <w:rPr>
                <w:rFonts w:ascii="Arial" w:cs="Arial" w:eastAsia="Arial" w:hAnsi="Arial"/>
                <w:sz w:val="12"/>
                <w:szCs w:val="12"/>
                <w:color w:val="auto"/>
              </w:rPr>
              <w:t>ISA</w:t>
            </w:r>
            <w:r>
              <w:rPr>
                <w:rFonts w:ascii="Arial" w:cs="Arial" w:eastAsia="Arial" w:hAnsi="Arial"/>
                <w:sz w:val="18"/>
                <w:szCs w:val="18"/>
                <w:color w:val="auto"/>
              </w:rPr>
              <w:t xml:space="preserve"> F</w:t>
            </w:r>
            <w:r>
              <w:rPr>
                <w:rFonts w:ascii="Arial" w:cs="Arial" w:eastAsia="Arial" w:hAnsi="Arial"/>
                <w:sz w:val="12"/>
                <w:szCs w:val="12"/>
                <w:color w:val="auto"/>
              </w:rPr>
              <w:t>ENG</w:t>
            </w: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Interim Chief Financial Officer,</w:t>
            </w: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December 10, 2018</w:t>
            </w: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Lisa Feng</w:t>
            </w: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w w:val="99"/>
              </w:rPr>
              <w:t xml:space="preserve">Chief Accounting Officer and Treasurer </w:t>
            </w:r>
            <w:r>
              <w:rPr>
                <w:rFonts w:ascii="Arial" w:cs="Arial" w:eastAsia="Arial" w:hAnsi="Arial"/>
                <w:sz w:val="18"/>
                <w:szCs w:val="18"/>
                <w:i w:val="1"/>
                <w:iCs w:val="1"/>
                <w:color w:val="auto"/>
                <w:w w:val="99"/>
              </w:rPr>
              <w:t>(Principal Financial and Accounting Officer)</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3"/>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w:t>
            </w:r>
            <w:r>
              <w:rPr>
                <w:rFonts w:ascii="Arial" w:cs="Arial" w:eastAsia="Arial" w:hAnsi="Arial"/>
                <w:sz w:val="12"/>
                <w:szCs w:val="12"/>
                <w:color w:val="auto"/>
              </w:rPr>
              <w:t>AIPING</w:t>
            </w:r>
            <w:r>
              <w:rPr>
                <w:rFonts w:ascii="Arial" w:cs="Arial" w:eastAsia="Arial" w:hAnsi="Arial"/>
                <w:sz w:val="18"/>
                <w:szCs w:val="18"/>
                <w:color w:val="auto"/>
              </w:rPr>
              <w:t xml:space="preserve"> D</w:t>
            </w:r>
            <w:r>
              <w:rPr>
                <w:rFonts w:ascii="Arial" w:cs="Arial" w:eastAsia="Arial" w:hAnsi="Arial"/>
                <w:sz w:val="12"/>
                <w:szCs w:val="12"/>
                <w:color w:val="auto"/>
              </w:rPr>
              <w:t>UN</w:t>
            </w: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December 10, 2018</w:t>
            </w: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Haiping Dun</w:t>
            </w:r>
          </w:p>
        </w:tc>
        <w:tc>
          <w:tcPr>
            <w:tcW w:w="1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3"/>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w:t>
            </w:r>
            <w:r>
              <w:rPr>
                <w:rFonts w:ascii="Arial" w:cs="Arial" w:eastAsia="Arial" w:hAnsi="Arial"/>
                <w:sz w:val="12"/>
                <w:szCs w:val="12"/>
                <w:color w:val="auto"/>
              </w:rPr>
              <w:t>HENMING</w:t>
            </w:r>
            <w:r>
              <w:rPr>
                <w:rFonts w:ascii="Arial" w:cs="Arial" w:eastAsia="Arial" w:hAnsi="Arial"/>
                <w:sz w:val="18"/>
                <w:szCs w:val="18"/>
                <w:color w:val="auto"/>
              </w:rPr>
              <w:t xml:space="preserve"> H</w:t>
            </w:r>
            <w:r>
              <w:rPr>
                <w:rFonts w:ascii="Arial" w:cs="Arial" w:eastAsia="Arial" w:hAnsi="Arial"/>
                <w:sz w:val="12"/>
                <w:szCs w:val="12"/>
                <w:color w:val="auto"/>
              </w:rPr>
              <w:t>U</w:t>
            </w: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December 10, 2018</w:t>
            </w: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Chenming Hu</w:t>
            </w:r>
          </w:p>
        </w:tc>
        <w:tc>
          <w:tcPr>
            <w:tcW w:w="1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3"/>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w:t>
            </w:r>
            <w:r>
              <w:rPr>
                <w:rFonts w:ascii="Arial" w:cs="Arial" w:eastAsia="Arial" w:hAnsi="Arial"/>
                <w:sz w:val="12"/>
                <w:szCs w:val="12"/>
                <w:color w:val="auto"/>
              </w:rPr>
              <w:t>RACY</w:t>
            </w:r>
            <w:r>
              <w:rPr>
                <w:rFonts w:ascii="Arial" w:cs="Arial" w:eastAsia="Arial" w:hAnsi="Arial"/>
                <w:sz w:val="18"/>
                <w:szCs w:val="18"/>
                <w:color w:val="auto"/>
              </w:rPr>
              <w:t xml:space="preserve"> L</w:t>
            </w:r>
            <w:r>
              <w:rPr>
                <w:rFonts w:ascii="Arial" w:cs="Arial" w:eastAsia="Arial" w:hAnsi="Arial"/>
                <w:sz w:val="12"/>
                <w:szCs w:val="12"/>
                <w:color w:val="auto"/>
              </w:rPr>
              <w:t>IU</w:t>
            </w: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December 10, 2018</w:t>
            </w: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Tracy Liu</w:t>
            </w:r>
          </w:p>
        </w:tc>
        <w:tc>
          <w:tcPr>
            <w:tcW w:w="1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3"/>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Y</w:t>
            </w:r>
            <w:r>
              <w:rPr>
                <w:rFonts w:ascii="Arial" w:cs="Arial" w:eastAsia="Arial" w:hAnsi="Arial"/>
                <w:sz w:val="12"/>
                <w:szCs w:val="12"/>
                <w:color w:val="auto"/>
              </w:rPr>
              <w:t>INAN</w:t>
            </w:r>
            <w:r>
              <w:rPr>
                <w:rFonts w:ascii="Arial" w:cs="Arial" w:eastAsia="Arial" w:hAnsi="Arial"/>
                <w:sz w:val="18"/>
                <w:szCs w:val="18"/>
                <w:color w:val="auto"/>
              </w:rPr>
              <w:t xml:space="preserve"> X</w:t>
            </w:r>
            <w:r>
              <w:rPr>
                <w:rFonts w:ascii="Arial" w:cs="Arial" w:eastAsia="Arial" w:hAnsi="Arial"/>
                <w:sz w:val="12"/>
                <w:szCs w:val="12"/>
                <w:color w:val="auto"/>
              </w:rPr>
              <w:t>IANG</w:t>
            </w: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December 10, 2018</w:t>
            </w: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Yinan Xiang</w:t>
            </w:r>
          </w:p>
        </w:tc>
        <w:tc>
          <w:tcPr>
            <w:tcW w:w="1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3"/>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Zhengfan Yang</w:t>
            </w:r>
          </w:p>
        </w:tc>
        <w:tc>
          <w:tcPr>
            <w:tcW w:w="1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4.03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SECOND AMENDED AND RESTATED</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708025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100" w:type="dxa"/>
            <w:vAlign w:val="bottom"/>
          </w:tcPr>
          <w:p>
            <w:pPr>
              <w:jc w:val="right"/>
              <w:ind w:right="4732"/>
              <w:spacing w:after="0"/>
              <w:rPr>
                <w:sz w:val="20"/>
                <w:szCs w:val="20"/>
                <w:color w:val="auto"/>
              </w:rPr>
            </w:pPr>
            <w:r>
              <w:rPr>
                <w:rFonts w:ascii="Arial" w:cs="Arial" w:eastAsia="Arial" w:hAnsi="Arial"/>
                <w:sz w:val="18"/>
                <w:szCs w:val="18"/>
                <w:color w:val="auto"/>
              </w:rPr>
              <w:t>TABLE OF CONTENTS</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100" w:type="dxa"/>
            <w:vAlign w:val="bottom"/>
          </w:tcPr>
          <w:p>
            <w:pPr>
              <w:jc w:val="right"/>
              <w:ind w:right="272"/>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Definitions</w:t>
            </w:r>
          </w:p>
        </w:tc>
        <w:tc>
          <w:tcPr>
            <w:tcW w:w="71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Registration Rights</w:t>
            </w:r>
          </w:p>
        </w:tc>
        <w:tc>
          <w:tcPr>
            <w:tcW w:w="71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Underwriting Requirements</w:t>
            </w:r>
          </w:p>
        </w:tc>
        <w:tc>
          <w:tcPr>
            <w:tcW w:w="71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Obligations of the Company</w:t>
            </w:r>
          </w:p>
        </w:tc>
        <w:tc>
          <w:tcPr>
            <w:tcW w:w="71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Furnish Information</w:t>
            </w:r>
          </w:p>
        </w:tc>
        <w:tc>
          <w:tcPr>
            <w:tcW w:w="71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Expenses of Registration</w:t>
            </w:r>
          </w:p>
        </w:tc>
        <w:tc>
          <w:tcPr>
            <w:tcW w:w="71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Delay of Registration</w:t>
            </w:r>
          </w:p>
        </w:tc>
        <w:tc>
          <w:tcPr>
            <w:tcW w:w="71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8.</w:t>
            </w: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Indemnification</w:t>
            </w:r>
          </w:p>
        </w:tc>
        <w:tc>
          <w:tcPr>
            <w:tcW w:w="71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Reports Under Exchange Act</w:t>
            </w:r>
          </w:p>
        </w:tc>
        <w:tc>
          <w:tcPr>
            <w:tcW w:w="71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Limitations on Subsequent Registration Rights</w:t>
            </w:r>
          </w:p>
        </w:tc>
        <w:tc>
          <w:tcPr>
            <w:tcW w:w="71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Termination of Registration Rights</w:t>
            </w:r>
          </w:p>
        </w:tc>
        <w:tc>
          <w:tcPr>
            <w:tcW w:w="71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12.</w:t>
            </w: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Changes in Holders and Updating of Schedules.</w:t>
            </w:r>
          </w:p>
        </w:tc>
        <w:tc>
          <w:tcPr>
            <w:tcW w:w="71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Miscellaneous</w:t>
            </w:r>
          </w:p>
        </w:tc>
        <w:tc>
          <w:tcPr>
            <w:tcW w:w="71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 Schedule of Incidental Rights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 Schedule of Comprehensive Rights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 Form of Adoption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6" w:name="page37"/>
    <w:bookmarkEnd w:id="36"/>
    <w:p>
      <w:pPr>
        <w:jc w:val="both"/>
        <w:ind w:firstLine="648"/>
        <w:spacing w:after="0" w:line="306" w:lineRule="auto"/>
        <w:rPr>
          <w:sz w:val="20"/>
          <w:szCs w:val="20"/>
          <w:color w:val="auto"/>
        </w:rPr>
      </w:pPr>
      <w:r>
        <w:rPr>
          <w:rFonts w:ascii="Arial" w:cs="Arial" w:eastAsia="Arial" w:hAnsi="Arial"/>
          <w:sz w:val="16"/>
          <w:szCs w:val="16"/>
          <w:color w:val="auto"/>
        </w:rPr>
        <w:t>THIS SECOND AMENDED AND RESTATED REGISTRATION RIGHTS AGREEMENT (this “</w:t>
      </w:r>
      <w:r>
        <w:rPr>
          <w:rFonts w:ascii="Arial" w:cs="Arial" w:eastAsia="Arial" w:hAnsi="Arial"/>
          <w:sz w:val="16"/>
          <w:szCs w:val="16"/>
          <w:i w:val="1"/>
          <w:iCs w:val="1"/>
          <w:color w:val="auto"/>
        </w:rPr>
        <w:t>Agreement</w:t>
      </w:r>
      <w:r>
        <w:rPr>
          <w:rFonts w:ascii="Arial" w:cs="Arial" w:eastAsia="Arial" w:hAnsi="Arial"/>
          <w:sz w:val="16"/>
          <w:szCs w:val="16"/>
          <w:color w:val="auto"/>
        </w:rPr>
        <w:t>”) is made as of October 16, 2017, by and among ACM Research, Inc., a Delaware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Shengxin (Shanghai) Management Consulting Limited Partnership (“</w:t>
      </w:r>
      <w:r>
        <w:rPr>
          <w:rFonts w:ascii="Arial" w:cs="Arial" w:eastAsia="Arial" w:hAnsi="Arial"/>
          <w:sz w:val="16"/>
          <w:szCs w:val="16"/>
          <w:i w:val="1"/>
          <w:iCs w:val="1"/>
          <w:color w:val="auto"/>
        </w:rPr>
        <w:t>SMC</w:t>
      </w:r>
      <w:r>
        <w:rPr>
          <w:rFonts w:ascii="Arial" w:cs="Arial" w:eastAsia="Arial" w:hAnsi="Arial"/>
          <w:sz w:val="16"/>
          <w:szCs w:val="16"/>
          <w:color w:val="auto"/>
        </w:rPr>
        <w:t xml:space="preserve">”), Xinxin (Hongkong) Capital Co., Limited and Victorious Way Limited. Certain capitalized terms used herein are defined in </w:t>
      </w:r>
      <w:r>
        <w:rPr>
          <w:rFonts w:ascii="Arial" w:cs="Arial" w:eastAsia="Arial" w:hAnsi="Arial"/>
          <w:sz w:val="16"/>
          <w:szCs w:val="16"/>
          <w:u w:val="single" w:color="auto"/>
          <w:color w:val="auto"/>
        </w:rPr>
        <w:t>Section 1</w:t>
      </w:r>
      <w:r>
        <w:rPr>
          <w:rFonts w:ascii="Arial" w:cs="Arial" w:eastAsia="Arial" w:hAnsi="Arial"/>
          <w:sz w:val="16"/>
          <w:szCs w:val="16"/>
          <w:color w:val="auto"/>
        </w:rPr>
        <w: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58"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A. The Company and SMC previously entered into a Registration Rights Agreement dated as of March 10, 2017, pursuant to which the Company provided SMC with certain registration rights with respect to SMC’s equity interests in the Company, which agreement was subsequently amended and restated persuant to the Amended and Restated Registration Rights Agreement dated as of September 24, 2017 (the “</w:t>
      </w:r>
      <w:r>
        <w:rPr>
          <w:rFonts w:ascii="Arial" w:cs="Arial" w:eastAsia="Arial" w:hAnsi="Arial"/>
          <w:sz w:val="16"/>
          <w:szCs w:val="16"/>
          <w:i w:val="1"/>
          <w:iCs w:val="1"/>
          <w:color w:val="auto"/>
        </w:rPr>
        <w:t>Original Agreement</w:t>
      </w:r>
      <w:r>
        <w:rPr>
          <w:rFonts w:ascii="Arial" w:cs="Arial" w:eastAsia="Arial" w:hAnsi="Arial"/>
          <w:sz w:val="16"/>
          <w:szCs w:val="16"/>
          <w:color w:val="auto"/>
        </w:rPr>
        <w:t>”).</w:t>
      </w:r>
    </w:p>
    <w:p>
      <w:pPr>
        <w:spacing w:after="0" w:line="93"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B. Contemporaneously herewith, each of Xinxin (Hongkong) Capital Co., Limited and Victorious Way Limited is entering into a Stock Purchase Agreement dated as of the date hereof, pursuant to which it proposes to purchase Class A Shares subject to the respective terms and conditions set forth therein, which conditions include the execution and delivery of this Agreement.</w:t>
      </w:r>
    </w:p>
    <w:p>
      <w:pPr>
        <w:spacing w:after="0" w:line="12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C. In order to facilitate such purchases of Class A Shares, the Company and SMC desire to amend and restate the Original Agreement in its entirety as provided herein.</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parties hereto agree as follows:</w:t>
      </w:r>
    </w:p>
    <w:p>
      <w:pPr>
        <w:spacing w:after="0" w:line="185" w:lineRule="exact"/>
        <w:rPr>
          <w:sz w:val="20"/>
          <w:szCs w:val="20"/>
          <w:color w:val="auto"/>
        </w:rPr>
      </w:pPr>
    </w:p>
    <w:p>
      <w:pPr>
        <w:ind w:left="1660" w:hanging="355"/>
        <w:spacing w:after="0"/>
        <w:tabs>
          <w:tab w:leader="none" w:pos="1660"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184" w:lineRule="exact"/>
        <w:rPr>
          <w:rFonts w:ascii="Arial" w:cs="Arial" w:eastAsia="Arial" w:hAnsi="Arial"/>
          <w:sz w:val="18"/>
          <w:szCs w:val="18"/>
          <w:color w:val="auto"/>
        </w:rPr>
      </w:pPr>
    </w:p>
    <w:p>
      <w:pPr>
        <w:ind w:left="2040" w:hanging="411"/>
        <w:spacing w:after="0"/>
        <w:tabs>
          <w:tab w:leader="none" w:pos="2040" w:val="left"/>
        </w:tabs>
        <w:numPr>
          <w:ilvl w:val="2"/>
          <w:numId w:val="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Adoption Agreement”</w:t>
      </w:r>
      <w:r>
        <w:rPr>
          <w:rFonts w:ascii="Arial" w:cs="Arial" w:eastAsia="Arial" w:hAnsi="Arial"/>
          <w:sz w:val="16"/>
          <w:szCs w:val="16"/>
          <w:color w:val="auto"/>
        </w:rPr>
        <w:t xml:space="preserve"> means an agreement in the form attached as EXHIBIT A or in such other form as the Company may require</w:t>
      </w:r>
    </w:p>
    <w:p>
      <w:pPr>
        <w:spacing w:after="0" w:line="3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from time to time.</w:t>
      </w:r>
    </w:p>
    <w:p>
      <w:pPr>
        <w:spacing w:after="0" w:line="178" w:lineRule="exact"/>
        <w:rPr>
          <w:rFonts w:ascii="Arial" w:cs="Arial" w:eastAsia="Arial" w:hAnsi="Arial"/>
          <w:sz w:val="16"/>
          <w:szCs w:val="16"/>
          <w:color w:val="auto"/>
        </w:rPr>
      </w:pPr>
    </w:p>
    <w:p>
      <w:pPr>
        <w:ind w:left="660" w:right="40" w:firstLine="969"/>
        <w:spacing w:after="0" w:line="256" w:lineRule="auto"/>
        <w:tabs>
          <w:tab w:leader="none" w:pos="2053" w:val="left"/>
        </w:tabs>
        <w:numPr>
          <w:ilvl w:val="2"/>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with respect to any specified Person, any other Person who, directly or indirectly, controls, is controlled by, or is under common control with such Person, including any general partner, managing member, officer or director of such Person or any venture capital fund now or hereafter existing that is controlled by one or more general partners or managing members of, or shares the same management company with, such Person.</w:t>
      </w:r>
    </w:p>
    <w:p>
      <w:pPr>
        <w:spacing w:after="0" w:line="129" w:lineRule="exact"/>
        <w:rPr>
          <w:rFonts w:ascii="Arial" w:cs="Arial" w:eastAsia="Arial" w:hAnsi="Arial"/>
          <w:sz w:val="18"/>
          <w:szCs w:val="18"/>
          <w:color w:val="auto"/>
        </w:rPr>
      </w:pPr>
    </w:p>
    <w:p>
      <w:pPr>
        <w:ind w:left="1300" w:hanging="320"/>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Shares</w:t>
      </w:r>
      <w:r>
        <w:rPr>
          <w:rFonts w:ascii="Arial" w:cs="Arial" w:eastAsia="Arial" w:hAnsi="Arial"/>
          <w:sz w:val="18"/>
          <w:szCs w:val="18"/>
          <w:color w:val="auto"/>
        </w:rPr>
        <w:t>” means shares of Class A Common Stock of the Company.</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Comprehensive Rights Holder</w:t>
      </w:r>
      <w:r>
        <w:rPr>
          <w:rFonts w:ascii="Arial" w:cs="Arial" w:eastAsia="Arial" w:hAnsi="Arial"/>
          <w:sz w:val="18"/>
          <w:szCs w:val="18"/>
          <w:color w:val="auto"/>
        </w:rPr>
        <w:t>” means a party listed on SCHEDULE II.</w:t>
      </w:r>
    </w:p>
    <w:p>
      <w:pPr>
        <w:spacing w:after="0" w:line="184" w:lineRule="exact"/>
        <w:rPr>
          <w:rFonts w:ascii="Arial" w:cs="Arial" w:eastAsia="Arial" w:hAnsi="Arial"/>
          <w:sz w:val="18"/>
          <w:szCs w:val="18"/>
          <w:color w:val="auto"/>
        </w:rPr>
      </w:pPr>
    </w:p>
    <w:p>
      <w:pPr>
        <w:ind w:left="660" w:right="100" w:firstLine="969"/>
        <w:spacing w:after="0" w:line="290" w:lineRule="auto"/>
        <w:tabs>
          <w:tab w:leader="none" w:pos="2087" w:val="left"/>
        </w:tabs>
        <w:numPr>
          <w:ilvl w:val="2"/>
          <w:numId w:val="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Damages</w:t>
      </w:r>
      <w:r>
        <w:rPr>
          <w:rFonts w:ascii="Arial" w:cs="Arial" w:eastAsia="Arial" w:hAnsi="Arial"/>
          <w:sz w:val="16"/>
          <w:szCs w:val="16"/>
          <w:color w:val="auto"/>
        </w:rPr>
        <w:t>” means any loss, damage, claim or liability (joint or several) to which a party to this Agreement may become subject under the Securities Act, the Exchange Act, or other federal or state law, insofar as such loss, damage, claim or liability (or any action in respect to this Agreement) arises out of or is based upon: (i) any untrue statement or alleged untrue statement of a material fact contained in any registration statement of the Company, including any preliminary prospectus or final prospectus contained therein or any amendments or supplements to this Agreement;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7" w:name="page38"/>
    <w:bookmarkEnd w:id="37"/>
    <w:p>
      <w:pPr>
        <w:ind w:left="-540" w:right="120" w:firstLine="969"/>
        <w:spacing w:after="0" w:line="268" w:lineRule="auto"/>
        <w:tabs>
          <w:tab w:leader="none" w:pos="8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Demand Registrable Securities</w:t>
      </w:r>
      <w:r>
        <w:rPr>
          <w:rFonts w:ascii="Arial" w:cs="Arial" w:eastAsia="Arial" w:hAnsi="Arial"/>
          <w:sz w:val="18"/>
          <w:szCs w:val="18"/>
          <w:color w:val="auto"/>
        </w:rPr>
        <w:t>” means Class A Shares that are held by the Comprehensive Rights Holders and listed across from a Comprehensive Rights Holder’s name on SCHEDULE II.</w:t>
      </w:r>
    </w:p>
    <w:p>
      <w:pPr>
        <w:spacing w:after="0" w:line="145" w:lineRule="exact"/>
        <w:rPr>
          <w:rFonts w:ascii="Arial" w:cs="Arial" w:eastAsia="Arial" w:hAnsi="Arial"/>
          <w:sz w:val="18"/>
          <w:szCs w:val="18"/>
          <w:color w:val="auto"/>
        </w:rPr>
      </w:pPr>
    </w:p>
    <w:p>
      <w:pPr>
        <w:ind w:left="840" w:hanging="411"/>
        <w:spacing w:after="0"/>
        <w:tabs>
          <w:tab w:leader="none" w:pos="8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Exchange Act</w:t>
      </w:r>
      <w:r>
        <w:rPr>
          <w:rFonts w:ascii="Arial" w:cs="Arial" w:eastAsia="Arial" w:hAnsi="Arial"/>
          <w:sz w:val="15"/>
          <w:szCs w:val="15"/>
          <w:color w:val="auto"/>
        </w:rPr>
        <w:t>” means the U.S. Securities Exchange Act of 1934, as amended, and the rules and regulations promulgated thereunder.</w:t>
      </w:r>
    </w:p>
    <w:p>
      <w:pPr>
        <w:spacing w:after="0" w:line="219" w:lineRule="exact"/>
        <w:rPr>
          <w:rFonts w:ascii="Arial" w:cs="Arial" w:eastAsia="Arial" w:hAnsi="Arial"/>
          <w:sz w:val="15"/>
          <w:szCs w:val="15"/>
          <w:color w:val="auto"/>
        </w:rPr>
      </w:pPr>
    </w:p>
    <w:p>
      <w:pPr>
        <w:ind w:left="-540" w:right="40" w:firstLine="969"/>
        <w:spacing w:after="0" w:line="255" w:lineRule="auto"/>
        <w:tabs>
          <w:tab w:leader="none" w:pos="897"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Registration</w:t>
      </w:r>
      <w:r>
        <w:rPr>
          <w:rFonts w:ascii="Arial" w:cs="Arial" w:eastAsia="Arial" w:hAnsi="Arial"/>
          <w:sz w:val="18"/>
          <w:szCs w:val="18"/>
          <w:color w:val="auto"/>
        </w:rPr>
        <w:t>” means: (i) a registration relating to the sale of securities to employees of the Company or a subsidiary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Class A Shares being registered are Class A Shares issuable upon conversion of debt securities that are also being registered.</w:t>
      </w:r>
    </w:p>
    <w:p>
      <w:pPr>
        <w:spacing w:after="0" w:line="156" w:lineRule="exact"/>
        <w:rPr>
          <w:rFonts w:ascii="Arial" w:cs="Arial" w:eastAsia="Arial" w:hAnsi="Arial"/>
          <w:sz w:val="18"/>
          <w:szCs w:val="18"/>
          <w:color w:val="auto"/>
        </w:rPr>
      </w:pPr>
    </w:p>
    <w:p>
      <w:pPr>
        <w:ind w:left="-540" w:right="360" w:firstLine="969"/>
        <w:spacing w:after="0" w:line="268" w:lineRule="auto"/>
        <w:tabs>
          <w:tab w:leader="none" w:pos="814"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Form S-1</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w:t>
      </w:r>
    </w:p>
    <w:p>
      <w:pPr>
        <w:spacing w:after="0" w:line="145" w:lineRule="exact"/>
        <w:rPr>
          <w:rFonts w:ascii="Arial" w:cs="Arial" w:eastAsia="Arial" w:hAnsi="Arial"/>
          <w:sz w:val="18"/>
          <w:szCs w:val="18"/>
          <w:color w:val="auto"/>
        </w:rPr>
      </w:pPr>
    </w:p>
    <w:p>
      <w:pPr>
        <w:ind w:left="-540" w:right="200" w:firstLine="969"/>
        <w:spacing w:after="0" w:line="259" w:lineRule="auto"/>
        <w:tabs>
          <w:tab w:leader="none" w:pos="858"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Form S-3</w:t>
      </w:r>
      <w:r>
        <w:rPr>
          <w:rFonts w:ascii="Arial" w:cs="Arial" w:eastAsia="Arial" w:hAnsi="Arial"/>
          <w:sz w:val="18"/>
          <w:szCs w:val="18"/>
          <w:color w:val="auto"/>
        </w:rPr>
        <w:t>” means such form under the Securities Act as in effect on the date of this Agreement or any registration form under the Securities Act subsequently adopted by the SEC that permits incorporation of substantial information by reference to other documents filed by the Company with the SEC.</w:t>
      </w:r>
    </w:p>
    <w:p>
      <w:pPr>
        <w:spacing w:after="0" w:line="153" w:lineRule="exact"/>
        <w:rPr>
          <w:rFonts w:ascii="Arial" w:cs="Arial" w:eastAsia="Arial" w:hAnsi="Arial"/>
          <w:sz w:val="18"/>
          <w:szCs w:val="18"/>
          <w:color w:val="auto"/>
        </w:rPr>
      </w:pPr>
    </w:p>
    <w:p>
      <w:pPr>
        <w:ind w:left="840" w:hanging="411"/>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an Incidental Rights Holder or Comprehensive Rights Holder.</w:t>
      </w:r>
    </w:p>
    <w:p>
      <w:pPr>
        <w:spacing w:after="0" w:line="184" w:lineRule="exact"/>
        <w:rPr>
          <w:rFonts w:ascii="Arial" w:cs="Arial" w:eastAsia="Arial" w:hAnsi="Arial"/>
          <w:sz w:val="18"/>
          <w:szCs w:val="18"/>
          <w:color w:val="auto"/>
        </w:rPr>
      </w:pPr>
    </w:p>
    <w:p>
      <w:pPr>
        <w:ind w:left="-540" w:right="260" w:firstLine="969"/>
        <w:spacing w:after="0" w:line="332" w:lineRule="auto"/>
        <w:tabs>
          <w:tab w:leader="none" w:pos="814" w:val="left"/>
        </w:tabs>
        <w:numPr>
          <w:ilvl w:val="0"/>
          <w:numId w:val="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Immediate Family Member</w:t>
      </w:r>
      <w:r>
        <w:rPr>
          <w:rFonts w:ascii="Arial" w:cs="Arial" w:eastAsia="Arial" w:hAnsi="Arial"/>
          <w:sz w:val="16"/>
          <w:szCs w:val="16"/>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98" w:lineRule="exact"/>
        <w:rPr>
          <w:rFonts w:ascii="Arial" w:cs="Arial" w:eastAsia="Arial" w:hAnsi="Arial"/>
          <w:sz w:val="16"/>
          <w:szCs w:val="16"/>
          <w:color w:val="auto"/>
        </w:rPr>
      </w:pPr>
    </w:p>
    <w:p>
      <w:pPr>
        <w:ind w:left="-540" w:right="460" w:firstLine="969"/>
        <w:spacing w:after="0" w:line="332" w:lineRule="auto"/>
        <w:tabs>
          <w:tab w:leader="none" w:pos="902" w:val="left"/>
        </w:tabs>
        <w:numPr>
          <w:ilvl w:val="0"/>
          <w:numId w:val="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Incidental Rights Holders</w:t>
      </w:r>
      <w:r>
        <w:rPr>
          <w:rFonts w:ascii="Arial" w:cs="Arial" w:eastAsia="Arial" w:hAnsi="Arial"/>
          <w:sz w:val="16"/>
          <w:szCs w:val="16"/>
          <w:color w:val="auto"/>
        </w:rPr>
        <w:t xml:space="preserve">” a party listed on SCHEDULE I from time to time, including any subsequent securities holders, or transferees, who become parties hereto as “Incidental Rights Holders” pursuant to </w:t>
      </w:r>
      <w:r>
        <w:rPr>
          <w:rFonts w:ascii="Arial" w:cs="Arial" w:eastAsia="Arial" w:hAnsi="Arial"/>
          <w:sz w:val="16"/>
          <w:szCs w:val="16"/>
          <w:u w:val="single" w:color="auto"/>
          <w:color w:val="auto"/>
        </w:rPr>
        <w:t>Sections 12(a)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12(b)</w:t>
      </w:r>
      <w:r>
        <w:rPr>
          <w:rFonts w:ascii="Arial" w:cs="Arial" w:eastAsia="Arial" w:hAnsi="Arial"/>
          <w:sz w:val="16"/>
          <w:szCs w:val="16"/>
          <w:color w:val="auto"/>
        </w:rPr>
        <w:t>.</w:t>
      </w:r>
    </w:p>
    <w:p>
      <w:pPr>
        <w:spacing w:after="0" w:line="98" w:lineRule="exact"/>
        <w:rPr>
          <w:rFonts w:ascii="Arial" w:cs="Arial" w:eastAsia="Arial" w:hAnsi="Arial"/>
          <w:sz w:val="16"/>
          <w:szCs w:val="16"/>
          <w:color w:val="auto"/>
        </w:rPr>
      </w:pPr>
    </w:p>
    <w:p>
      <w:pPr>
        <w:ind w:left="840" w:hanging="411"/>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Initiating Holders</w:t>
      </w:r>
      <w:r>
        <w:rPr>
          <w:rFonts w:ascii="Arial" w:cs="Arial" w:eastAsia="Arial" w:hAnsi="Arial"/>
          <w:sz w:val="18"/>
          <w:szCs w:val="18"/>
          <w:color w:val="auto"/>
        </w:rPr>
        <w:t>” means any Holder or Holders of a majority of the then-outstanding Demand Registrable Securities.</w:t>
      </w:r>
    </w:p>
    <w:p>
      <w:pPr>
        <w:spacing w:after="0" w:line="184" w:lineRule="exact"/>
        <w:rPr>
          <w:rFonts w:ascii="Arial" w:cs="Arial" w:eastAsia="Arial" w:hAnsi="Arial"/>
          <w:sz w:val="18"/>
          <w:szCs w:val="18"/>
          <w:color w:val="auto"/>
        </w:rPr>
      </w:pPr>
    </w:p>
    <w:p>
      <w:pPr>
        <w:ind w:left="840" w:hanging="411"/>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IPO</w:t>
      </w:r>
      <w:r>
        <w:rPr>
          <w:rFonts w:ascii="Arial" w:cs="Arial" w:eastAsia="Arial" w:hAnsi="Arial"/>
          <w:sz w:val="18"/>
          <w:szCs w:val="18"/>
          <w:color w:val="auto"/>
        </w:rPr>
        <w:t>” means the Company’s first underwritten public offering of its Class A Shares under the Securities Act.</w:t>
      </w:r>
    </w:p>
    <w:p>
      <w:pPr>
        <w:spacing w:after="0" w:line="184" w:lineRule="exact"/>
        <w:rPr>
          <w:rFonts w:ascii="Arial" w:cs="Arial" w:eastAsia="Arial" w:hAnsi="Arial"/>
          <w:sz w:val="18"/>
          <w:szCs w:val="18"/>
          <w:color w:val="auto"/>
        </w:rPr>
      </w:pPr>
    </w:p>
    <w:p>
      <w:pPr>
        <w:ind w:left="840" w:hanging="411"/>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Original Agreement</w:t>
      </w:r>
      <w:r>
        <w:rPr>
          <w:rFonts w:ascii="Arial" w:cs="Arial" w:eastAsia="Arial" w:hAnsi="Arial"/>
          <w:sz w:val="18"/>
          <w:szCs w:val="18"/>
          <w:color w:val="auto"/>
        </w:rPr>
        <w:t>” has the meaning set forth in Recital A.</w:t>
      </w:r>
    </w:p>
    <w:p>
      <w:pPr>
        <w:spacing w:after="0" w:line="184" w:lineRule="exact"/>
        <w:rPr>
          <w:rFonts w:ascii="Arial" w:cs="Arial" w:eastAsia="Arial" w:hAnsi="Arial"/>
          <w:sz w:val="18"/>
          <w:szCs w:val="18"/>
          <w:color w:val="auto"/>
        </w:rPr>
      </w:pPr>
    </w:p>
    <w:p>
      <w:pPr>
        <w:ind w:left="840" w:hanging="411"/>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trust, limited liability company, association or other entity.</w:t>
      </w:r>
    </w:p>
    <w:p>
      <w:pPr>
        <w:spacing w:after="0" w:line="184" w:lineRule="exact"/>
        <w:rPr>
          <w:rFonts w:ascii="Arial" w:cs="Arial" w:eastAsia="Arial" w:hAnsi="Arial"/>
          <w:sz w:val="18"/>
          <w:szCs w:val="18"/>
          <w:color w:val="auto"/>
        </w:rPr>
      </w:pPr>
    </w:p>
    <w:p>
      <w:pPr>
        <w:ind w:left="-540" w:right="160" w:firstLine="969"/>
        <w:spacing w:after="0" w:line="268" w:lineRule="auto"/>
        <w:tabs>
          <w:tab w:leader="none" w:pos="8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Preferred Series</w:t>
      </w:r>
      <w:r>
        <w:rPr>
          <w:rFonts w:ascii="Arial" w:cs="Arial" w:eastAsia="Arial" w:hAnsi="Arial"/>
          <w:sz w:val="18"/>
          <w:szCs w:val="18"/>
          <w:color w:val="auto"/>
        </w:rPr>
        <w:t>” means Series A Preferred Stock, Series B Preferred Stock, Series C Preferred Stock, Series D Preferred Stock or Series F Preferred Stock of the Company.</w:t>
      </w:r>
    </w:p>
    <w:p>
      <w:pPr>
        <w:spacing w:after="0" w:line="200" w:lineRule="exact"/>
        <w:rPr>
          <w:sz w:val="20"/>
          <w:szCs w:val="20"/>
          <w:color w:val="auto"/>
        </w:rPr>
      </w:pPr>
    </w:p>
    <w:p>
      <w:pPr>
        <w:spacing w:after="0" w:line="20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10795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90" w:right="239" w:bottom="1440" w:gutter="0" w:footer="0" w:header="0"/>
        </w:sectPr>
      </w:pPr>
    </w:p>
    <w:bookmarkStart w:id="38" w:name="page39"/>
    <w:bookmarkEnd w:id="38"/>
    <w:p>
      <w:pPr>
        <w:ind w:left="1360" w:hanging="391"/>
        <w:spacing w:after="0"/>
        <w:tabs>
          <w:tab w:leader="none" w:pos="1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Registrable Securities</w:t>
      </w:r>
      <w:r>
        <w:rPr>
          <w:rFonts w:ascii="Arial" w:cs="Arial" w:eastAsia="Arial" w:hAnsi="Arial"/>
          <w:sz w:val="18"/>
          <w:szCs w:val="18"/>
          <w:color w:val="auto"/>
        </w:rPr>
        <w:t>” means:</w:t>
      </w:r>
    </w:p>
    <w:p>
      <w:pPr>
        <w:spacing w:after="0" w:line="158" w:lineRule="exact"/>
        <w:rPr>
          <w:sz w:val="20"/>
          <w:szCs w:val="20"/>
          <w:color w:val="auto"/>
        </w:rPr>
      </w:pPr>
    </w:p>
    <w:p>
      <w:pPr>
        <w:jc w:val="both"/>
        <w:ind w:left="1140" w:hanging="175"/>
        <w:spacing w:after="0" w:line="268" w:lineRule="auto"/>
        <w:rPr>
          <w:sz w:val="20"/>
          <w:szCs w:val="20"/>
          <w:color w:val="auto"/>
        </w:rPr>
      </w:pPr>
      <w:r>
        <w:rPr>
          <w:rFonts w:ascii="Arial" w:cs="Arial" w:eastAsia="Arial" w:hAnsi="Arial"/>
          <w:sz w:val="18"/>
          <w:szCs w:val="18"/>
          <w:color w:val="auto"/>
        </w:rPr>
        <w:t>(i)Class A Shares that are held by the Incidental Rights Holders and listed across from an Incidental Rights Holder’s name on SCHEDULE I;</w:t>
      </w:r>
    </w:p>
    <w:p>
      <w:pPr>
        <w:spacing w:after="0" w:line="11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(ii)Demand Registrable Securities;</w:t>
      </w:r>
    </w:p>
    <w:p>
      <w:pPr>
        <w:spacing w:after="0" w:line="158" w:lineRule="exact"/>
        <w:rPr>
          <w:sz w:val="20"/>
          <w:szCs w:val="20"/>
          <w:color w:val="auto"/>
        </w:rPr>
      </w:pPr>
    </w:p>
    <w:p>
      <w:pPr>
        <w:jc w:val="both"/>
        <w:ind w:left="1240" w:hanging="269"/>
        <w:spacing w:after="0" w:line="259" w:lineRule="auto"/>
        <w:rPr>
          <w:sz w:val="20"/>
          <w:szCs w:val="20"/>
          <w:color w:val="auto"/>
        </w:rPr>
      </w:pPr>
      <w:r>
        <w:rPr>
          <w:rFonts w:ascii="Arial" w:cs="Arial" w:eastAsia="Arial" w:hAnsi="Arial"/>
          <w:sz w:val="18"/>
          <w:szCs w:val="18"/>
          <w:color w:val="auto"/>
        </w:rPr>
        <w:t>(iii)any Class A Shares that are issued or issuable (directly or indirectly) upon conversion or exercise of any other securities of the Company and that are held by the Incidental Rights Holders and listed across from an Incidental Rights Holder’s name on SCHEDULE I; and</w:t>
      </w:r>
    </w:p>
    <w:p>
      <w:pPr>
        <w:spacing w:after="0" w:line="127" w:lineRule="exact"/>
        <w:rPr>
          <w:sz w:val="20"/>
          <w:szCs w:val="20"/>
          <w:color w:val="auto"/>
        </w:rPr>
      </w:pPr>
    </w:p>
    <w:p>
      <w:pPr>
        <w:jc w:val="both"/>
        <w:ind w:left="1220" w:hanging="256"/>
        <w:spacing w:after="0" w:line="259" w:lineRule="auto"/>
        <w:rPr>
          <w:sz w:val="20"/>
          <w:szCs w:val="20"/>
          <w:color w:val="auto"/>
        </w:rPr>
      </w:pPr>
      <w:r>
        <w:rPr>
          <w:rFonts w:ascii="Arial" w:cs="Arial" w:eastAsia="Arial" w:hAnsi="Arial"/>
          <w:sz w:val="18"/>
          <w:szCs w:val="18"/>
          <w:color w:val="auto"/>
        </w:rPr>
        <w:t>(iv)any Class A Shares that are issued as (or issuable upon the conversion or exercise of any warrant, right or other security that is issued as) a dividend or other distribution with respect to, or in exchange for or in replacement of, the securities referenced in clauses (i), (ii) and (iii) above;</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excluding, however, any Registrable Securities sold by a Person in a transaction in which the applicable rights under this Agreement are not assigned pursuant to </w:t>
      </w:r>
      <w:r>
        <w:rPr>
          <w:rFonts w:ascii="Arial" w:cs="Arial" w:eastAsia="Arial" w:hAnsi="Arial"/>
          <w:sz w:val="18"/>
          <w:szCs w:val="18"/>
          <w:u w:val="single" w:color="auto"/>
          <w:color w:val="auto"/>
        </w:rPr>
        <w:t>Section 12(a)</w:t>
      </w:r>
      <w:r>
        <w:rPr>
          <w:rFonts w:ascii="Arial" w:cs="Arial" w:eastAsia="Arial" w:hAnsi="Arial"/>
          <w:sz w:val="18"/>
          <w:szCs w:val="18"/>
          <w:color w:val="auto"/>
        </w:rPr>
        <w:t xml:space="preserve"> and any shares for which registration rights have terminated pursuant to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145" w:lineRule="exact"/>
        <w:rPr>
          <w:sz w:val="20"/>
          <w:szCs w:val="20"/>
          <w:color w:val="auto"/>
        </w:rPr>
      </w:pPr>
    </w:p>
    <w:p>
      <w:pPr>
        <w:ind w:right="600" w:firstLine="969"/>
        <w:spacing w:after="0" w:line="259" w:lineRule="auto"/>
        <w:tabs>
          <w:tab w:leader="none" w:pos="1354"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Registrable Securities then outstanding</w:t>
      </w:r>
      <w:r>
        <w:rPr>
          <w:rFonts w:ascii="Arial" w:cs="Arial" w:eastAsia="Arial" w:hAnsi="Arial"/>
          <w:sz w:val="18"/>
          <w:szCs w:val="18"/>
          <w:color w:val="auto"/>
        </w:rPr>
        <w:t>” means the sum of (i) the number of outstanding Class A Shares that are Registrable Securities (including the Demand Registrable Securities) and (ii) the number of Class A Shares issuable (directly or indirectly) pursuant to then exercisable or convertible securities that are Registrable Securities.</w:t>
      </w:r>
    </w:p>
    <w:p>
      <w:pPr>
        <w:spacing w:after="0" w:line="153" w:lineRule="exact"/>
        <w:rPr>
          <w:rFonts w:ascii="Arial" w:cs="Arial" w:eastAsia="Arial" w:hAnsi="Arial"/>
          <w:sz w:val="18"/>
          <w:szCs w:val="18"/>
          <w:color w:val="auto"/>
        </w:rPr>
      </w:pPr>
    </w:p>
    <w:p>
      <w:pPr>
        <w:ind w:left="1380" w:hanging="411"/>
        <w:spacing w:after="0"/>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184" w:lineRule="exact"/>
        <w:rPr>
          <w:rFonts w:ascii="Arial" w:cs="Arial" w:eastAsia="Arial" w:hAnsi="Arial"/>
          <w:sz w:val="18"/>
          <w:szCs w:val="18"/>
          <w:color w:val="auto"/>
        </w:rPr>
      </w:pPr>
    </w:p>
    <w:p>
      <w:pPr>
        <w:ind w:left="1380" w:hanging="411"/>
        <w:spacing w:after="0"/>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SEC Rule 144</w:t>
      </w:r>
      <w:r>
        <w:rPr>
          <w:rFonts w:ascii="Arial" w:cs="Arial" w:eastAsia="Arial" w:hAnsi="Arial"/>
          <w:sz w:val="18"/>
          <w:szCs w:val="18"/>
          <w:color w:val="auto"/>
        </w:rPr>
        <w:t>” means Rule 144 promulgated by the SEC under the Securities Act.</w:t>
      </w:r>
    </w:p>
    <w:p>
      <w:pPr>
        <w:spacing w:after="0" w:line="184" w:lineRule="exact"/>
        <w:rPr>
          <w:rFonts w:ascii="Arial" w:cs="Arial" w:eastAsia="Arial" w:hAnsi="Arial"/>
          <w:sz w:val="18"/>
          <w:szCs w:val="18"/>
          <w:color w:val="auto"/>
        </w:rPr>
      </w:pPr>
    </w:p>
    <w:p>
      <w:pPr>
        <w:ind w:left="1420" w:hanging="451"/>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SEC Rule 145</w:t>
      </w:r>
      <w:r>
        <w:rPr>
          <w:rFonts w:ascii="Arial" w:cs="Arial" w:eastAsia="Arial" w:hAnsi="Arial"/>
          <w:sz w:val="18"/>
          <w:szCs w:val="18"/>
          <w:color w:val="auto"/>
        </w:rPr>
        <w:t>” means Rule 145 promulgated by the SEC under the Securities Act.</w:t>
      </w:r>
    </w:p>
    <w:p>
      <w:pPr>
        <w:spacing w:after="0" w:line="184" w:lineRule="exact"/>
        <w:rPr>
          <w:rFonts w:ascii="Arial" w:cs="Arial" w:eastAsia="Arial" w:hAnsi="Arial"/>
          <w:sz w:val="18"/>
          <w:szCs w:val="18"/>
          <w:color w:val="auto"/>
        </w:rPr>
      </w:pPr>
    </w:p>
    <w:p>
      <w:pPr>
        <w:ind w:left="1380" w:hanging="411"/>
        <w:spacing w:after="0"/>
        <w:tabs>
          <w:tab w:leader="none" w:pos="1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Securities Act</w:t>
      </w:r>
      <w:r>
        <w:rPr>
          <w:rFonts w:ascii="Arial" w:cs="Arial" w:eastAsia="Arial" w:hAnsi="Arial"/>
          <w:sz w:val="16"/>
          <w:szCs w:val="16"/>
          <w:color w:val="auto"/>
        </w:rPr>
        <w:t>” means the U.S. Securities Act of 1933, as amended, and the rules and regulations promulgated thereunder.</w:t>
      </w:r>
    </w:p>
    <w:p>
      <w:pPr>
        <w:spacing w:after="0" w:line="207" w:lineRule="exact"/>
        <w:rPr>
          <w:rFonts w:ascii="Arial" w:cs="Arial" w:eastAsia="Arial" w:hAnsi="Arial"/>
          <w:sz w:val="16"/>
          <w:szCs w:val="16"/>
          <w:color w:val="auto"/>
        </w:rPr>
      </w:pPr>
    </w:p>
    <w:p>
      <w:pPr>
        <w:ind w:right="40" w:firstLine="969"/>
        <w:spacing w:after="0" w:line="259" w:lineRule="auto"/>
        <w:tabs>
          <w:tab w:leader="none" w:pos="1393"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Selling Expenses</w:t>
      </w:r>
      <w:r>
        <w:rPr>
          <w:rFonts w:ascii="Arial" w:cs="Arial" w:eastAsia="Arial" w:hAnsi="Arial"/>
          <w:sz w:val="18"/>
          <w:szCs w:val="18"/>
          <w:color w:val="auto"/>
        </w:rPr>
        <w:t xml:space="preserve">” means all underwriting discounts, selling commissions, stock transfer taxes applicable to the sale of Registrable Securities, and fees and disbursements of counsel for any Holder, except for the fees and disbursements of the Selling Holder Counsel borne and paid by the Company as provided in </w:t>
      </w:r>
      <w:r>
        <w:rPr>
          <w:rFonts w:ascii="Arial" w:cs="Arial" w:eastAsia="Arial" w:hAnsi="Arial"/>
          <w:sz w:val="18"/>
          <w:szCs w:val="18"/>
          <w:u w:val="single" w:color="auto"/>
          <w:color w:val="auto"/>
        </w:rPr>
        <w:t>Section 6</w:t>
      </w:r>
      <w:r>
        <w:rPr>
          <w:rFonts w:ascii="Arial" w:cs="Arial" w:eastAsia="Arial" w:hAnsi="Arial"/>
          <w:sz w:val="18"/>
          <w:szCs w:val="18"/>
          <w:color w:val="auto"/>
        </w:rPr>
        <w:t>.</w:t>
      </w:r>
    </w:p>
    <w:p>
      <w:pPr>
        <w:spacing w:after="0" w:line="34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590" w:right="239" w:bottom="1440" w:gutter="0" w:footer="0" w:header="0"/>
        </w:sectPr>
      </w:pPr>
    </w:p>
    <w:bookmarkStart w:id="39" w:name="page40"/>
    <w:bookmarkEnd w:id="39"/>
    <w:p>
      <w:pPr>
        <w:ind w:left="680" w:hanging="355"/>
        <w:spacing w:after="0"/>
        <w:tabs>
          <w:tab w:leader="none" w:pos="680"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The Company covenants and agrees as follows:</w:t>
      </w:r>
    </w:p>
    <w:p>
      <w:pPr>
        <w:spacing w:after="0" w:line="157" w:lineRule="exact"/>
        <w:rPr>
          <w:rFonts w:ascii="Arial" w:cs="Arial" w:eastAsia="Arial" w:hAnsi="Arial"/>
          <w:sz w:val="18"/>
          <w:szCs w:val="18"/>
          <w:color w:val="auto"/>
        </w:rPr>
      </w:pPr>
    </w:p>
    <w:p>
      <w:pPr>
        <w:ind w:left="320" w:hanging="320"/>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Demand Registration</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right="20" w:firstLine="1621"/>
        <w:spacing w:after="0" w:line="287" w:lineRule="auto"/>
        <w:tabs>
          <w:tab w:leader="none" w:pos="2002" w:val="left"/>
        </w:tabs>
        <w:numPr>
          <w:ilvl w:val="2"/>
          <w:numId w:val="43"/>
        </w:numPr>
        <w:rPr>
          <w:rFonts w:ascii="Arial" w:cs="Arial" w:eastAsia="Arial" w:hAnsi="Arial"/>
          <w:sz w:val="16"/>
          <w:szCs w:val="16"/>
          <w:color w:val="auto"/>
        </w:rPr>
      </w:pPr>
      <w:r>
        <w:rPr>
          <w:rFonts w:ascii="Arial" w:cs="Arial" w:eastAsia="Arial" w:hAnsi="Arial"/>
          <w:sz w:val="16"/>
          <w:szCs w:val="16"/>
          <w:color w:val="auto"/>
        </w:rPr>
        <w:t xml:space="preserve">If, at any time at least 180 days after the closing date of the IPO, the Company receives a request from the Initiating Holders that the Company file a Form S-1 registration statement covering either (x) the potential sale of all or a portion of the Registrable Securities then outstanding with an anticipated aggregate offering price (excluding the offering price of any shares subject to an over-allotment option) of at least $7,500,000 or (y) all of the Registrable Securities then held by a Comprehensive Rights Holder whose rights under this Agreement have not terminated pursuant to </w:t>
      </w:r>
      <w:r>
        <w:rPr>
          <w:rFonts w:ascii="Arial" w:cs="Arial" w:eastAsia="Arial" w:hAnsi="Arial"/>
          <w:sz w:val="16"/>
          <w:szCs w:val="16"/>
          <w:u w:val="single" w:color="auto"/>
          <w:color w:val="auto"/>
        </w:rPr>
        <w:t>Section 11</w:t>
      </w:r>
      <w:r>
        <w:rPr>
          <w:rFonts w:ascii="Arial" w:cs="Arial" w:eastAsia="Arial" w:hAnsi="Arial"/>
          <w:sz w:val="16"/>
          <w:szCs w:val="16"/>
          <w:color w:val="auto"/>
        </w:rPr>
        <w:t>, then the Company shall: (A) within ten days after the date such request is given, give notice thereof (the “</w:t>
      </w:r>
      <w:r>
        <w:rPr>
          <w:rFonts w:ascii="Arial" w:cs="Arial" w:eastAsia="Arial" w:hAnsi="Arial"/>
          <w:sz w:val="16"/>
          <w:szCs w:val="16"/>
          <w:i w:val="1"/>
          <w:iCs w:val="1"/>
          <w:color w:val="auto"/>
        </w:rPr>
        <w:t>Demand Notice</w:t>
      </w:r>
      <w:r>
        <w:rPr>
          <w:rFonts w:ascii="Arial" w:cs="Arial" w:eastAsia="Arial" w:hAnsi="Arial"/>
          <w:sz w:val="16"/>
          <w:szCs w:val="16"/>
          <w:color w:val="auto"/>
        </w:rPr>
        <w:t xml:space="preserve">”) to all Holders other than the Initiating Holders; and (B) as soon as practicable, and in any event within sixty days after the date such request is given by the Initiating Holders, use its reasonable best efforts to file and make effective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days of the date the Demand Notice is given, and in each case, subject to the limitations of </w:t>
      </w:r>
      <w:r>
        <w:rPr>
          <w:rFonts w:ascii="Arial" w:cs="Arial" w:eastAsia="Arial" w:hAnsi="Arial"/>
          <w:sz w:val="16"/>
          <w:szCs w:val="16"/>
          <w:u w:val="single" w:color="auto"/>
          <w:color w:val="auto"/>
        </w:rPr>
        <w:t>Section 2(a)(iii)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w:t>
      </w:r>
      <w:r>
        <w:rPr>
          <w:rFonts w:ascii="Arial" w:cs="Arial" w:eastAsia="Arial" w:hAnsi="Arial"/>
          <w:sz w:val="16"/>
          <w:szCs w:val="16"/>
          <w:color w:val="auto"/>
        </w:rPr>
        <w:t>.</w:t>
      </w:r>
    </w:p>
    <w:p>
      <w:pPr>
        <w:spacing w:after="0" w:line="136" w:lineRule="exact"/>
        <w:rPr>
          <w:rFonts w:ascii="Arial" w:cs="Arial" w:eastAsia="Arial" w:hAnsi="Arial"/>
          <w:sz w:val="16"/>
          <w:szCs w:val="16"/>
          <w:color w:val="auto"/>
        </w:rPr>
      </w:pPr>
    </w:p>
    <w:p>
      <w:pPr>
        <w:ind w:firstLine="1621"/>
        <w:spacing w:after="0" w:line="287" w:lineRule="auto"/>
        <w:tabs>
          <w:tab w:leader="none" w:pos="2051" w:val="left"/>
        </w:tabs>
        <w:numPr>
          <w:ilvl w:val="2"/>
          <w:numId w:val="43"/>
        </w:numPr>
        <w:rPr>
          <w:rFonts w:ascii="Arial" w:cs="Arial" w:eastAsia="Arial" w:hAnsi="Arial"/>
          <w:sz w:val="16"/>
          <w:szCs w:val="16"/>
          <w:color w:val="auto"/>
        </w:rPr>
      </w:pPr>
      <w:r>
        <w:rPr>
          <w:rFonts w:ascii="Arial" w:cs="Arial" w:eastAsia="Arial" w:hAnsi="Arial"/>
          <w:sz w:val="16"/>
          <w:szCs w:val="16"/>
          <w:color w:val="auto"/>
        </w:rPr>
        <w:t xml:space="preserve">If at any time when it is eligible to use a Form S-3 registration statement, the Company receives a request from the Initiating Holders that the Company file a Form S-3 registration statement covering either (x) the potential sale of all or a portion of the Registrable Securities then outstanding with an anticipated aggregate offering price (excluding the offering price of any shares subject to an over-allotment option) of at least $3,750,000 or (y) all of the Registrable Securities then held by a Comprehensive Rights Holder whose rights under this Agreement have not terminated pursuant to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then the Company shall: (A) within ten days after the date such request is given, give a Demand Notice to all Holders other than the Initiating Holders; and (B) as soon as practicable, and in any event within 45 days after the date such request is given by the Initiating Holders, file and make effective a Form S-3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days of the date the Demand Notice is given, and in each case, subject to the limitations of </w:t>
      </w:r>
      <w:r>
        <w:rPr>
          <w:rFonts w:ascii="Arial" w:cs="Arial" w:eastAsia="Arial" w:hAnsi="Arial"/>
          <w:sz w:val="16"/>
          <w:szCs w:val="16"/>
          <w:u w:val="single" w:color="auto"/>
          <w:color w:val="auto"/>
        </w:rPr>
        <w:t>Section 2(a)(iii)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w:t>
      </w:r>
      <w:r>
        <w:rPr>
          <w:rFonts w:ascii="Arial" w:cs="Arial" w:eastAsia="Arial" w:hAnsi="Arial"/>
          <w:sz w:val="16"/>
          <w:szCs w:val="16"/>
          <w:color w:val="auto"/>
        </w:rPr>
        <w:t>.</w:t>
      </w:r>
    </w:p>
    <w:p>
      <w:pPr>
        <w:spacing w:after="0" w:line="136" w:lineRule="exact"/>
        <w:rPr>
          <w:rFonts w:ascii="Arial" w:cs="Arial" w:eastAsia="Arial" w:hAnsi="Arial"/>
          <w:sz w:val="16"/>
          <w:szCs w:val="16"/>
          <w:color w:val="auto"/>
        </w:rPr>
      </w:pPr>
    </w:p>
    <w:p>
      <w:pPr>
        <w:ind w:right="140" w:firstLine="1621"/>
        <w:spacing w:after="0" w:line="302" w:lineRule="auto"/>
        <w:tabs>
          <w:tab w:leader="none" w:pos="2100" w:val="left"/>
        </w:tabs>
        <w:numPr>
          <w:ilvl w:val="2"/>
          <w:numId w:val="43"/>
        </w:numPr>
        <w:rPr>
          <w:rFonts w:ascii="Arial" w:cs="Arial" w:eastAsia="Arial" w:hAnsi="Arial"/>
          <w:sz w:val="15"/>
          <w:szCs w:val="15"/>
          <w:color w:val="auto"/>
        </w:rPr>
      </w:pPr>
      <w:r>
        <w:rPr>
          <w:rFonts w:ascii="Arial" w:cs="Arial" w:eastAsia="Arial" w:hAnsi="Arial"/>
          <w:sz w:val="15"/>
          <w:szCs w:val="15"/>
          <w:color w:val="auto"/>
        </w:rPr>
        <w:t xml:space="preserve">Notwithstanding the foregoing obligations, if the Company furnishes to Initiating Holders requesting a registration pursuant to this </w:t>
      </w:r>
      <w:r>
        <w:rPr>
          <w:rFonts w:ascii="Arial" w:cs="Arial" w:eastAsia="Arial" w:hAnsi="Arial"/>
          <w:sz w:val="15"/>
          <w:szCs w:val="15"/>
          <w:u w:val="single" w:color="auto"/>
          <w:color w:val="auto"/>
        </w:rPr>
        <w:t>Section 2(a)</w:t>
      </w:r>
      <w:r>
        <w:rPr>
          <w:rFonts w:ascii="Arial" w:cs="Arial" w:eastAsia="Arial" w:hAnsi="Arial"/>
          <w:sz w:val="15"/>
          <w:szCs w:val="15"/>
          <w:color w:val="auto"/>
        </w:rPr>
        <w:t xml:space="preserve"> a certificate signed by the Company’s Chief Executive Officer stating that in the good faith judgment of the Board of Directors of the Company it would be materially detrimental to the Company and its stockholders for such registration statement to either become effective or remain effective for as long as such registration statement otherwise would be required to remain effective, because such action would</w:t>
      </w:r>
    </w:p>
    <w:p>
      <w:pPr>
        <w:spacing w:after="0" w:line="2" w:lineRule="exact"/>
        <w:rPr>
          <w:rFonts w:ascii="Arial" w:cs="Arial" w:eastAsia="Arial" w:hAnsi="Arial"/>
          <w:sz w:val="15"/>
          <w:szCs w:val="15"/>
          <w:color w:val="auto"/>
        </w:rPr>
      </w:pPr>
    </w:p>
    <w:p>
      <w:pPr>
        <w:ind w:right="80"/>
        <w:spacing w:after="0" w:line="288" w:lineRule="auto"/>
        <w:rPr>
          <w:rFonts w:ascii="Arial" w:cs="Arial" w:eastAsia="Arial" w:hAnsi="Arial"/>
          <w:sz w:val="15"/>
          <w:szCs w:val="15"/>
          <w:color w:val="auto"/>
        </w:rPr>
      </w:pPr>
      <w:r>
        <w:rPr>
          <w:rFonts w:ascii="Arial" w:cs="Arial" w:eastAsia="Arial" w:hAnsi="Arial"/>
          <w:sz w:val="16"/>
          <w:szCs w:val="16"/>
          <w:color w:val="auto"/>
        </w:rPr>
        <w:t xml:space="preserve">(A) materially interfere with a significant acquisition, corporate reorganization, or other similar transaction involving the Company, (B) require premature disclosure of material information that the Company has a bona fide business purpose for preserving as confidential, or (C)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120 days after the request of the Initiating Holders is given;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Company may not invoke this right more than once in any consecutive twelve-month period;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Company shall not register any securities for its own account or that of any other stockholder during such 120-day period other than Excluded Registrations.</w:t>
      </w:r>
    </w:p>
    <w:p>
      <w:pPr>
        <w:spacing w:after="0" w:line="203" w:lineRule="exact"/>
        <w:rPr>
          <w:rFonts w:ascii="Arial" w:cs="Arial" w:eastAsia="Arial" w:hAnsi="Arial"/>
          <w:sz w:val="15"/>
          <w:szCs w:val="15"/>
          <w:color w:val="auto"/>
        </w:rPr>
      </w:pPr>
    </w:p>
    <w:p>
      <w:pPr>
        <w:ind w:left="2100" w:hanging="479"/>
        <w:spacing w:after="0"/>
        <w:tabs>
          <w:tab w:leader="none" w:pos="2100" w:val="left"/>
        </w:tabs>
        <w:numPr>
          <w:ilvl w:val="2"/>
          <w:numId w:val="43"/>
        </w:numPr>
        <w:rPr>
          <w:rFonts w:ascii="Arial" w:cs="Arial" w:eastAsia="Arial" w:hAnsi="Arial"/>
          <w:sz w:val="16"/>
          <w:szCs w:val="16"/>
          <w:color w:val="auto"/>
        </w:rPr>
      </w:pPr>
      <w:r>
        <w:rPr>
          <w:rFonts w:ascii="Arial" w:cs="Arial" w:eastAsia="Arial" w:hAnsi="Arial"/>
          <w:sz w:val="16"/>
          <w:szCs w:val="16"/>
          <w:color w:val="auto"/>
        </w:rPr>
        <w:t xml:space="preserve">The Company shall not be obligated to effect, or to take any action to effect, any registration pursuant to </w:t>
      </w:r>
      <w:r>
        <w:rPr>
          <w:rFonts w:ascii="Arial" w:cs="Arial" w:eastAsia="Arial" w:hAnsi="Arial"/>
          <w:sz w:val="16"/>
          <w:szCs w:val="16"/>
          <w:u w:val="single" w:color="auto"/>
          <w:color w:val="auto"/>
        </w:rPr>
        <w:t>Section 2(a)</w:t>
      </w:r>
    </w:p>
    <w:p>
      <w:pPr>
        <w:spacing w:after="0" w:line="38" w:lineRule="exact"/>
        <w:rPr>
          <w:rFonts w:ascii="Arial" w:cs="Arial" w:eastAsia="Arial" w:hAnsi="Arial"/>
          <w:sz w:val="16"/>
          <w:szCs w:val="16"/>
          <w:color w:val="auto"/>
        </w:rPr>
      </w:pPr>
    </w:p>
    <w:p>
      <w:pPr>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(A) after the Company has effected a total of four registrations pursuant thereto, or (B) if the Company has effected a registration pursuant to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within the six-month period immediately preceding the date of such request. The Company shall not be obligated to effect, or to take any action to effect, any registration pursuant to </w:t>
      </w:r>
      <w:r>
        <w:rPr>
          <w:rFonts w:ascii="Arial" w:cs="Arial" w:eastAsia="Arial" w:hAnsi="Arial"/>
          <w:sz w:val="16"/>
          <w:szCs w:val="16"/>
          <w:u w:val="single" w:color="auto"/>
          <w:color w:val="auto"/>
        </w:rPr>
        <w:t>Section 2(a)(i)</w:t>
      </w:r>
      <w:r>
        <w:rPr>
          <w:rFonts w:ascii="Arial" w:cs="Arial" w:eastAsia="Arial" w:hAnsi="Arial"/>
          <w:sz w:val="16"/>
          <w:szCs w:val="16"/>
          <w:color w:val="auto"/>
        </w:rPr>
        <w:t xml:space="preserve"> (A) during the period that is sixty days before the Company’s good faith estimate of the date of filing of, and ending on a date that is 180 days after the effective date of, a Company-initiated registration,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is actively employing in good faith commercially reasonable efforts to cause such registration statement to become effective, or (B) if the Initiating Holders propose to dispose of Registrable Securities that may be immediately registered on Form S-3 pursuant to a request made pursuant to </w:t>
      </w:r>
      <w:r>
        <w:rPr>
          <w:rFonts w:ascii="Arial" w:cs="Arial" w:eastAsia="Arial" w:hAnsi="Arial"/>
          <w:sz w:val="16"/>
          <w:szCs w:val="16"/>
          <w:u w:val="single" w:color="auto"/>
          <w:color w:val="auto"/>
        </w:rPr>
        <w:t>Section 2(a)(ii)</w:t>
      </w:r>
      <w:r>
        <w:rPr>
          <w:rFonts w:ascii="Arial" w:cs="Arial" w:eastAsia="Arial" w:hAnsi="Arial"/>
          <w:sz w:val="16"/>
          <w:szCs w:val="16"/>
          <w:color w:val="auto"/>
        </w:rPr>
        <w:t xml:space="preserve">. The Company shall not be obligated to effect, or to take any action to effect, any registration pursuant to </w:t>
      </w:r>
      <w:r>
        <w:rPr>
          <w:rFonts w:ascii="Arial" w:cs="Arial" w:eastAsia="Arial" w:hAnsi="Arial"/>
          <w:sz w:val="16"/>
          <w:szCs w:val="16"/>
          <w:u w:val="single" w:color="auto"/>
          <w:color w:val="auto"/>
        </w:rPr>
        <w:t>Section 2(a)(ii)</w:t>
      </w:r>
      <w:r>
        <w:rPr>
          <w:rFonts w:ascii="Arial" w:cs="Arial" w:eastAsia="Arial" w:hAnsi="Arial"/>
          <w:sz w:val="16"/>
          <w:szCs w:val="16"/>
          <w:color w:val="auto"/>
        </w:rPr>
        <w:t xml:space="preserve"> during the period that is thirty days before the Company’s good faith estimate of the date of filing of, and ending on a date that is ninety days after the effective date of, a Company-initiated registration,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is actively employing in good faith commercially reasonable efforts to cause such registration statement to become effective. A registration shall not be counted as “effected” for purposes of this </w:t>
      </w:r>
      <w:r>
        <w:rPr>
          <w:rFonts w:ascii="Arial" w:cs="Arial" w:eastAsia="Arial" w:hAnsi="Arial"/>
          <w:sz w:val="16"/>
          <w:szCs w:val="16"/>
          <w:u w:val="single" w:color="auto"/>
          <w:color w:val="auto"/>
        </w:rPr>
        <w:t>Section 2(a)(iv)</w:t>
      </w:r>
      <w:r>
        <w:rPr>
          <w:rFonts w:ascii="Arial" w:cs="Arial" w:eastAsia="Arial" w:hAnsi="Arial"/>
          <w:sz w:val="16"/>
          <w:szCs w:val="16"/>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in which case such withdrawn registration statement shall be counted as “effected” for purposes of this </w:t>
      </w:r>
      <w:r>
        <w:rPr>
          <w:rFonts w:ascii="Arial" w:cs="Arial" w:eastAsia="Arial" w:hAnsi="Arial"/>
          <w:sz w:val="16"/>
          <w:szCs w:val="16"/>
          <w:u w:val="single" w:color="auto"/>
          <w:color w:val="auto"/>
        </w:rPr>
        <w:t>Section 2(a)(iv)</w:t>
      </w:r>
      <w:r>
        <w:rPr>
          <w:rFonts w:ascii="Arial" w:cs="Arial" w:eastAsia="Arial" w:hAnsi="Arial"/>
          <w:sz w:val="16"/>
          <w:szCs w:val="16"/>
          <w:color w:val="auto"/>
        </w:rPr>
        <w:t>.</w:t>
      </w:r>
    </w:p>
    <w:p>
      <w:pPr>
        <w:spacing w:after="0" w:line="178" w:lineRule="exact"/>
        <w:rPr>
          <w:sz w:val="20"/>
          <w:szCs w:val="20"/>
          <w:color w:val="auto"/>
        </w:rPr>
      </w:pPr>
    </w:p>
    <w:p>
      <w:pPr>
        <w:ind w:left="470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20"/>
          </w:cols>
          <w:pgMar w:left="1220" w:top="590" w:right="259" w:bottom="1440" w:gutter="0" w:footer="0" w:header="0"/>
        </w:sectPr>
      </w:pPr>
    </w:p>
    <w:bookmarkStart w:id="40" w:name="page41"/>
    <w:bookmarkEnd w:id="40"/>
    <w:p>
      <w:pPr>
        <w:ind w:left="-540" w:right="140" w:firstLine="969"/>
        <w:spacing w:after="0" w:line="289" w:lineRule="auto"/>
        <w:tabs>
          <w:tab w:leader="none" w:pos="853" w:val="left"/>
        </w:tabs>
        <w:numPr>
          <w:ilvl w:val="1"/>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Company Registration</w:t>
      </w:r>
      <w:r>
        <w:rPr>
          <w:rFonts w:ascii="Arial" w:cs="Arial" w:eastAsia="Arial" w:hAnsi="Arial"/>
          <w:sz w:val="16"/>
          <w:szCs w:val="16"/>
          <w:color w:val="auto"/>
        </w:rPr>
        <w:t>. If the Company proposes to register (including, for this purpose, a registration effected by the Company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stockholders other than the Holders) any of its Class A Shares under the Securities Act in connection with the public offering of such securities solely for cash (other than in: (A) the IPO or (B) an Excluded Registration), the Company shall, at such time, promptly give each Holder notice of such registration. Upon the request of each Holder given within twenty days after such notice is given by the Company, the Company shall, subject to the provisions of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6"/>
          <w:szCs w:val="16"/>
          <w:u w:val="single" w:color="auto"/>
          <w:color w:val="auto"/>
        </w:rPr>
        <w:t>Section 6</w:t>
      </w:r>
      <w:r>
        <w:rPr>
          <w:rFonts w:ascii="Arial" w:cs="Arial" w:eastAsia="Arial" w:hAnsi="Arial"/>
          <w:sz w:val="16"/>
          <w:szCs w:val="16"/>
          <w:color w:val="auto"/>
        </w:rPr>
        <w:t>.</w:t>
      </w:r>
    </w:p>
    <w:p>
      <w:pPr>
        <w:spacing w:after="0" w:line="131" w:lineRule="exact"/>
        <w:rPr>
          <w:rFonts w:ascii="Arial" w:cs="Arial" w:eastAsia="Arial" w:hAnsi="Arial"/>
          <w:sz w:val="16"/>
          <w:szCs w:val="16"/>
          <w:i w:val="1"/>
          <w:iCs w:val="1"/>
          <w:color w:val="auto"/>
        </w:rPr>
      </w:pPr>
    </w:p>
    <w:p>
      <w:pPr>
        <w:ind w:left="460" w:hanging="355"/>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Underwriting Requirements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540" w:firstLine="969"/>
        <w:spacing w:after="0" w:line="285" w:lineRule="auto"/>
        <w:tabs>
          <w:tab w:leader="none" w:pos="843" w:val="left"/>
        </w:tabs>
        <w:numPr>
          <w:ilvl w:val="1"/>
          <w:numId w:val="45"/>
        </w:numPr>
        <w:rPr>
          <w:rFonts w:ascii="Arial" w:cs="Arial" w:eastAsia="Arial" w:hAnsi="Arial"/>
          <w:sz w:val="16"/>
          <w:szCs w:val="16"/>
          <w:color w:val="auto"/>
        </w:rPr>
      </w:pPr>
      <w:r>
        <w:rPr>
          <w:rFonts w:ascii="Arial" w:cs="Arial" w:eastAsia="Arial" w:hAnsi="Arial"/>
          <w:sz w:val="16"/>
          <w:szCs w:val="16"/>
          <w:color w:val="auto"/>
        </w:rPr>
        <w:t xml:space="preserve">If, pursuant to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Registrable Securities through such underwriting shall (together with the Company as provided in </w:t>
      </w:r>
      <w:r>
        <w:rPr>
          <w:rFonts w:ascii="Arial" w:cs="Arial" w:eastAsia="Arial" w:hAnsi="Arial"/>
          <w:sz w:val="16"/>
          <w:szCs w:val="16"/>
          <w:u w:val="single" w:color="auto"/>
          <w:color w:val="auto"/>
        </w:rPr>
        <w:t>Section 4(e))</w:t>
      </w:r>
      <w:r>
        <w:rPr>
          <w:rFonts w:ascii="Arial" w:cs="Arial" w:eastAsia="Arial" w:hAnsi="Arial"/>
          <w:sz w:val="16"/>
          <w:szCs w:val="16"/>
          <w:color w:val="auto"/>
        </w:rPr>
        <w:t xml:space="preserve"> enter into an underwriting agreement in customary form with the underwriter(s) selected for such underwriting. Notwithstanding any other provision of this </w:t>
      </w:r>
      <w:r>
        <w:rPr>
          <w:rFonts w:ascii="Arial" w:cs="Arial" w:eastAsia="Arial" w:hAnsi="Arial"/>
          <w:sz w:val="16"/>
          <w:szCs w:val="16"/>
          <w:u w:val="single" w:color="auto"/>
          <w:color w:val="auto"/>
        </w:rPr>
        <w:t>Section 3(a)</w:t>
      </w:r>
      <w:r>
        <w:rPr>
          <w:rFonts w:ascii="Arial" w:cs="Arial" w:eastAsia="Arial" w:hAnsi="Arial"/>
          <w:sz w:val="16"/>
          <w:szCs w:val="16"/>
          <w:color w:val="auto"/>
        </w:rPr>
        <w:t>, if the managing underwriter advises the Initiating Holders in writing that marketing factors require a limitation on the number of Class A Shares to be underwritten, then the Initiating Holders shall so advise all Holders that otherwise would be underwritten pursuant hereto and the number of Registrable Securities that may be included in the underwriting shall be allocated among such Holders, including the Initiating Holders, in proportion (as nearly as practicable) to the number of Registrable Securities owned by each Holder or in such other proportion as shall mutually be agreed to by all such selling Holders; provided, however, that the number of Registrable Securities to be included in such underwriting shall not be reduced unless all other Class A Shares are first entirely excluded from the underwriting. To facilitate the allocation of Class A Shares in accordance with the above provisions, the Company or the underwriters may round the number of shares allocated for sale by any Holder to the nearest 100 Registrable Securities.</w:t>
      </w:r>
    </w:p>
    <w:p>
      <w:pPr>
        <w:spacing w:after="0" w:line="139" w:lineRule="exact"/>
        <w:rPr>
          <w:rFonts w:ascii="Arial" w:cs="Arial" w:eastAsia="Arial" w:hAnsi="Arial"/>
          <w:sz w:val="16"/>
          <w:szCs w:val="16"/>
          <w:color w:val="auto"/>
        </w:rPr>
      </w:pPr>
    </w:p>
    <w:p>
      <w:pPr>
        <w:ind w:left="-540" w:right="20" w:firstLine="969"/>
        <w:spacing w:after="0" w:line="284" w:lineRule="auto"/>
        <w:tabs>
          <w:tab w:leader="none" w:pos="853" w:val="left"/>
        </w:tabs>
        <w:numPr>
          <w:ilvl w:val="1"/>
          <w:numId w:val="45"/>
        </w:numPr>
        <w:rPr>
          <w:rFonts w:ascii="Arial" w:cs="Arial" w:eastAsia="Arial" w:hAnsi="Arial"/>
          <w:sz w:val="16"/>
          <w:szCs w:val="16"/>
          <w:i w:val="1"/>
          <w:iCs w:val="1"/>
          <w:color w:val="auto"/>
        </w:rPr>
      </w:pPr>
      <w:r>
        <w:rPr>
          <w:rFonts w:ascii="Arial" w:cs="Arial" w:eastAsia="Arial" w:hAnsi="Arial"/>
          <w:sz w:val="16"/>
          <w:szCs w:val="16"/>
          <w:color w:val="auto"/>
        </w:rPr>
        <w:t xml:space="preserve">In connection with any offering involving an underwriting of shares of the Company’s capital stock pursuant to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that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thirty percent of the total number of securities included in such offering. For purposes of this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34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10795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469" w:right="239" w:bottom="1440" w:gutter="0" w:footer="0" w:header="0"/>
        </w:sectPr>
      </w:pPr>
    </w:p>
    <w:bookmarkStart w:id="41" w:name="page42"/>
    <w:bookmarkEnd w:id="41"/>
    <w:p>
      <w:pPr>
        <w:ind w:right="280" w:firstLine="640"/>
        <w:spacing w:after="0" w:line="268" w:lineRule="auto"/>
        <w:tabs>
          <w:tab w:leader="none" w:pos="996"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Obligations of the Company</w:t>
      </w:r>
      <w:r>
        <w:rPr>
          <w:rFonts w:ascii="Arial" w:cs="Arial" w:eastAsia="Arial" w:hAnsi="Arial"/>
          <w:sz w:val="18"/>
          <w:szCs w:val="18"/>
          <w:color w:val="auto"/>
        </w:rPr>
        <w:t>. Whenever required under this Agreement to effect the registration of any Registrable Securities, the Company shall, as expeditiously as reasonably possible:</w:t>
      </w:r>
    </w:p>
    <w:p>
      <w:pPr>
        <w:spacing w:after="0" w:line="145" w:lineRule="exact"/>
        <w:rPr>
          <w:rFonts w:ascii="Arial" w:cs="Arial" w:eastAsia="Arial" w:hAnsi="Arial"/>
          <w:sz w:val="18"/>
          <w:szCs w:val="18"/>
          <w:color w:val="auto"/>
        </w:rPr>
      </w:pPr>
    </w:p>
    <w:p>
      <w:pPr>
        <w:ind w:left="320" w:firstLine="969"/>
        <w:spacing w:after="0" w:line="289" w:lineRule="auto"/>
        <w:tabs>
          <w:tab w:leader="none" w:pos="1703"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180 days, in the case of a registration statement pursuant to </w:t>
      </w:r>
      <w:r>
        <w:rPr>
          <w:rFonts w:ascii="Arial" w:cs="Arial" w:eastAsia="Arial" w:hAnsi="Arial"/>
          <w:sz w:val="16"/>
          <w:szCs w:val="16"/>
          <w:u w:val="single" w:color="auto"/>
          <w:color w:val="auto"/>
        </w:rPr>
        <w:t>clause (y)</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2(a)(i)</w:t>
      </w:r>
      <w:r>
        <w:rPr>
          <w:rFonts w:ascii="Arial" w:cs="Arial" w:eastAsia="Arial" w:hAnsi="Arial"/>
          <w:sz w:val="16"/>
          <w:szCs w:val="16"/>
          <w:color w:val="auto"/>
        </w:rPr>
        <w:t xml:space="preserve"> (regardless of whether such registration also complies with </w:t>
      </w:r>
      <w:r>
        <w:rPr>
          <w:rFonts w:ascii="Arial" w:cs="Arial" w:eastAsia="Arial" w:hAnsi="Arial"/>
          <w:sz w:val="16"/>
          <w:szCs w:val="16"/>
          <w:u w:val="single" w:color="auto"/>
          <w:color w:val="auto"/>
        </w:rPr>
        <w:t>clause (x)</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clause (y)</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2(a)(ii)</w:t>
      </w:r>
      <w:r>
        <w:rPr>
          <w:rFonts w:ascii="Arial" w:cs="Arial" w:eastAsia="Arial" w:hAnsi="Arial"/>
          <w:sz w:val="16"/>
          <w:szCs w:val="16"/>
          <w:color w:val="auto"/>
        </w:rPr>
        <w:t xml:space="preserve"> (regardless of whether such registration also complies with </w:t>
      </w:r>
      <w:r>
        <w:rPr>
          <w:rFonts w:ascii="Arial" w:cs="Arial" w:eastAsia="Arial" w:hAnsi="Arial"/>
          <w:sz w:val="16"/>
          <w:szCs w:val="16"/>
          <w:u w:val="single" w:color="auto"/>
          <w:color w:val="auto"/>
        </w:rPr>
        <w:t>clause (x)</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2(a)(ii)</w:t>
      </w:r>
      <w:r>
        <w:rPr>
          <w:rFonts w:ascii="Arial" w:cs="Arial" w:eastAsia="Arial" w:hAnsi="Arial"/>
          <w:sz w:val="16"/>
          <w:szCs w:val="16"/>
          <w:color w:val="auto"/>
        </w:rPr>
        <w:t>), or otherwise 120 days or, if earlier, until the distribution contemplated in the registration statement has been completed, provided that such 180-day or 120-day period (as the case may be) shall be extended for a period of time equal to the period the Holder refrains, at the request of an underwriter of Class A Shares (or other securities) of the Company, from selling any securities included in such registration;</w:t>
      </w:r>
    </w:p>
    <w:p>
      <w:pPr>
        <w:spacing w:after="0" w:line="131" w:lineRule="exact"/>
        <w:rPr>
          <w:rFonts w:ascii="Arial" w:cs="Arial" w:eastAsia="Arial" w:hAnsi="Arial"/>
          <w:sz w:val="16"/>
          <w:szCs w:val="16"/>
          <w:color w:val="auto"/>
        </w:rPr>
      </w:pPr>
    </w:p>
    <w:p>
      <w:pPr>
        <w:ind w:left="320" w:right="320" w:firstLine="969"/>
        <w:spacing w:after="0" w:line="259" w:lineRule="auto"/>
        <w:tabs>
          <w:tab w:leader="none" w:pos="1713" w:val="left"/>
        </w:tabs>
        <w:numPr>
          <w:ilvl w:val="1"/>
          <w:numId w:val="46"/>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53" w:lineRule="exact"/>
        <w:rPr>
          <w:rFonts w:ascii="Arial" w:cs="Arial" w:eastAsia="Arial" w:hAnsi="Arial"/>
          <w:sz w:val="18"/>
          <w:szCs w:val="18"/>
          <w:color w:val="auto"/>
        </w:rPr>
      </w:pPr>
    </w:p>
    <w:p>
      <w:pPr>
        <w:ind w:left="320" w:right="300" w:firstLine="969"/>
        <w:spacing w:after="0" w:line="370" w:lineRule="auto"/>
        <w:tabs>
          <w:tab w:leader="none" w:pos="1703" w:val="left"/>
        </w:tabs>
        <w:numPr>
          <w:ilvl w:val="1"/>
          <w:numId w:val="46"/>
        </w:numPr>
        <w:rPr>
          <w:rFonts w:ascii="Arial" w:cs="Arial" w:eastAsia="Arial" w:hAnsi="Arial"/>
          <w:sz w:val="15"/>
          <w:szCs w:val="15"/>
          <w:color w:val="auto"/>
        </w:rPr>
      </w:pPr>
      <w:r>
        <w:rPr>
          <w:rFonts w:ascii="Arial" w:cs="Arial" w:eastAsia="Arial" w:hAnsi="Arial"/>
          <w:sz w:val="15"/>
          <w:szCs w:val="15"/>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75" w:lineRule="exact"/>
        <w:rPr>
          <w:rFonts w:ascii="Arial" w:cs="Arial" w:eastAsia="Arial" w:hAnsi="Arial"/>
          <w:sz w:val="15"/>
          <w:szCs w:val="15"/>
          <w:color w:val="auto"/>
        </w:rPr>
      </w:pPr>
    </w:p>
    <w:p>
      <w:pPr>
        <w:jc w:val="both"/>
        <w:ind w:left="320" w:right="60" w:firstLine="969"/>
        <w:spacing w:after="0" w:line="298" w:lineRule="auto"/>
        <w:tabs>
          <w:tab w:leader="none" w:pos="1713"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26" w:lineRule="exact"/>
        <w:rPr>
          <w:rFonts w:ascii="Arial" w:cs="Arial" w:eastAsia="Arial" w:hAnsi="Arial"/>
          <w:sz w:val="16"/>
          <w:szCs w:val="16"/>
          <w:color w:val="auto"/>
        </w:rPr>
      </w:pPr>
    </w:p>
    <w:p>
      <w:pPr>
        <w:ind w:left="320" w:right="40" w:firstLine="969"/>
        <w:spacing w:after="0" w:line="268" w:lineRule="auto"/>
        <w:tabs>
          <w:tab w:leader="none" w:pos="1703"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underwriter(s) of such offering;</w:t>
      </w:r>
    </w:p>
    <w:p>
      <w:pPr>
        <w:spacing w:after="0" w:line="145" w:lineRule="exact"/>
        <w:rPr>
          <w:rFonts w:ascii="Arial" w:cs="Arial" w:eastAsia="Arial" w:hAnsi="Arial"/>
          <w:sz w:val="18"/>
          <w:szCs w:val="18"/>
          <w:color w:val="auto"/>
        </w:rPr>
      </w:pPr>
    </w:p>
    <w:p>
      <w:pPr>
        <w:ind w:left="320" w:right="100" w:firstLine="969"/>
        <w:spacing w:after="0" w:line="259" w:lineRule="auto"/>
        <w:tabs>
          <w:tab w:leader="none" w:pos="1684" w:val="left"/>
        </w:tabs>
        <w:numPr>
          <w:ilvl w:val="1"/>
          <w:numId w:val="46"/>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53" w:lineRule="exact"/>
        <w:rPr>
          <w:rFonts w:ascii="Arial" w:cs="Arial" w:eastAsia="Arial" w:hAnsi="Arial"/>
          <w:sz w:val="18"/>
          <w:szCs w:val="18"/>
          <w:color w:val="auto"/>
        </w:rPr>
      </w:pPr>
    </w:p>
    <w:p>
      <w:pPr>
        <w:ind w:left="320" w:right="20" w:firstLine="969"/>
        <w:spacing w:after="0" w:line="254" w:lineRule="auto"/>
        <w:tabs>
          <w:tab w:leader="none" w:pos="1713" w:val="left"/>
        </w:tabs>
        <w:numPr>
          <w:ilvl w:val="1"/>
          <w:numId w:val="46"/>
        </w:numPr>
        <w:rPr>
          <w:rFonts w:ascii="Arial" w:cs="Arial" w:eastAsia="Arial" w:hAnsi="Arial"/>
          <w:sz w:val="18"/>
          <w:szCs w:val="18"/>
          <w:color w:val="auto"/>
        </w:rPr>
      </w:pPr>
      <w:r>
        <w:rPr>
          <w:rFonts w:ascii="Arial" w:cs="Arial" w:eastAsia="Arial" w:hAnsi="Arial"/>
          <w:sz w:val="18"/>
          <w:szCs w:val="18"/>
          <w:color w:val="auto"/>
        </w:rPr>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57" w:lineRule="exact"/>
        <w:rPr>
          <w:rFonts w:ascii="Arial" w:cs="Arial" w:eastAsia="Arial" w:hAnsi="Arial"/>
          <w:sz w:val="18"/>
          <w:szCs w:val="18"/>
          <w:color w:val="auto"/>
        </w:rPr>
      </w:pPr>
    </w:p>
    <w:p>
      <w:pPr>
        <w:ind w:left="320" w:right="600" w:firstLine="969"/>
        <w:spacing w:after="0" w:line="332" w:lineRule="auto"/>
        <w:tabs>
          <w:tab w:leader="none" w:pos="1713" w:val="left"/>
        </w:tabs>
        <w:numPr>
          <w:ilvl w:val="1"/>
          <w:numId w:val="46"/>
        </w:numPr>
        <w:rPr>
          <w:rFonts w:ascii="Arial" w:cs="Arial" w:eastAsia="Arial" w:hAnsi="Arial"/>
          <w:sz w:val="16"/>
          <w:szCs w:val="16"/>
          <w:color w:val="auto"/>
        </w:rPr>
      </w:pPr>
      <w:r>
        <w:rPr>
          <w:rFonts w:ascii="Arial" w:cs="Arial" w:eastAsia="Arial" w:hAnsi="Arial"/>
          <w:sz w:val="16"/>
          <w:szCs w:val="16"/>
          <w:color w:val="auto"/>
        </w:rPr>
        <w:t>notify each selling Holder, promptly after the Company receives notice of this Agreement, of the time when such registration statement has been declared effective or a supplement to any prospectus forming a part of such registration statement has been filed; and</w:t>
      </w:r>
    </w:p>
    <w:p>
      <w:pPr>
        <w:spacing w:after="0" w:line="98" w:lineRule="exact"/>
        <w:rPr>
          <w:rFonts w:ascii="Arial" w:cs="Arial" w:eastAsia="Arial" w:hAnsi="Arial"/>
          <w:sz w:val="16"/>
          <w:szCs w:val="16"/>
          <w:color w:val="auto"/>
        </w:rPr>
      </w:pPr>
    </w:p>
    <w:p>
      <w:pPr>
        <w:ind w:left="320" w:right="60" w:firstLine="969"/>
        <w:spacing w:after="0" w:line="268" w:lineRule="auto"/>
        <w:tabs>
          <w:tab w:leader="none" w:pos="1674" w:val="left"/>
        </w:tabs>
        <w:numPr>
          <w:ilvl w:val="1"/>
          <w:numId w:val="46"/>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notify each selling Holder of any request by the SEC that the Company amend or supplement such registration statement or prospectus.</w:t>
      </w:r>
    </w:p>
    <w:p>
      <w:pPr>
        <w:spacing w:after="0" w:line="118" w:lineRule="exact"/>
        <w:rPr>
          <w:sz w:val="20"/>
          <w:szCs w:val="20"/>
          <w:color w:val="auto"/>
        </w:rPr>
      </w:pPr>
    </w:p>
    <w:p>
      <w:pPr>
        <w:jc w:val="both"/>
        <w:ind w:left="320"/>
        <w:spacing w:after="0" w:line="259" w:lineRule="auto"/>
        <w:rPr>
          <w:sz w:val="20"/>
          <w:szCs w:val="20"/>
          <w:color w:val="auto"/>
        </w:rPr>
      </w:pPr>
      <w:r>
        <w:rPr>
          <w:rFonts w:ascii="Arial" w:cs="Arial" w:eastAsia="Arial" w:hAnsi="Arial"/>
          <w:sz w:val="18"/>
          <w:szCs w:val="18"/>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35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10795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469" w:right="239" w:bottom="1440" w:gutter="0" w:footer="0" w:header="0"/>
        </w:sectPr>
      </w:pPr>
    </w:p>
    <w:bookmarkStart w:id="42" w:name="page43"/>
    <w:bookmarkEnd w:id="42"/>
    <w:p>
      <w:pPr>
        <w:jc w:val="both"/>
        <w:ind w:right="20" w:firstLine="640"/>
        <w:spacing w:after="0" w:line="256" w:lineRule="auto"/>
        <w:tabs>
          <w:tab w:leader="none" w:pos="996"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Furnish Information</w:t>
      </w:r>
      <w:r>
        <w:rPr>
          <w:rFonts w:ascii="Arial" w:cs="Arial" w:eastAsia="Arial" w:hAnsi="Arial"/>
          <w:sz w:val="18"/>
          <w:szCs w:val="18"/>
          <w:color w:val="auto"/>
        </w:rPr>
        <w:t>. It shall be a condition precedent to the obligations of the Company to take any action pursuant to this Agreement,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56" w:lineRule="exact"/>
        <w:rPr>
          <w:rFonts w:ascii="Arial" w:cs="Arial" w:eastAsia="Arial" w:hAnsi="Arial"/>
          <w:sz w:val="18"/>
          <w:szCs w:val="18"/>
          <w:color w:val="auto"/>
        </w:rPr>
      </w:pPr>
    </w:p>
    <w:p>
      <w:pPr>
        <w:ind w:right="20" w:firstLine="640"/>
        <w:spacing w:after="0" w:line="286" w:lineRule="auto"/>
        <w:tabs>
          <w:tab w:leader="none" w:pos="996"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Expenses of Registration</w:t>
      </w:r>
      <w:r>
        <w:rPr>
          <w:rFonts w:ascii="Arial" w:cs="Arial" w:eastAsia="Arial" w:hAnsi="Arial"/>
          <w:sz w:val="16"/>
          <w:szCs w:val="16"/>
          <w:color w:val="auto"/>
        </w:rPr>
        <w:t>. All expenses (other than Selling Expenses) incurred in connection with registrations, filings, or qualifications pursuant to this Agreement, including all registration, filing, and qualification fees; printers’ and accounting fees; fees and disbursements of counsel for the Company; and the reasonable fees and disbursements, not to exceed $50,000, of one counsel for the selling Holders (“</w:t>
      </w:r>
      <w:r>
        <w:rPr>
          <w:rFonts w:ascii="Arial" w:cs="Arial" w:eastAsia="Arial" w:hAnsi="Arial"/>
          <w:sz w:val="16"/>
          <w:szCs w:val="16"/>
          <w:i w:val="1"/>
          <w:iCs w:val="1"/>
          <w:color w:val="auto"/>
        </w:rPr>
        <w:t>Selling Holder Counsel</w:t>
      </w:r>
      <w:r>
        <w:rPr>
          <w:rFonts w:ascii="Arial" w:cs="Arial" w:eastAsia="Arial" w:hAnsi="Arial"/>
          <w:sz w:val="16"/>
          <w:szCs w:val="16"/>
          <w:color w:val="auto"/>
        </w:rPr>
        <w:t xml:space="preserve">”), shall be borne and paid by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shall not be required to pay for any expenses of any registration proceeding begun pursuant to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further </w:t>
      </w:r>
      <w:r>
        <w:rPr>
          <w:rFonts w:ascii="Arial" w:cs="Arial" w:eastAsia="Arial" w:hAnsi="Arial"/>
          <w:sz w:val="16"/>
          <w:szCs w:val="16"/>
          <w:color w:val="auto"/>
        </w:rPr>
        <w:t>that if, at the time of such withdrawal, the Holders shall have learned of a material adverse change in the condition, business, or prospects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All Selling Expenses relating to Registrable Securities registered pursuant to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be borne and paid by the Holders pro rata on the basis of the number of Registrable Securities registered on their behalf.</w:t>
      </w:r>
    </w:p>
    <w:p>
      <w:pPr>
        <w:spacing w:after="0" w:line="137" w:lineRule="exact"/>
        <w:rPr>
          <w:rFonts w:ascii="Arial" w:cs="Arial" w:eastAsia="Arial" w:hAnsi="Arial"/>
          <w:sz w:val="16"/>
          <w:szCs w:val="16"/>
          <w:color w:val="auto"/>
        </w:rPr>
      </w:pPr>
    </w:p>
    <w:p>
      <w:pPr>
        <w:ind w:right="620" w:firstLine="640"/>
        <w:spacing w:after="0" w:line="332" w:lineRule="auto"/>
        <w:tabs>
          <w:tab w:leader="none" w:pos="996"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Delay of Registration</w:t>
      </w:r>
      <w:r>
        <w:rPr>
          <w:rFonts w:ascii="Arial" w:cs="Arial" w:eastAsia="Arial" w:hAnsi="Arial"/>
          <w:sz w:val="16"/>
          <w:szCs w:val="16"/>
          <w:color w:val="auto"/>
        </w:rPr>
        <w:t>. No Holder shall have any right to obtain or seek an injunction restraining or otherwise delaying any registration pursuant to this Agreement as the result of any controversy that might arise with respect to the interpretation or implementation of this Agreement.</w:t>
      </w:r>
    </w:p>
    <w:p>
      <w:pPr>
        <w:spacing w:after="0" w:line="98" w:lineRule="exact"/>
        <w:rPr>
          <w:rFonts w:ascii="Arial" w:cs="Arial" w:eastAsia="Arial" w:hAnsi="Arial"/>
          <w:sz w:val="16"/>
          <w:szCs w:val="16"/>
          <w:color w:val="auto"/>
        </w:rPr>
      </w:pPr>
    </w:p>
    <w:p>
      <w:pPr>
        <w:ind w:left="980" w:hanging="340"/>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If any Registrable Securities are included in a registration statement under this Agreement:</w:t>
      </w:r>
    </w:p>
    <w:p>
      <w:pPr>
        <w:spacing w:after="0" w:line="184" w:lineRule="exact"/>
        <w:rPr>
          <w:rFonts w:ascii="Arial" w:cs="Arial" w:eastAsia="Arial" w:hAnsi="Arial"/>
          <w:sz w:val="18"/>
          <w:szCs w:val="18"/>
          <w:color w:val="auto"/>
        </w:rPr>
      </w:pPr>
    </w:p>
    <w:p>
      <w:pPr>
        <w:ind w:left="320" w:right="60" w:firstLine="969"/>
        <w:spacing w:after="0" w:line="287" w:lineRule="auto"/>
        <w:tabs>
          <w:tab w:leader="none" w:pos="1703"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that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provided that the indemnity agreement contained in this </w:t>
      </w:r>
      <w:r>
        <w:rPr>
          <w:rFonts w:ascii="Arial" w:cs="Arial" w:eastAsia="Arial" w:hAnsi="Arial"/>
          <w:sz w:val="16"/>
          <w:szCs w:val="16"/>
          <w:u w:val="single" w:color="auto"/>
          <w:color w:val="auto"/>
        </w:rPr>
        <w:t>Section 8(a)</w:t>
      </w:r>
      <w:r>
        <w:rPr>
          <w:rFonts w:ascii="Arial" w:cs="Arial" w:eastAsia="Arial" w:hAnsi="Arial"/>
          <w:sz w:val="16"/>
          <w:szCs w:val="16"/>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36" w:lineRule="exact"/>
        <w:rPr>
          <w:rFonts w:ascii="Arial" w:cs="Arial" w:eastAsia="Arial" w:hAnsi="Arial"/>
          <w:sz w:val="16"/>
          <w:szCs w:val="16"/>
          <w:color w:val="auto"/>
        </w:rPr>
      </w:pPr>
    </w:p>
    <w:p>
      <w:pPr>
        <w:ind w:left="320" w:right="120" w:firstLine="969"/>
        <w:spacing w:after="0" w:line="286" w:lineRule="auto"/>
        <w:tabs>
          <w:tab w:leader="none" w:pos="1713"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provided that the indemnity agreement contained in this </w:t>
      </w:r>
      <w:r>
        <w:rPr>
          <w:rFonts w:ascii="Arial" w:cs="Arial" w:eastAsia="Arial" w:hAnsi="Arial"/>
          <w:sz w:val="16"/>
          <w:szCs w:val="16"/>
          <w:u w:val="single" w:color="auto"/>
          <w:color w:val="auto"/>
        </w:rPr>
        <w:t>Section 8(b)</w:t>
      </w:r>
      <w:r>
        <w:rPr>
          <w:rFonts w:ascii="Arial" w:cs="Arial" w:eastAsia="Arial" w:hAnsi="Arial"/>
          <w:sz w:val="16"/>
          <w:szCs w:val="16"/>
          <w:color w:val="auto"/>
        </w:rPr>
        <w:t xml:space="preserve"> shall not apply to amounts paid in settlement of any such claim or proceeding if such settlement is effected without the consent of the Holder, which consent shall not be unreasonably withheld and provided further that in no event shall the aggregate amounts payable by any Holder by way of indemnity or contribution under </w:t>
      </w:r>
      <w:r>
        <w:rPr>
          <w:rFonts w:ascii="Arial" w:cs="Arial" w:eastAsia="Arial" w:hAnsi="Arial"/>
          <w:sz w:val="16"/>
          <w:szCs w:val="16"/>
          <w:u w:val="single" w:color="auto"/>
          <w:color w:val="auto"/>
        </w:rPr>
        <w:t>Sections 8(b)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exceed the proceeds from the offering received by such Holder (net of any Selling Expenses paid by such Holder), except in the case of fraud or willful misconduct by such Holder.</w:t>
      </w:r>
    </w:p>
    <w:p>
      <w:pPr>
        <w:spacing w:after="0" w:line="137" w:lineRule="exact"/>
        <w:rPr>
          <w:rFonts w:ascii="Arial" w:cs="Arial" w:eastAsia="Arial" w:hAnsi="Arial"/>
          <w:sz w:val="16"/>
          <w:szCs w:val="16"/>
          <w:color w:val="auto"/>
        </w:rPr>
      </w:pPr>
    </w:p>
    <w:p>
      <w:pPr>
        <w:ind w:left="320" w:firstLine="969"/>
        <w:spacing w:after="0" w:line="286" w:lineRule="auto"/>
        <w:tabs>
          <w:tab w:leader="none" w:pos="1703"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of notice of the commencement of any action (including any governmental action) for which a party may be entitled to indemnification hereunder, such indemnified party will, if a claim in respect to this Agreement is to be made against any indemnifying party under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give the indemnifying party notice of the commencement of this Agreement. The indemnifying party shall have the right to participate in such action and, to the extent the indemnifying party so desires, participate jointly with any other indemnifying party to which notice has been given, and to assume the defense of this Agreement with counsel mutually satisfactory to the parties, provided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Arial" w:cs="Arial" w:eastAsia="Arial" w:hAnsi="Arial"/>
          <w:sz w:val="16"/>
          <w:szCs w:val="16"/>
          <w:u w:val="single" w:color="auto"/>
          <w:color w:val="auto"/>
        </w:rPr>
        <w:t>Section 8</w:t>
      </w:r>
      <w:r>
        <w:rPr>
          <w:rFonts w:ascii="Arial" w:cs="Arial" w:eastAsia="Arial" w:hAnsi="Arial"/>
          <w:sz w:val="16"/>
          <w:szCs w:val="16"/>
          <w:color w:val="auto"/>
        </w:rPr>
        <w:t>.</w:t>
      </w:r>
    </w:p>
    <w:p>
      <w:pPr>
        <w:spacing w:after="0" w:line="32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10795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580" w:top="469" w:right="259" w:bottom="1440" w:gutter="0" w:footer="0" w:header="0"/>
        </w:sectPr>
      </w:pPr>
    </w:p>
    <w:bookmarkStart w:id="43" w:name="page44"/>
    <w:bookmarkEnd w:id="43"/>
    <w:p>
      <w:pPr>
        <w:ind w:left="320" w:right="20" w:firstLine="969"/>
        <w:spacing w:after="0" w:line="284" w:lineRule="auto"/>
        <w:tabs>
          <w:tab w:leader="none" w:pos="1713" w:val="left"/>
        </w:tabs>
        <w:numPr>
          <w:ilvl w:val="1"/>
          <w:numId w:val="48"/>
        </w:numPr>
        <w:rPr>
          <w:rFonts w:ascii="Arial" w:cs="Arial" w:eastAsia="Arial" w:hAnsi="Arial"/>
          <w:sz w:val="16"/>
          <w:szCs w:val="16"/>
          <w:color w:val="auto"/>
        </w:rPr>
      </w:pPr>
      <w:r>
        <w:rPr>
          <w:rFonts w:ascii="Arial" w:cs="Arial" w:eastAsia="Arial" w:hAnsi="Arial"/>
          <w:sz w:val="16"/>
          <w:szCs w:val="16"/>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provides for indemnification in such case, or (ii) contribution under the Securities Act may be required on the part of any party to this Agreement for which indemnification is provided under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provided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provided further that in no event shall a Holder’s liability pursuant to this </w:t>
      </w:r>
      <w:r>
        <w:rPr>
          <w:rFonts w:ascii="Arial" w:cs="Arial" w:eastAsia="Arial" w:hAnsi="Arial"/>
          <w:sz w:val="16"/>
          <w:szCs w:val="16"/>
          <w:u w:val="single" w:color="auto"/>
          <w:color w:val="auto"/>
        </w:rPr>
        <w:t>Section 8(d)</w:t>
      </w:r>
      <w:r>
        <w:rPr>
          <w:rFonts w:ascii="Arial" w:cs="Arial" w:eastAsia="Arial" w:hAnsi="Arial"/>
          <w:sz w:val="16"/>
          <w:szCs w:val="16"/>
          <w:color w:val="auto"/>
        </w:rPr>
        <w:t xml:space="preserve">, when combined with the amounts paid or payable by such Holder pursuant to </w:t>
      </w:r>
      <w:r>
        <w:rPr>
          <w:rFonts w:ascii="Arial" w:cs="Arial" w:eastAsia="Arial" w:hAnsi="Arial"/>
          <w:sz w:val="16"/>
          <w:szCs w:val="16"/>
          <w:u w:val="single" w:color="auto"/>
          <w:color w:val="auto"/>
        </w:rPr>
        <w:t>Section 8(b)</w:t>
      </w:r>
      <w:r>
        <w:rPr>
          <w:rFonts w:ascii="Arial" w:cs="Arial" w:eastAsia="Arial" w:hAnsi="Arial"/>
          <w:sz w:val="16"/>
          <w:szCs w:val="16"/>
          <w:color w:val="auto"/>
        </w:rPr>
        <w:t>, exceed the proceeds from the offering received by such Holder (net of any Selling Expenses paid by such Holder), except in the case of willful misconduct or fraud by such Holder.</w:t>
      </w:r>
    </w:p>
    <w:p>
      <w:pPr>
        <w:spacing w:after="0" w:line="363" w:lineRule="exact"/>
        <w:rPr>
          <w:rFonts w:ascii="Arial" w:cs="Arial" w:eastAsia="Arial" w:hAnsi="Arial"/>
          <w:sz w:val="16"/>
          <w:szCs w:val="16"/>
          <w:color w:val="auto"/>
        </w:rPr>
      </w:pPr>
    </w:p>
    <w:p>
      <w:pPr>
        <w:ind w:left="320" w:right="240" w:firstLine="969"/>
        <w:spacing w:after="0" w:line="259" w:lineRule="auto"/>
        <w:tabs>
          <w:tab w:leader="none" w:pos="1703" w:val="left"/>
        </w:tabs>
        <w:numPr>
          <w:ilvl w:val="1"/>
          <w:numId w:val="48"/>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53" w:lineRule="exact"/>
        <w:rPr>
          <w:rFonts w:ascii="Arial" w:cs="Arial" w:eastAsia="Arial" w:hAnsi="Arial"/>
          <w:sz w:val="18"/>
          <w:szCs w:val="18"/>
          <w:color w:val="auto"/>
        </w:rPr>
      </w:pPr>
    </w:p>
    <w:p>
      <w:pPr>
        <w:jc w:val="both"/>
        <w:ind w:left="320" w:right="400" w:firstLine="969"/>
        <w:spacing w:after="0" w:line="259" w:lineRule="auto"/>
        <w:tabs>
          <w:tab w:leader="none" w:pos="1684"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survive the completion of any offering of Registrable Securities in a registration under this Agreement, and otherwise shall survive the termination of this Agreement.</w:t>
      </w:r>
    </w:p>
    <w:p>
      <w:pPr>
        <w:spacing w:after="0" w:line="153" w:lineRule="exact"/>
        <w:rPr>
          <w:rFonts w:ascii="Arial" w:cs="Arial" w:eastAsia="Arial" w:hAnsi="Arial"/>
          <w:sz w:val="18"/>
          <w:szCs w:val="18"/>
          <w:color w:val="auto"/>
        </w:rPr>
      </w:pPr>
    </w:p>
    <w:p>
      <w:pPr>
        <w:ind w:right="80" w:firstLine="640"/>
        <w:spacing w:after="0" w:line="259" w:lineRule="auto"/>
        <w:tabs>
          <w:tab w:leader="none" w:pos="996"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153" w:lineRule="exact"/>
        <w:rPr>
          <w:rFonts w:ascii="Arial" w:cs="Arial" w:eastAsia="Arial" w:hAnsi="Arial"/>
          <w:sz w:val="18"/>
          <w:szCs w:val="18"/>
          <w:color w:val="auto"/>
        </w:rPr>
      </w:pPr>
    </w:p>
    <w:p>
      <w:pPr>
        <w:ind w:left="320" w:right="380" w:firstLine="969"/>
        <w:spacing w:after="0" w:line="268" w:lineRule="auto"/>
        <w:tabs>
          <w:tab w:leader="none" w:pos="1703" w:val="left"/>
        </w:tabs>
        <w:numPr>
          <w:ilvl w:val="1"/>
          <w:numId w:val="49"/>
        </w:numPr>
        <w:rPr>
          <w:rFonts w:ascii="Arial" w:cs="Arial" w:eastAsia="Arial" w:hAnsi="Arial"/>
          <w:sz w:val="18"/>
          <w:szCs w:val="18"/>
          <w:color w:val="auto"/>
        </w:rPr>
      </w:pPr>
      <w:r>
        <w:rPr>
          <w:rFonts w:ascii="Arial" w:cs="Arial" w:eastAsia="Arial" w:hAnsi="Arial"/>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145" w:lineRule="exact"/>
        <w:rPr>
          <w:rFonts w:ascii="Arial" w:cs="Arial" w:eastAsia="Arial" w:hAnsi="Arial"/>
          <w:sz w:val="18"/>
          <w:szCs w:val="18"/>
          <w:color w:val="auto"/>
        </w:rPr>
      </w:pPr>
    </w:p>
    <w:p>
      <w:pPr>
        <w:ind w:left="320" w:right="520" w:firstLine="969"/>
        <w:spacing w:after="0" w:line="370" w:lineRule="auto"/>
        <w:tabs>
          <w:tab w:leader="none" w:pos="1713" w:val="left"/>
        </w:tabs>
        <w:numPr>
          <w:ilvl w:val="1"/>
          <w:numId w:val="49"/>
        </w:numPr>
        <w:rPr>
          <w:rFonts w:ascii="Arial" w:cs="Arial" w:eastAsia="Arial" w:hAnsi="Arial"/>
          <w:sz w:val="15"/>
          <w:szCs w:val="15"/>
          <w:color w:val="auto"/>
        </w:rPr>
      </w:pPr>
      <w:r>
        <w:rPr>
          <w:rFonts w:ascii="Arial" w:cs="Arial" w:eastAsia="Arial" w:hAnsi="Arial"/>
          <w:sz w:val="15"/>
          <w:szCs w:val="15"/>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75" w:lineRule="exact"/>
        <w:rPr>
          <w:rFonts w:ascii="Arial" w:cs="Arial" w:eastAsia="Arial" w:hAnsi="Arial"/>
          <w:sz w:val="15"/>
          <w:szCs w:val="15"/>
          <w:color w:val="auto"/>
        </w:rPr>
      </w:pPr>
    </w:p>
    <w:p>
      <w:pPr>
        <w:ind w:left="320" w:firstLine="969"/>
        <w:spacing w:after="0" w:line="290" w:lineRule="auto"/>
        <w:tabs>
          <w:tab w:leader="none" w:pos="1703" w:val="left"/>
        </w:tabs>
        <w:numPr>
          <w:ilvl w:val="1"/>
          <w:numId w:val="49"/>
        </w:numPr>
        <w:rPr>
          <w:rFonts w:ascii="Arial" w:cs="Arial" w:eastAsia="Arial" w:hAnsi="Arial"/>
          <w:sz w:val="16"/>
          <w:szCs w:val="16"/>
          <w:color w:val="auto"/>
        </w:rPr>
      </w:pPr>
      <w:r>
        <w:rPr>
          <w:rFonts w:ascii="Arial" w:cs="Arial" w:eastAsia="Arial" w:hAnsi="Arial"/>
          <w:sz w:val="16"/>
          <w:szCs w:val="16"/>
          <w:color w:val="auto"/>
        </w:rPr>
        <w:t>furnish to any Holder, so long as the Holder owns any Registrable Securities, forthwith upon request (i) to the extent accurate, a written statement by the Company that it has complied with the reporting requirements of SEC Rule 144 (at any time after ninety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200" w:lineRule="exact"/>
        <w:rPr>
          <w:sz w:val="20"/>
          <w:szCs w:val="20"/>
          <w:color w:val="auto"/>
        </w:rPr>
      </w:pPr>
    </w:p>
    <w:p>
      <w:pPr>
        <w:spacing w:after="0" w:line="33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10795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590" w:right="239" w:bottom="1440" w:gutter="0" w:footer="0" w:header="0"/>
        </w:sectPr>
      </w:pPr>
    </w:p>
    <w:bookmarkStart w:id="44" w:name="page45"/>
    <w:bookmarkEnd w:id="44"/>
    <w:p>
      <w:pPr>
        <w:ind w:right="140" w:firstLine="640"/>
        <w:spacing w:after="0" w:line="254" w:lineRule="auto"/>
        <w:tabs>
          <w:tab w:leader="none" w:pos="1084"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Limitations on Subsequent Registration Rights</w:t>
      </w:r>
      <w:r>
        <w:rPr>
          <w:rFonts w:ascii="Arial" w:cs="Arial" w:eastAsia="Arial" w:hAnsi="Arial"/>
          <w:sz w:val="18"/>
          <w:szCs w:val="18"/>
          <w:color w:val="auto"/>
        </w:rPr>
        <w:t>. From and after the date of this Agreement, the Company shall not, without the prior written consent of the Holders of a majority of the Registrable Securities then outstanding, enter into any agreement with any holder or prospective holder of any securities of the Company that would (a) provide to such holder the right to include securities in any registration on other than either a pro rata basis with respect to the Registrable Securities or on a subordinate basis after all Holders have had the opportunity to include in the registration and offering all shares of Registrable Securities they wish to so include or (b) allow such holder or prospective holder to initiate a demand for registration of any securities held by such holder or prospective holder.</w:t>
      </w:r>
    </w:p>
    <w:p>
      <w:pPr>
        <w:spacing w:after="0" w:line="157" w:lineRule="exact"/>
        <w:rPr>
          <w:rFonts w:ascii="Arial" w:cs="Arial" w:eastAsia="Arial" w:hAnsi="Arial"/>
          <w:sz w:val="18"/>
          <w:szCs w:val="18"/>
          <w:color w:val="auto"/>
        </w:rPr>
      </w:pPr>
    </w:p>
    <w:p>
      <w:pPr>
        <w:ind w:right="260" w:firstLine="640"/>
        <w:spacing w:after="0" w:line="268" w:lineRule="auto"/>
        <w:tabs>
          <w:tab w:leader="none" w:pos="1077"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xml:space="preserve">. The right of any Holder to request registration or inclusion of Registrable Securities in any registration pursuant to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2(b)</w:t>
      </w:r>
      <w:r>
        <w:rPr>
          <w:rFonts w:ascii="Arial" w:cs="Arial" w:eastAsia="Arial" w:hAnsi="Arial"/>
          <w:sz w:val="18"/>
          <w:szCs w:val="18"/>
          <w:color w:val="auto"/>
        </w:rPr>
        <w:t xml:space="preserve"> shall terminate upon the earliest to occur of:</w:t>
      </w:r>
    </w:p>
    <w:p>
      <w:pPr>
        <w:spacing w:after="0" w:line="118" w:lineRule="exact"/>
        <w:rPr>
          <w:sz w:val="20"/>
          <w:szCs w:val="20"/>
          <w:color w:val="auto"/>
        </w:rPr>
      </w:pPr>
    </w:p>
    <w:p>
      <w:pPr>
        <w:ind w:left="960" w:hanging="320"/>
        <w:spacing w:after="0" w:line="268"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such time as Rule 144 or another similar exemption under the Securities Act is available for the sale of all of such Holder’s Registrable Securities shares without restriction by volume limitations; and</w:t>
      </w:r>
    </w:p>
    <w:p>
      <w:pPr>
        <w:spacing w:after="0" w:line="145" w:lineRule="exact"/>
        <w:rPr>
          <w:rFonts w:ascii="Arial" w:cs="Arial" w:eastAsia="Arial" w:hAnsi="Arial"/>
          <w:sz w:val="18"/>
          <w:szCs w:val="18"/>
          <w:color w:val="auto"/>
        </w:rPr>
      </w:pPr>
    </w:p>
    <w:p>
      <w:pPr>
        <w:ind w:left="1700" w:hanging="411"/>
        <w:spacing w:after="0"/>
        <w:tabs>
          <w:tab w:leader="none" w:pos="1700" w:val="left"/>
        </w:tabs>
        <w:numPr>
          <w:ilvl w:val="2"/>
          <w:numId w:val="51"/>
        </w:numPr>
        <w:rPr>
          <w:rFonts w:ascii="Arial" w:cs="Arial" w:eastAsia="Arial" w:hAnsi="Arial"/>
          <w:sz w:val="18"/>
          <w:szCs w:val="18"/>
          <w:color w:val="auto"/>
        </w:rPr>
      </w:pPr>
      <w:r>
        <w:rPr>
          <w:rFonts w:ascii="Arial" w:cs="Arial" w:eastAsia="Arial" w:hAnsi="Arial"/>
          <w:sz w:val="18"/>
          <w:szCs w:val="18"/>
          <w:color w:val="auto"/>
        </w:rPr>
        <w:t>the fifth anniversary of the closing of the IPO.</w:t>
      </w:r>
    </w:p>
    <w:p>
      <w:pPr>
        <w:spacing w:after="0" w:line="184" w:lineRule="exact"/>
        <w:rPr>
          <w:rFonts w:ascii="Arial" w:cs="Arial" w:eastAsia="Arial" w:hAnsi="Arial"/>
          <w:sz w:val="18"/>
          <w:szCs w:val="18"/>
          <w:color w:val="auto"/>
        </w:rPr>
      </w:pPr>
    </w:p>
    <w:p>
      <w:pPr>
        <w:ind w:left="1400" w:hanging="435"/>
        <w:spacing w:after="0"/>
        <w:tabs>
          <w:tab w:leader="none" w:pos="140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Changes in Holders and Updating of Schedules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320" w:right="60" w:firstLine="969"/>
        <w:spacing w:after="0" w:line="286" w:lineRule="auto"/>
        <w:tabs>
          <w:tab w:leader="none" w:pos="1747" w:val="left"/>
        </w:tabs>
        <w:numPr>
          <w:ilvl w:val="2"/>
          <w:numId w:val="52"/>
        </w:numPr>
        <w:rPr>
          <w:rFonts w:ascii="Arial" w:cs="Arial" w:eastAsia="Arial" w:hAnsi="Arial"/>
          <w:sz w:val="16"/>
          <w:szCs w:val="16"/>
          <w:color w:val="auto"/>
        </w:rPr>
      </w:pPr>
      <w:r>
        <w:rPr>
          <w:rFonts w:ascii="Arial" w:cs="Arial" w:eastAsia="Arial" w:hAnsi="Arial"/>
          <w:sz w:val="16"/>
          <w:szCs w:val="16"/>
          <w:i w:val="1"/>
          <w:iCs w:val="1"/>
          <w:color w:val="auto"/>
        </w:rPr>
        <w:t>Successors and Assigns</w:t>
      </w:r>
      <w:r>
        <w:rPr>
          <w:rFonts w:ascii="Arial" w:cs="Arial" w:eastAsia="Arial" w:hAnsi="Arial"/>
          <w:sz w:val="16"/>
          <w:szCs w:val="16"/>
          <w:color w:val="auto"/>
        </w:rPr>
        <w:t>. The rights of a Holder, either as an Incidental Rights Holder or a Comprehensive Rights Holder,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Agreement may be assigned (but only with all related obligations) by such Holder to a transferee of Registrable Securities that is (i) an Affiliate of such Holder or (ii) an Immediate Family Member of such Holder or a trust for the benefit of such individual Holder or one or more of such Holder’s Immediate Family Members, provided that (A) the Company is, within a reasonable time after such transfer, furnished with written notice of the name and address of such transferee and the Registrable Securities with respect to which such rights are being transferred and (B) such transferee agrees, by executing and delivering an Adoption Agreement to the Company, to be bound by and subject to the terms and conditions of this Agreement. Upon such execution and delivery of an Adoption Agreement by such transferee and the Company, such transferee shall be deemed to be a party to this Agreement and an Incidental Rights Holder or a Comprehensive Rights Holder, to the same extent as the transferring Holder, as if such transferee’s signature appeared on the signature page of this Agreement. The terms and conditions of this Agreement inure to the benefit of and are binding upon the respective successors and permitted assignees of the parties. Nothing in this Agreement, express or implied, is intended to confer upon any party other than the parties to this Agreement or their respective successors and permitted assignees any rights, remedies, obligations or liabilities under or by reason of this Agreement, except as expressly provided in </w:t>
      </w:r>
      <w:r>
        <w:rPr>
          <w:rFonts w:ascii="Arial" w:cs="Arial" w:eastAsia="Arial" w:hAnsi="Arial"/>
          <w:sz w:val="16"/>
          <w:szCs w:val="16"/>
          <w:u w:val="single" w:color="auto"/>
          <w:color w:val="auto"/>
        </w:rPr>
        <w:t>Section 12(b)(i)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12(b)(ii)</w:t>
      </w:r>
      <w:r>
        <w:rPr>
          <w:rFonts w:ascii="Arial" w:cs="Arial" w:eastAsia="Arial" w:hAnsi="Arial"/>
          <w:sz w:val="16"/>
          <w:szCs w:val="16"/>
          <w:color w:val="auto"/>
        </w:rPr>
        <w:t xml:space="preserve"> or elsewhere herein.</w:t>
      </w:r>
    </w:p>
    <w:p>
      <w:pPr>
        <w:spacing w:after="0" w:line="110" w:lineRule="exact"/>
        <w:rPr>
          <w:rFonts w:ascii="Arial" w:cs="Arial" w:eastAsia="Arial" w:hAnsi="Arial"/>
          <w:sz w:val="16"/>
          <w:szCs w:val="16"/>
          <w:color w:val="auto"/>
        </w:rPr>
      </w:pPr>
    </w:p>
    <w:p>
      <w:pPr>
        <w:ind w:left="960" w:hanging="320"/>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Additional Holders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640" w:right="120" w:firstLine="1621"/>
        <w:spacing w:after="0" w:line="309" w:lineRule="auto"/>
        <w:tabs>
          <w:tab w:leader="none" w:pos="2642" w:val="left"/>
        </w:tabs>
        <w:numPr>
          <w:ilvl w:val="3"/>
          <w:numId w:val="53"/>
        </w:numPr>
        <w:rPr>
          <w:rFonts w:ascii="Arial" w:cs="Arial" w:eastAsia="Arial" w:hAnsi="Arial"/>
          <w:sz w:val="15"/>
          <w:szCs w:val="15"/>
          <w:color w:val="auto"/>
        </w:rPr>
      </w:pPr>
      <w:r>
        <w:rPr>
          <w:rFonts w:ascii="Arial" w:cs="Arial" w:eastAsia="Arial" w:hAnsi="Arial"/>
          <w:sz w:val="15"/>
          <w:szCs w:val="15"/>
          <w:color w:val="auto"/>
        </w:rPr>
        <w:t xml:space="preserve">Each of Ninebell Co., Ltd. (with respect to 133,334 Class A Shares purchased from the Company as of September 11, 2017), Pudong Science and Technology (Cayman) Co., Ltd. (with respect to 1,119,576 Class A Shares purchased from the Company as of September 8, 2017), Shanghai Science and Technology Venture Capital Co., Ltd. (with respect to 4,998,508 shares of Series E Preferred Stock of the Company purchased from the Company as of August 31, 2017), and Zhangjiang AJ Company Limited (with respect to 787,098 Class A Shares purchased from the Company as of September 8, 2017) may, at its election, become subject to the terms of this Agreement as an Incidental Rights Holder by executing and delivering an Adoption Agreement. Upon the execution and delivery of an Adoption Agreement to the Company by any such Person (with respect to the securities referenced above), the Company shall countersign such Adoption Agreement and (A) such Person shall be deemed to be a party to this Agreement as if such Person’s signature appeared on the signature pages of this Agreement and shall be deemed to be an Incidental Rights Holder and (B) such Person shall be added to SCHEDULE I in accordance with </w:t>
      </w:r>
      <w:r>
        <w:rPr>
          <w:rFonts w:ascii="Arial" w:cs="Arial" w:eastAsia="Arial" w:hAnsi="Arial"/>
          <w:sz w:val="15"/>
          <w:szCs w:val="15"/>
          <w:u w:val="single" w:color="auto"/>
          <w:color w:val="auto"/>
        </w:rPr>
        <w:t>Section 12(c)</w:t>
      </w:r>
      <w:r>
        <w:rPr>
          <w:rFonts w:ascii="Arial" w:cs="Arial" w:eastAsia="Arial" w:hAnsi="Arial"/>
          <w:sz w:val="15"/>
          <w:szCs w:val="15"/>
          <w:color w:val="auto"/>
        </w:rPr>
        <w:t>.</w:t>
      </w:r>
    </w:p>
    <w:p>
      <w:pPr>
        <w:spacing w:after="0" w:line="121" w:lineRule="exact"/>
        <w:rPr>
          <w:rFonts w:ascii="Arial" w:cs="Arial" w:eastAsia="Arial" w:hAnsi="Arial"/>
          <w:sz w:val="15"/>
          <w:szCs w:val="15"/>
          <w:color w:val="auto"/>
        </w:rPr>
      </w:pPr>
    </w:p>
    <w:p>
      <w:pPr>
        <w:ind w:left="640" w:right="20" w:firstLine="1621"/>
        <w:spacing w:after="0" w:line="288" w:lineRule="auto"/>
        <w:tabs>
          <w:tab w:leader="none" w:pos="2691" w:val="left"/>
        </w:tabs>
        <w:numPr>
          <w:ilvl w:val="3"/>
          <w:numId w:val="53"/>
        </w:numPr>
        <w:rPr>
          <w:rFonts w:ascii="Arial" w:cs="Arial" w:eastAsia="Arial" w:hAnsi="Arial"/>
          <w:sz w:val="16"/>
          <w:szCs w:val="16"/>
          <w:color w:val="auto"/>
        </w:rPr>
      </w:pPr>
      <w:r>
        <w:rPr>
          <w:rFonts w:ascii="Arial" w:cs="Arial" w:eastAsia="Arial" w:hAnsi="Arial"/>
          <w:sz w:val="16"/>
          <w:szCs w:val="16"/>
          <w:color w:val="auto"/>
        </w:rPr>
        <w:t xml:space="preserve">Each Person who holds shares of any Preferred Series shall, automatically without the need to execute or deliver an adoption or joinder agreement, become subject to the terms of this Agreement as an Incidental Rights Holder with respect to such shares upon the receipt by ACM of a waiver and/or consent, executed by the holders of a majority of the outstanding shares of such Preferred Series, terminating all of the registration rights currently set forth in one or more purchase agreements with respect to shares of such Preferred Series, all satisfactory to the Company in form and substance. Upon delivery of such a waiver and/or consent with respect to shares of a Preferred Series, (A) each Person who is a holder of record of shares of such Preferred Series as of the date of such delivery shall be deemed to be a party to this Agreement as if such Person’s signature appeared on the signature pages of this Agreement and shall be deemed to be an Incidental Rights Holder and (B) such Person shall be added to SCHEDULE I in accordance with </w:t>
      </w:r>
      <w:r>
        <w:rPr>
          <w:rFonts w:ascii="Arial" w:cs="Arial" w:eastAsia="Arial" w:hAnsi="Arial"/>
          <w:sz w:val="16"/>
          <w:szCs w:val="16"/>
          <w:u w:val="single" w:color="auto"/>
          <w:color w:val="auto"/>
        </w:rPr>
        <w:t>Section 12(c)</w:t>
      </w:r>
      <w:r>
        <w:rPr>
          <w:rFonts w:ascii="Arial" w:cs="Arial" w:eastAsia="Arial" w:hAnsi="Arial"/>
          <w:sz w:val="16"/>
          <w:szCs w:val="16"/>
          <w:color w:val="auto"/>
        </w:rPr>
        <w:t>, it being understood that for such purpose the initial address of such Person shall be its record address in the stock register for such Preferred Series.</w:t>
      </w:r>
    </w:p>
    <w:p>
      <w:pPr>
        <w:spacing w:after="0" w:line="133" w:lineRule="exact"/>
        <w:rPr>
          <w:rFonts w:ascii="Arial" w:cs="Arial" w:eastAsia="Arial" w:hAnsi="Arial"/>
          <w:sz w:val="16"/>
          <w:szCs w:val="16"/>
          <w:color w:val="auto"/>
        </w:rPr>
      </w:pPr>
    </w:p>
    <w:p>
      <w:pPr>
        <w:ind w:left="640" w:right="300" w:firstLine="1621"/>
        <w:spacing w:after="0" w:line="255" w:lineRule="auto"/>
        <w:tabs>
          <w:tab w:leader="none" w:pos="2740" w:val="left"/>
        </w:tabs>
        <w:numPr>
          <w:ilvl w:val="3"/>
          <w:numId w:val="53"/>
        </w:numPr>
        <w:rPr>
          <w:rFonts w:ascii="Arial" w:cs="Arial" w:eastAsia="Arial" w:hAnsi="Arial"/>
          <w:sz w:val="18"/>
          <w:szCs w:val="18"/>
          <w:color w:val="auto"/>
        </w:rPr>
      </w:pPr>
      <w:r>
        <w:rPr>
          <w:rFonts w:ascii="Arial" w:cs="Arial" w:eastAsia="Arial" w:hAnsi="Arial"/>
          <w:sz w:val="18"/>
          <w:szCs w:val="18"/>
          <w:color w:val="auto"/>
        </w:rPr>
        <w:t xml:space="preserve">At the election of the Company, any Person may become subject to the terms of this Agreement as an Incidental Rights Holder at any time after the date hereof by executing and delivering an Adoption Agreement. Upon the execution and delivery of an Adoption Agreement by such Person and the Company, (A) such Person shall be deemed to be a party to this Agreement as if such Person’s signature appeared on the signature pages of this Agreement and shall be deemed to be an Incidental Rights Holder and (B) such Person shall be added to SCHEDULE I in accordance with </w:t>
      </w:r>
      <w:r>
        <w:rPr>
          <w:rFonts w:ascii="Arial" w:cs="Arial" w:eastAsia="Arial" w:hAnsi="Arial"/>
          <w:sz w:val="18"/>
          <w:szCs w:val="18"/>
          <w:u w:val="single" w:color="auto"/>
          <w:color w:val="auto"/>
        </w:rPr>
        <w:t>Section 12(c).</w:t>
      </w:r>
    </w:p>
    <w:p>
      <w:pPr>
        <w:spacing w:after="0" w:line="35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10795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590" w:right="239" w:bottom="1440" w:gutter="0" w:footer="0" w:header="0"/>
        </w:sectPr>
      </w:pPr>
    </w:p>
    <w:bookmarkStart w:id="45" w:name="page46"/>
    <w:bookmarkEnd w:id="45"/>
    <w:p>
      <w:pPr>
        <w:ind w:left="640"/>
        <w:spacing w:after="0"/>
        <w:rPr>
          <w:sz w:val="20"/>
          <w:szCs w:val="20"/>
          <w:color w:val="auto"/>
        </w:rPr>
      </w:pPr>
      <w:r>
        <w:rPr>
          <w:rFonts w:ascii="Arial" w:cs="Arial" w:eastAsia="Arial" w:hAnsi="Arial"/>
          <w:sz w:val="18"/>
          <w:szCs w:val="18"/>
          <w:color w:val="auto"/>
        </w:rPr>
        <w:t>(c)  The Company shall maintain each of SCHEDULE I and SCHEDULE II, which shall set forth:</w:t>
      </w:r>
    </w:p>
    <w:p>
      <w:pPr>
        <w:spacing w:after="0" w:line="158" w:lineRule="exact"/>
        <w:rPr>
          <w:sz w:val="20"/>
          <w:szCs w:val="20"/>
          <w:color w:val="auto"/>
        </w:rPr>
      </w:pPr>
    </w:p>
    <w:p>
      <w:pPr>
        <w:jc w:val="both"/>
        <w:ind w:left="1460" w:hanging="175"/>
        <w:spacing w:after="0" w:line="256" w:lineRule="auto"/>
        <w:rPr>
          <w:sz w:val="20"/>
          <w:szCs w:val="20"/>
          <w:color w:val="auto"/>
        </w:rPr>
      </w:pPr>
      <w:r>
        <w:rPr>
          <w:rFonts w:ascii="Arial" w:cs="Arial" w:eastAsia="Arial" w:hAnsi="Arial"/>
          <w:sz w:val="18"/>
          <w:szCs w:val="18"/>
          <w:color w:val="auto"/>
        </w:rPr>
        <w:t xml:space="preserve">(i)in SCHEDULE I, the names of all Incidental Rights Holders from time to time, including Incidental Rights Holders who become party to this Agreement in accordance with </w:t>
      </w:r>
      <w:r>
        <w:rPr>
          <w:rFonts w:ascii="Arial" w:cs="Arial" w:eastAsia="Arial" w:hAnsi="Arial"/>
          <w:sz w:val="18"/>
          <w:szCs w:val="18"/>
          <w:u w:val="single" w:color="auto"/>
          <w:color w:val="auto"/>
        </w:rPr>
        <w:t>Section 12(a)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12(b)</w:t>
      </w:r>
      <w:r>
        <w:rPr>
          <w:rFonts w:ascii="Arial" w:cs="Arial" w:eastAsia="Arial" w:hAnsi="Arial"/>
          <w:sz w:val="18"/>
          <w:szCs w:val="18"/>
          <w:color w:val="auto"/>
        </w:rPr>
        <w:t xml:space="preserve">, and in SCHEDULE II, the names of all Comprehensive Rights Holders from time to time, including Comprehensive Rights Holders who become party to this Agreement in accordance with </w:t>
      </w:r>
      <w:r>
        <w:rPr>
          <w:rFonts w:ascii="Arial" w:cs="Arial" w:eastAsia="Arial" w:hAnsi="Arial"/>
          <w:sz w:val="18"/>
          <w:szCs w:val="18"/>
          <w:u w:val="single" w:color="auto"/>
          <w:color w:val="auto"/>
        </w:rPr>
        <w:t>Section 12(a)</w:t>
      </w:r>
      <w:r>
        <w:rPr>
          <w:rFonts w:ascii="Arial" w:cs="Arial" w:eastAsia="Arial" w:hAnsi="Arial"/>
          <w:sz w:val="18"/>
          <w:szCs w:val="18"/>
          <w:color w:val="auto"/>
        </w:rPr>
        <w:t>;</w:t>
      </w:r>
    </w:p>
    <w:p>
      <w:pPr>
        <w:spacing w:after="0" w:line="130" w:lineRule="exact"/>
        <w:rPr>
          <w:sz w:val="20"/>
          <w:szCs w:val="20"/>
          <w:color w:val="auto"/>
        </w:rPr>
      </w:pPr>
    </w:p>
    <w:p>
      <w:pPr>
        <w:jc w:val="both"/>
        <w:ind w:left="1500" w:right="20" w:hanging="215"/>
        <w:spacing w:after="0" w:line="370" w:lineRule="auto"/>
        <w:rPr>
          <w:sz w:val="20"/>
          <w:szCs w:val="20"/>
          <w:color w:val="auto"/>
        </w:rPr>
      </w:pPr>
      <w:r>
        <w:rPr>
          <w:rFonts w:ascii="Arial" w:cs="Arial" w:eastAsia="Arial" w:hAnsi="Arial"/>
          <w:sz w:val="15"/>
          <w:szCs w:val="15"/>
          <w:color w:val="auto"/>
        </w:rPr>
        <w:t xml:space="preserve">(ii)the respective contact address of each Holder, as provided to the Company by such Holder at the time such Holder becomes party to this Agreement, becomes subject to this Agreement or as subsequently provided to the Company in accordance with </w:t>
      </w:r>
      <w:r>
        <w:rPr>
          <w:rFonts w:ascii="Arial" w:cs="Arial" w:eastAsia="Arial" w:hAnsi="Arial"/>
          <w:sz w:val="15"/>
          <w:szCs w:val="15"/>
          <w:u w:val="single" w:color="auto"/>
          <w:color w:val="auto"/>
        </w:rPr>
        <w:t>Section 13(d)</w:t>
      </w:r>
      <w:r>
        <w:rPr>
          <w:rFonts w:ascii="Arial" w:cs="Arial" w:eastAsia="Arial" w:hAnsi="Arial"/>
          <w:sz w:val="15"/>
          <w:szCs w:val="15"/>
          <w:color w:val="auto"/>
        </w:rPr>
        <w:t>; and</w:t>
      </w:r>
    </w:p>
    <w:p>
      <w:pPr>
        <w:spacing w:after="0" w:line="49" w:lineRule="exact"/>
        <w:rPr>
          <w:sz w:val="20"/>
          <w:szCs w:val="20"/>
          <w:color w:val="auto"/>
        </w:rPr>
      </w:pPr>
    </w:p>
    <w:p>
      <w:pPr>
        <w:jc w:val="both"/>
        <w:ind w:left="1560" w:hanging="269"/>
        <w:spacing w:after="0" w:line="268" w:lineRule="auto"/>
        <w:rPr>
          <w:sz w:val="20"/>
          <w:szCs w:val="20"/>
          <w:color w:val="auto"/>
        </w:rPr>
      </w:pPr>
      <w:r>
        <w:rPr>
          <w:rFonts w:ascii="Arial" w:cs="Arial" w:eastAsia="Arial" w:hAnsi="Arial"/>
          <w:sz w:val="18"/>
          <w:szCs w:val="18"/>
          <w:color w:val="auto"/>
        </w:rPr>
        <w:t>(iii)the numbers and types of securities of the Company held by each Holder that constitute Registrable Securities or that are convertible or exercisable for Registrable Securities.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shall update SCHEDULE I or SCHEDULE II, as the case may be, upon any change in, or addition of, a Holder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12(b)</w:t>
      </w:r>
      <w:r>
        <w:rPr>
          <w:rFonts w:ascii="Arial" w:cs="Arial" w:eastAsia="Arial" w:hAnsi="Arial"/>
          <w:sz w:val="18"/>
          <w:szCs w:val="18"/>
          <w:color w:val="auto"/>
        </w:rPr>
        <w:t xml:space="preserve">, any change in the contact address of a Holder delivered to the Company in accordance with </w:t>
      </w:r>
      <w:r>
        <w:rPr>
          <w:rFonts w:ascii="Arial" w:cs="Arial" w:eastAsia="Arial" w:hAnsi="Arial"/>
          <w:sz w:val="18"/>
          <w:szCs w:val="18"/>
          <w:u w:val="single" w:color="auto"/>
          <w:color w:val="auto"/>
        </w:rPr>
        <w:t>Section 13(d)</w:t>
      </w:r>
      <w:r>
        <w:rPr>
          <w:rFonts w:ascii="Arial" w:cs="Arial" w:eastAsia="Arial" w:hAnsi="Arial"/>
          <w:sz w:val="18"/>
          <w:szCs w:val="18"/>
          <w:color w:val="auto"/>
        </w:rPr>
        <w:t xml:space="preserve">, or any other change or event that the Company determines, in good faith, is necessary or desirable to fulfill the purposes of SCHEDULE I or SCHEDULE II. Upon request of any Holder from time to time, the Company shall promptly deliver to such Holder, in accordance with </w:t>
      </w:r>
      <w:r>
        <w:rPr>
          <w:rFonts w:ascii="Arial" w:cs="Arial" w:eastAsia="Arial" w:hAnsi="Arial"/>
          <w:sz w:val="18"/>
          <w:szCs w:val="18"/>
          <w:u w:val="single" w:color="auto"/>
          <w:color w:val="auto"/>
        </w:rPr>
        <w:t>Section 13(d)</w:t>
      </w:r>
      <w:r>
        <w:rPr>
          <w:rFonts w:ascii="Arial" w:cs="Arial" w:eastAsia="Arial" w:hAnsi="Arial"/>
          <w:sz w:val="18"/>
          <w:szCs w:val="18"/>
          <w:color w:val="auto"/>
        </w:rPr>
        <w:t>, a copy of the then-current versions of SCHEDULE I and SCHEDULE II.</w:t>
      </w:r>
    </w:p>
    <w:p>
      <w:pPr>
        <w:spacing w:after="0" w:line="156" w:lineRule="exact"/>
        <w:rPr>
          <w:sz w:val="20"/>
          <w:szCs w:val="20"/>
          <w:color w:val="auto"/>
        </w:rPr>
      </w:pPr>
    </w:p>
    <w:p>
      <w:pPr>
        <w:ind w:left="1400" w:hanging="435"/>
        <w:spacing w:after="0"/>
        <w:tabs>
          <w:tab w:leader="none" w:pos="1400"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960" w:hanging="320"/>
        <w:spacing w:after="0"/>
        <w:tabs>
          <w:tab w:leader="none" w:pos="96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by the internal law of the State of Delaware.</w:t>
      </w:r>
    </w:p>
    <w:p>
      <w:pPr>
        <w:spacing w:after="0" w:line="184" w:lineRule="exact"/>
        <w:rPr>
          <w:rFonts w:ascii="Arial" w:cs="Arial" w:eastAsia="Arial" w:hAnsi="Arial"/>
          <w:sz w:val="18"/>
          <w:szCs w:val="18"/>
          <w:i w:val="1"/>
          <w:iCs w:val="1"/>
          <w:color w:val="auto"/>
        </w:rPr>
      </w:pPr>
    </w:p>
    <w:p>
      <w:pPr>
        <w:ind w:left="320" w:right="40" w:firstLine="969"/>
        <w:spacing w:after="0" w:line="298" w:lineRule="auto"/>
        <w:tabs>
          <w:tab w:leader="none" w:pos="1713" w:val="left"/>
        </w:tabs>
        <w:numPr>
          <w:ilvl w:val="2"/>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Counterparts</w:t>
      </w:r>
      <w:r>
        <w:rPr>
          <w:rFonts w:ascii="Arial" w:cs="Arial" w:eastAsia="Arial" w:hAnsi="Arial"/>
          <w:sz w:val="16"/>
          <w:szCs w:val="16"/>
          <w:color w:val="auto"/>
        </w:rPr>
        <w:t>. This Agreement may be executed in counterparts, each of which shall be deemed an original, but all of which together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shall constitute one and the same instrument. Counterparts may be delivered via facsimile, electronic mail (including pdf or any electronic signature complying with the U.S. Electronic Signatures in Global and National Commerce Act, </w:t>
      </w:r>
      <w:r>
        <w:rPr>
          <w:rFonts w:ascii="Arial" w:cs="Arial" w:eastAsia="Arial" w:hAnsi="Arial"/>
          <w:sz w:val="16"/>
          <w:szCs w:val="16"/>
          <w:i w:val="1"/>
          <w:iCs w:val="1"/>
          <w:color w:val="auto"/>
        </w:rPr>
        <w:t>e.g</w:t>
      </w:r>
      <w:r>
        <w:rPr>
          <w:rFonts w:ascii="Arial" w:cs="Arial" w:eastAsia="Arial" w:hAnsi="Arial"/>
          <w:sz w:val="16"/>
          <w:szCs w:val="16"/>
          <w:color w:val="auto"/>
        </w:rPr>
        <w:t>., www.docusign.com) or other transmission method and any counterpart so delivered shall be deemed to have been duly and validly delivered and be valid and effective for all purposes.</w:t>
      </w:r>
    </w:p>
    <w:p>
      <w:pPr>
        <w:spacing w:after="0" w:line="99" w:lineRule="exact"/>
        <w:rPr>
          <w:sz w:val="20"/>
          <w:szCs w:val="20"/>
          <w:color w:val="auto"/>
        </w:rPr>
      </w:pPr>
    </w:p>
    <w:p>
      <w:pPr>
        <w:ind w:left="960" w:hanging="320"/>
        <w:spacing w:after="0"/>
        <w:tabs>
          <w:tab w:leader="none" w:pos="9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Construction</w:t>
      </w:r>
      <w:r>
        <w:rPr>
          <w:rFonts w:ascii="Arial" w:cs="Arial" w:eastAsia="Arial" w:hAnsi="Arial"/>
          <w:sz w:val="18"/>
          <w:szCs w:val="18"/>
          <w:color w:val="auto"/>
        </w:rPr>
        <w:t>. As used in this Agreement:</w:t>
      </w:r>
    </w:p>
    <w:p>
      <w:pPr>
        <w:spacing w:after="0" w:line="158" w:lineRule="exact"/>
        <w:rPr>
          <w:sz w:val="20"/>
          <w:szCs w:val="20"/>
          <w:color w:val="auto"/>
        </w:rPr>
      </w:pPr>
    </w:p>
    <w:p>
      <w:pPr>
        <w:jc w:val="both"/>
        <w:ind w:left="1460" w:hanging="175"/>
        <w:spacing w:after="0" w:line="268" w:lineRule="auto"/>
        <w:rPr>
          <w:sz w:val="20"/>
          <w:szCs w:val="20"/>
          <w:color w:val="auto"/>
        </w:rPr>
      </w:pPr>
      <w:r>
        <w:rPr>
          <w:rFonts w:ascii="Arial" w:cs="Arial" w:eastAsia="Arial" w:hAnsi="Arial"/>
          <w:sz w:val="18"/>
          <w:szCs w:val="18"/>
          <w:color w:val="auto"/>
        </w:rPr>
        <w:t>(i)headings used in this Agreement are for convenience of reference only and shall not, for any purpose, be deemed a part of this Agreement;</w:t>
      </w:r>
    </w:p>
    <w:p>
      <w:pPr>
        <w:spacing w:after="0" w:line="118" w:lineRule="exact"/>
        <w:rPr>
          <w:sz w:val="20"/>
          <w:szCs w:val="20"/>
          <w:color w:val="auto"/>
        </w:rPr>
      </w:pPr>
    </w:p>
    <w:p>
      <w:pPr>
        <w:ind w:left="1280" w:right="260"/>
        <w:spacing w:after="0" w:line="475" w:lineRule="auto"/>
        <w:rPr>
          <w:sz w:val="20"/>
          <w:szCs w:val="20"/>
          <w:color w:val="auto"/>
        </w:rPr>
      </w:pPr>
      <w:r>
        <w:rPr>
          <w:rFonts w:ascii="Arial" w:cs="Arial" w:eastAsia="Arial" w:hAnsi="Arial"/>
          <w:sz w:val="16"/>
          <w:szCs w:val="16"/>
          <w:color w:val="auto"/>
        </w:rPr>
        <w:t>(ii)any references herein to a Section or Exhibit refer to a Section of, or Exhibit attached to, this Agreement, unless specified otherwise; (iii)the words “herein,” “hereof,” “hereby,” “hereto” and “hereunder” refer to this Agreement as a whole;</w:t>
      </w:r>
    </w:p>
    <w:p>
      <w:pPr>
        <w:spacing w:after="0" w:line="1" w:lineRule="exact"/>
        <w:rPr>
          <w:sz w:val="20"/>
          <w:szCs w:val="20"/>
          <w:color w:val="auto"/>
        </w:rPr>
      </w:pPr>
    </w:p>
    <w:p>
      <w:pPr>
        <w:jc w:val="both"/>
        <w:ind w:left="1540" w:hanging="256"/>
        <w:spacing w:after="0" w:line="268" w:lineRule="auto"/>
        <w:rPr>
          <w:sz w:val="20"/>
          <w:szCs w:val="20"/>
          <w:color w:val="auto"/>
        </w:rPr>
      </w:pPr>
      <w:r>
        <w:rPr>
          <w:rFonts w:ascii="Arial" w:cs="Arial" w:eastAsia="Arial" w:hAnsi="Arial"/>
          <w:sz w:val="18"/>
          <w:szCs w:val="18"/>
          <w:color w:val="auto"/>
        </w:rPr>
        <w:t>(iv)the words “include,” “includes” and “including” as used herein shall not be construed so as to exclude any other thing not referred to or described;</w:t>
      </w:r>
    </w:p>
    <w:p>
      <w:pPr>
        <w:spacing w:after="0" w:line="11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(v)the word “or” is not exclusive;</w:t>
      </w:r>
    </w:p>
    <w:p>
      <w:pPr>
        <w:spacing w:after="0" w:line="158"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(vi)the definition given for any term in this Agreement shall apply equally to both the singular and plural forms of the term defined;</w:t>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(vii)whenever the context may require, any pronoun shall include the corresponding masculine, feminine and neuter forms;</w:t>
      </w:r>
    </w:p>
    <w:p>
      <w:pPr>
        <w:spacing w:after="0" w:line="158" w:lineRule="exact"/>
        <w:rPr>
          <w:sz w:val="20"/>
          <w:szCs w:val="20"/>
          <w:color w:val="auto"/>
        </w:rPr>
      </w:pPr>
    </w:p>
    <w:p>
      <w:pPr>
        <w:jc w:val="both"/>
        <w:ind w:left="1640" w:hanging="350"/>
        <w:spacing w:after="0" w:line="256" w:lineRule="auto"/>
        <w:rPr>
          <w:sz w:val="20"/>
          <w:szCs w:val="20"/>
          <w:color w:val="auto"/>
        </w:rPr>
      </w:pPr>
      <w:r>
        <w:rPr>
          <w:rFonts w:ascii="Arial" w:cs="Arial" w:eastAsia="Arial" w:hAnsi="Arial"/>
          <w:sz w:val="18"/>
          <w:szCs w:val="18"/>
          <w:color w:val="auto"/>
        </w:rPr>
        <w:t>(viii)unless the context otherwise requires, (A) references herein to an agreement, instrument or other document mean such agreement, instrument or other document as amended, supplemented and modified from time to time to the extent permitted by the provisions thereof and (B) references herein to a statute means such statute as amended from time to time and includes any successor legislation thereto and any rules and regulations promulgated thereunder; and</w:t>
      </w:r>
    </w:p>
    <w:p>
      <w:pPr>
        <w:spacing w:after="0" w:line="130" w:lineRule="exact"/>
        <w:rPr>
          <w:sz w:val="20"/>
          <w:szCs w:val="20"/>
          <w:color w:val="auto"/>
        </w:rPr>
      </w:pPr>
    </w:p>
    <w:p>
      <w:pPr>
        <w:jc w:val="both"/>
        <w:ind w:left="1540" w:hanging="256"/>
        <w:spacing w:after="0" w:line="268" w:lineRule="auto"/>
        <w:rPr>
          <w:sz w:val="20"/>
          <w:szCs w:val="20"/>
          <w:color w:val="auto"/>
        </w:rPr>
      </w:pPr>
      <w:r>
        <w:rPr>
          <w:rFonts w:ascii="Arial" w:cs="Arial" w:eastAsia="Arial" w:hAnsi="Arial"/>
          <w:sz w:val="18"/>
          <w:szCs w:val="18"/>
          <w:color w:val="auto"/>
        </w:rPr>
        <w:t>(ix)this Agreement shall be construed without regard to any presumption or rule requiring construction or interpretation against the party drafting an instrument or causing any instrument to be drafted.</w:t>
      </w:r>
    </w:p>
    <w:p>
      <w:pPr>
        <w:spacing w:after="0" w:line="33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10795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442" w:right="239" w:bottom="1440" w:gutter="0" w:footer="0" w:header="0"/>
        </w:sectPr>
      </w:pPr>
    </w:p>
    <w:bookmarkStart w:id="46" w:name="page47"/>
    <w:bookmarkEnd w:id="46"/>
    <w:p>
      <w:pPr>
        <w:ind w:left="4" w:firstLine="969"/>
        <w:spacing w:after="0" w:line="283" w:lineRule="auto"/>
        <w:tabs>
          <w:tab w:leader="none" w:pos="1397" w:val="left"/>
        </w:tabs>
        <w:numPr>
          <w:ilvl w:val="1"/>
          <w:numId w:val="57"/>
        </w:numPr>
        <w:rPr>
          <w:rFonts w:ascii="Arial" w:cs="Arial" w:eastAsia="Arial" w:hAnsi="Arial"/>
          <w:sz w:val="16"/>
          <w:szCs w:val="16"/>
          <w:i w:val="1"/>
          <w:iCs w:val="1"/>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All notices and other communications given or made pursuant to this Agreement shall be in writing and shall be deemed</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effectively given upon (i) personal delivery to the party to be notified, (ii) if sent by electronic mail, then (A) when sent, if sent between 9 a.m. and 5 p.m., Pacific time, on a Business Day or (B) as of 9 a.m. Pacific time on the next Business Day, if sent at any other time, (iii) if sent by U.S. registered or certified mail, return receipt requested, postage prepaid, the earlier of actual receipt and the fifth Business Day after having been deposited with the U.S. Postal Service, or (iv) if sent via an internationally recognized overnight courier, freight prepaid, specifying next or two Business Day delivery, with written verification of receipt, two Business Days after deposit with such courier. “</w:t>
      </w:r>
      <w:r>
        <w:rPr>
          <w:rFonts w:ascii="Arial" w:cs="Arial" w:eastAsia="Arial" w:hAnsi="Arial"/>
          <w:sz w:val="16"/>
          <w:szCs w:val="16"/>
          <w:i w:val="1"/>
          <w:iCs w:val="1"/>
          <w:color w:val="auto"/>
        </w:rPr>
        <w:t>Business Day</w:t>
      </w:r>
      <w:r>
        <w:rPr>
          <w:rFonts w:ascii="Arial" w:cs="Arial" w:eastAsia="Arial" w:hAnsi="Arial"/>
          <w:sz w:val="16"/>
          <w:szCs w:val="16"/>
          <w:color w:val="auto"/>
        </w:rPr>
        <w:t>” means any day other than (i) a Saturday or Sunday or</w:t>
      </w:r>
    </w:p>
    <w:p>
      <w:pPr>
        <w:spacing w:after="0" w:line="1" w:lineRule="exact"/>
        <w:rPr>
          <w:rFonts w:ascii="Arial" w:cs="Arial" w:eastAsia="Arial" w:hAnsi="Arial"/>
          <w:sz w:val="16"/>
          <w:szCs w:val="16"/>
          <w:i w:val="1"/>
          <w:iCs w:val="1"/>
          <w:color w:val="auto"/>
        </w:rPr>
      </w:pPr>
    </w:p>
    <w:p>
      <w:pPr>
        <w:ind w:left="4" w:hanging="4"/>
        <w:spacing w:after="0" w:line="253" w:lineRule="auto"/>
        <w:tabs>
          <w:tab w:leader="none" w:pos="262"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a day on which the Federal Reserve Bank of San Francisco is closed. All communications shall be sent to the respective Holders at their addresses as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as applicable, or to the Company at its principal office, to the attention of the Chief Executive Officer, or by email to dwang@acmrcsh.com, or to such other street or email address as subsequently modified by written notice given in accordance with this </w:t>
      </w:r>
      <w:r>
        <w:rPr>
          <w:rFonts w:ascii="Arial" w:cs="Arial" w:eastAsia="Arial" w:hAnsi="Arial"/>
          <w:sz w:val="18"/>
          <w:szCs w:val="18"/>
          <w:u w:val="single" w:color="auto"/>
          <w:color w:val="auto"/>
        </w:rPr>
        <w:t>Section 13(d)</w:t>
      </w:r>
      <w:r>
        <w:rPr>
          <w:rFonts w:ascii="Arial" w:cs="Arial" w:eastAsia="Arial" w:hAnsi="Arial"/>
          <w:sz w:val="18"/>
          <w:szCs w:val="18"/>
          <w:color w:val="auto"/>
        </w:rPr>
        <w:t>. If notice is given to the Company, a copy shall also be sent to Mark L. Johnson at K&amp;L Gates LLP, State Street Financial Center, One Lincoln Street, Boston, Massachusetts 02111.</w:t>
      </w:r>
    </w:p>
    <w:p>
      <w:pPr>
        <w:spacing w:after="0" w:line="158" w:lineRule="exact"/>
        <w:rPr>
          <w:rFonts w:ascii="Arial" w:cs="Arial" w:eastAsia="Arial" w:hAnsi="Arial"/>
          <w:sz w:val="18"/>
          <w:szCs w:val="18"/>
          <w:color w:val="auto"/>
        </w:rPr>
      </w:pPr>
    </w:p>
    <w:p>
      <w:pPr>
        <w:ind w:left="4" w:right="20" w:firstLine="969"/>
        <w:spacing w:after="0" w:line="285" w:lineRule="auto"/>
        <w:tabs>
          <w:tab w:leader="none" w:pos="1387" w:val="left"/>
        </w:tabs>
        <w:numPr>
          <w:ilvl w:val="1"/>
          <w:numId w:val="58"/>
        </w:numPr>
        <w:rPr>
          <w:rFonts w:ascii="Arial" w:cs="Arial" w:eastAsia="Arial" w:hAnsi="Arial"/>
          <w:sz w:val="16"/>
          <w:szCs w:val="16"/>
          <w:i w:val="1"/>
          <w:iCs w:val="1"/>
          <w:color w:val="auto"/>
        </w:rPr>
      </w:pPr>
      <w:r>
        <w:rPr>
          <w:rFonts w:ascii="Arial" w:cs="Arial" w:eastAsia="Arial" w:hAnsi="Arial"/>
          <w:sz w:val="16"/>
          <w:szCs w:val="16"/>
          <w:i w:val="1"/>
          <w:iCs w:val="1"/>
          <w:color w:val="auto"/>
        </w:rPr>
        <w:t>Amendments and Waivers</w:t>
      </w:r>
      <w:r>
        <w:rPr>
          <w:rFonts w:ascii="Arial" w:cs="Arial" w:eastAsia="Arial" w:hAnsi="Arial"/>
          <w:sz w:val="16"/>
          <w:szCs w:val="16"/>
          <w:color w:val="auto"/>
        </w:rPr>
        <w:t>. Any term of this Agreement may be amended and the observance of any term of this Agreement may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waived (either generally or in a particular instance, and either retroactively or prospectively) only with the written consent of the Company and the holders of a majority of the Registrable Securities then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provision of this Agreement may be waived by any waiving party on such party’s own behalf, without the consent of any other party. Notwithstanding the foregoing, this Agreement may not be amended or terminated and the observance of any term of this Agreement may not be waived with respect to any Holder without the written consent of such Holder, unless such amendment, termination, or waiver applies to all Holders in the same fashion (it being agreed that a waiver of the provisions of this Agreement with respect to a particular transaction shall be deemed to apply to all Holders in the same fashion if such waiver does so by its terms, notwithstanding the fact that certain Holders may nonetheless, by agreement with the Company, purchase securities in such transaction). Further, this Agreement may not be amended, and no provision hereof may be waived, in each case, in any way that would adversely affect the rights of the Comprehensive Rights Holders hereunder in a manner disproportionate to any adverse effect such amendment or waiver would have on the rights of the Holders hereunder (it being agreed that any modification of the terms of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in any fashion shall be deemed to be disproportionate for such purposes), without the written consent of the holders of at least a majority of the Demand Registrable Securities then outstanding. The Company shall give prompt notice of any amendment or termination of this Agreement or waiver hereunder to any party to this Agreement that did not consent in writing to such amendment, termination, or waiver. Any amendment, termination, or waiver effected in accordance with this </w:t>
      </w:r>
      <w:r>
        <w:rPr>
          <w:rFonts w:ascii="Arial" w:cs="Arial" w:eastAsia="Arial" w:hAnsi="Arial"/>
          <w:sz w:val="16"/>
          <w:szCs w:val="16"/>
          <w:u w:val="single" w:color="auto"/>
          <w:color w:val="auto"/>
        </w:rPr>
        <w:t>Section 13(e)</w:t>
      </w:r>
      <w:r>
        <w:rPr>
          <w:rFonts w:ascii="Arial" w:cs="Arial" w:eastAsia="Arial" w:hAnsi="Arial"/>
          <w:sz w:val="16"/>
          <w:szCs w:val="16"/>
          <w:color w:val="auto"/>
        </w:rPr>
        <w:t xml:space="preserve"> shall be binding on all parties to this Agreement, regardless of whether any such party has consented to this Agreement. No waivers of or exceptions to any term, condition, or provision of this Agreement, in any one or more instances, shall be deemed to be or construed as a further or continuing waiver of any such term, condition, or provision.</w:t>
      </w:r>
    </w:p>
    <w:p>
      <w:pPr>
        <w:spacing w:after="0" w:line="134" w:lineRule="exact"/>
        <w:rPr>
          <w:rFonts w:ascii="Arial" w:cs="Arial" w:eastAsia="Arial" w:hAnsi="Arial"/>
          <w:sz w:val="16"/>
          <w:szCs w:val="16"/>
          <w:i w:val="1"/>
          <w:iCs w:val="1"/>
          <w:color w:val="auto"/>
        </w:rPr>
      </w:pPr>
    </w:p>
    <w:p>
      <w:pPr>
        <w:ind w:left="4" w:right="220" w:firstLine="969"/>
        <w:spacing w:after="0" w:line="256" w:lineRule="auto"/>
        <w:tabs>
          <w:tab w:leader="none" w:pos="1402" w:val="left"/>
        </w:tabs>
        <w:numPr>
          <w:ilvl w:val="1"/>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 In case any one or more of the provisions contained in this Agreement is for any reason held to be invalid, illegal or</w:t>
      </w:r>
      <w:r>
        <w:rPr>
          <w:rFonts w:ascii="Arial" w:cs="Arial" w:eastAsia="Arial" w:hAnsi="Arial"/>
          <w:sz w:val="18"/>
          <w:szCs w:val="18"/>
          <w:i w:val="1"/>
          <w:iCs w:val="1"/>
          <w:color w:val="auto"/>
        </w:rPr>
        <w:t xml:space="preserve"> </w:t>
      </w:r>
      <w:r>
        <w:rPr>
          <w:rFonts w:ascii="Arial" w:cs="Arial" w:eastAsia="Arial" w:hAnsi="Arial"/>
          <w:sz w:val="18"/>
          <w:szCs w:val="18"/>
          <w:color w:val="auto"/>
        </w:rPr>
        <w:t>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56" w:lineRule="exact"/>
        <w:rPr>
          <w:rFonts w:ascii="Arial" w:cs="Arial" w:eastAsia="Arial" w:hAnsi="Arial"/>
          <w:sz w:val="18"/>
          <w:szCs w:val="18"/>
          <w:i w:val="1"/>
          <w:iCs w:val="1"/>
          <w:color w:val="auto"/>
        </w:rPr>
      </w:pPr>
    </w:p>
    <w:p>
      <w:pPr>
        <w:ind w:left="4" w:right="80" w:firstLine="969"/>
        <w:spacing w:after="0" w:line="259" w:lineRule="auto"/>
        <w:tabs>
          <w:tab w:leader="none" w:pos="1397" w:val="left"/>
        </w:tabs>
        <w:numPr>
          <w:ilvl w:val="1"/>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Aggregation of Stock</w:t>
      </w:r>
      <w:r>
        <w:rPr>
          <w:rFonts w:ascii="Arial" w:cs="Arial" w:eastAsia="Arial" w:hAnsi="Arial"/>
          <w:sz w:val="18"/>
          <w:szCs w:val="18"/>
          <w:color w:val="auto"/>
        </w:rPr>
        <w:t>. All shares of Registrable Securities held or acquired by Affiliates shall be aggregated together for the purpose</w:t>
      </w:r>
      <w:r>
        <w:rPr>
          <w:rFonts w:ascii="Arial" w:cs="Arial" w:eastAsia="Arial" w:hAnsi="Arial"/>
          <w:sz w:val="18"/>
          <w:szCs w:val="18"/>
          <w:i w:val="1"/>
          <w:iCs w:val="1"/>
          <w:color w:val="auto"/>
        </w:rPr>
        <w:t xml:space="preserve"> </w:t>
      </w:r>
      <w:r>
        <w:rPr>
          <w:rFonts w:ascii="Arial" w:cs="Arial" w:eastAsia="Arial" w:hAnsi="Arial"/>
          <w:sz w:val="18"/>
          <w:szCs w:val="18"/>
          <w:color w:val="auto"/>
        </w:rPr>
        <w:t>of determining the availability of any rights under this Agreement and such Affiliated persons may apportion such rights as among themselves in any manner they deem appropriate.</w:t>
      </w:r>
    </w:p>
    <w:p>
      <w:pPr>
        <w:spacing w:after="0" w:line="153" w:lineRule="exact"/>
        <w:rPr>
          <w:rFonts w:ascii="Arial" w:cs="Arial" w:eastAsia="Arial" w:hAnsi="Arial"/>
          <w:sz w:val="18"/>
          <w:szCs w:val="18"/>
          <w:i w:val="1"/>
          <w:iCs w:val="1"/>
          <w:color w:val="auto"/>
        </w:rPr>
      </w:pPr>
    </w:p>
    <w:p>
      <w:pPr>
        <w:ind w:left="4" w:right="80" w:firstLine="969"/>
        <w:spacing w:after="0" w:line="259" w:lineRule="auto"/>
        <w:tabs>
          <w:tab w:leader="none" w:pos="1397" w:val="left"/>
        </w:tabs>
        <w:numPr>
          <w:ilvl w:val="1"/>
          <w:numId w:val="58"/>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(including any Schedules and Exhibits to this Agreement) constitutes the full and entire</w:t>
      </w:r>
      <w:r>
        <w:rPr>
          <w:rFonts w:ascii="Arial" w:cs="Arial" w:eastAsia="Arial" w:hAnsi="Arial"/>
          <w:sz w:val="18"/>
          <w:szCs w:val="18"/>
          <w:i w:val="1"/>
          <w:iCs w:val="1"/>
          <w:color w:val="auto"/>
        </w:rPr>
        <w:t xml:space="preserve"> </w:t>
      </w:r>
      <w:r>
        <w:rPr>
          <w:rFonts w:ascii="Arial" w:cs="Arial" w:eastAsia="Arial" w:hAnsi="Arial"/>
          <w:sz w:val="18"/>
          <w:szCs w:val="18"/>
          <w:color w:val="auto"/>
        </w:rPr>
        <w:t>understanding and agreement among the parties with respect to the subject matter of this Agreement, and any other written or oral agreement relating to the subject matter of this Agreement existing between the parties is expressly canceled.</w:t>
      </w:r>
    </w:p>
    <w:p>
      <w:pPr>
        <w:spacing w:after="0" w:line="200" w:lineRule="exact"/>
        <w:rPr>
          <w:sz w:val="20"/>
          <w:szCs w:val="20"/>
          <w:color w:val="auto"/>
        </w:rPr>
      </w:pPr>
    </w:p>
    <w:p>
      <w:pPr>
        <w:spacing w:after="0" w:line="359"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4"/>
          </w:cols>
          <w:pgMar w:left="896" w:top="590" w:right="259" w:bottom="1440" w:gutter="0" w:footer="0" w:header="0"/>
        </w:sectPr>
      </w:pPr>
    </w:p>
    <w:bookmarkStart w:id="47" w:name="page48"/>
    <w:bookmarkEnd w:id="47"/>
    <w:p>
      <w:pPr>
        <w:ind w:left="-540" w:firstLine="969"/>
        <w:spacing w:after="0" w:line="289" w:lineRule="auto"/>
        <w:tabs>
          <w:tab w:leader="none" w:pos="814" w:val="left"/>
        </w:tabs>
        <w:numPr>
          <w:ilvl w:val="0"/>
          <w:numId w:val="59"/>
        </w:numPr>
        <w:rPr>
          <w:rFonts w:ascii="Arial" w:cs="Arial" w:eastAsia="Arial" w:hAnsi="Arial"/>
          <w:sz w:val="16"/>
          <w:szCs w:val="16"/>
          <w:i w:val="1"/>
          <w:iCs w:val="1"/>
          <w:color w:val="auto"/>
        </w:rPr>
      </w:pPr>
      <w:r>
        <w:rPr>
          <w:rFonts w:ascii="Arial" w:cs="Arial" w:eastAsia="Arial" w:hAnsi="Arial"/>
          <w:sz w:val="16"/>
          <w:szCs w:val="16"/>
          <w:i w:val="1"/>
          <w:iCs w:val="1"/>
          <w:color w:val="auto"/>
        </w:rPr>
        <w:t>Dispute Resolution</w:t>
      </w:r>
      <w:r>
        <w:rPr>
          <w:rFonts w:ascii="Arial" w:cs="Arial" w:eastAsia="Arial" w:hAnsi="Arial"/>
          <w:sz w:val="16"/>
          <w:szCs w:val="16"/>
          <w:color w:val="auto"/>
        </w:rPr>
        <w:t>. The parties (a) hereby irrevocably and unconditionally submit to the jurisdiction of the state courts of Delaware</w:t>
      </w:r>
      <w:r>
        <w:rPr>
          <w:rFonts w:ascii="Arial" w:cs="Arial" w:eastAsia="Arial" w:hAnsi="Arial"/>
          <w:sz w:val="16"/>
          <w:szCs w:val="16"/>
          <w:i w:val="1"/>
          <w:iCs w:val="1"/>
          <w:color w:val="auto"/>
        </w:rPr>
        <w:t xml:space="preserve"> </w:t>
      </w:r>
      <w:r>
        <w:rPr>
          <w:rFonts w:ascii="Arial" w:cs="Arial" w:eastAsia="Arial" w:hAnsi="Arial"/>
          <w:sz w:val="16"/>
          <w:szCs w:val="16"/>
          <w:color w:val="auto"/>
        </w:rPr>
        <w:t>and any federal court located in the State of Delaware for the purpose of any suit, action or other proceeding arising out of or based upon this Agreement, (b) agree not to commence any suit, action or other proceeding arising out of or based upon this Agreement except in the state courts of Delaware or any federal court located in the State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of this Agreement may not be enforced in or by such court. Each party will bear its own costs in respect of any disputes arising under this Agreement.</w:t>
      </w:r>
    </w:p>
    <w:p>
      <w:pPr>
        <w:spacing w:after="0" w:line="131" w:lineRule="exact"/>
        <w:rPr>
          <w:rFonts w:ascii="Arial" w:cs="Arial" w:eastAsia="Arial" w:hAnsi="Arial"/>
          <w:sz w:val="16"/>
          <w:szCs w:val="16"/>
          <w:i w:val="1"/>
          <w:iCs w:val="1"/>
          <w:color w:val="auto"/>
        </w:rPr>
      </w:pPr>
    </w:p>
    <w:p>
      <w:pPr>
        <w:ind w:left="-540" w:right="20" w:firstLine="969"/>
        <w:spacing w:after="0" w:line="288" w:lineRule="auto"/>
        <w:tabs>
          <w:tab w:leader="none" w:pos="814" w:val="left"/>
        </w:tabs>
        <w:numPr>
          <w:ilvl w:val="0"/>
          <w:numId w:val="59"/>
        </w:numPr>
        <w:rPr>
          <w:rFonts w:ascii="Arial" w:cs="Arial" w:eastAsia="Arial" w:hAnsi="Arial"/>
          <w:sz w:val="16"/>
          <w:szCs w:val="16"/>
          <w:i w:val="1"/>
          <w:iCs w:val="1"/>
          <w:color w:val="auto"/>
        </w:rPr>
      </w:pPr>
      <w:r>
        <w:rPr>
          <w:rFonts w:ascii="Arial" w:cs="Arial" w:eastAsia="Arial" w:hAnsi="Arial"/>
          <w:sz w:val="16"/>
          <w:szCs w:val="16"/>
          <w:i w:val="1"/>
          <w:iCs w:val="1"/>
          <w:color w:val="auto"/>
        </w:rPr>
        <w:t>Waiver of Jury Trial</w:t>
      </w:r>
      <w:r>
        <w:rPr>
          <w:rFonts w:ascii="Arial" w:cs="Arial" w:eastAsia="Arial" w:hAnsi="Arial"/>
          <w:sz w:val="16"/>
          <w:szCs w:val="16"/>
          <w:color w:val="auto"/>
        </w:rPr>
        <w:t>. EACH PARTY HEREBY WAIVES ITS RIGHTS TO A JURY TRIAL OF ANY CLAIM OR CAUSE OF</w:t>
      </w:r>
      <w:r>
        <w:rPr>
          <w:rFonts w:ascii="Arial" w:cs="Arial" w:eastAsia="Arial" w:hAnsi="Arial"/>
          <w:sz w:val="16"/>
          <w:szCs w:val="16"/>
          <w:i w:val="1"/>
          <w:iCs w:val="1"/>
          <w:color w:val="auto"/>
        </w:rPr>
        <w:t xml:space="preserve"> </w:t>
      </w:r>
      <w:r>
        <w:rPr>
          <w:rFonts w:ascii="Arial" w:cs="Arial" w:eastAsia="Arial" w:hAnsi="Arial"/>
          <w:sz w:val="16"/>
          <w:szCs w:val="16"/>
          <w:color w:val="auto"/>
        </w:rPr>
        <w:t>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33" w:lineRule="exact"/>
        <w:rPr>
          <w:rFonts w:ascii="Arial" w:cs="Arial" w:eastAsia="Arial" w:hAnsi="Arial"/>
          <w:sz w:val="16"/>
          <w:szCs w:val="16"/>
          <w:i w:val="1"/>
          <w:iCs w:val="1"/>
          <w:color w:val="auto"/>
        </w:rPr>
      </w:pPr>
    </w:p>
    <w:p>
      <w:pPr>
        <w:ind w:left="-540" w:right="380" w:firstLine="969"/>
        <w:spacing w:after="0" w:line="318" w:lineRule="auto"/>
        <w:tabs>
          <w:tab w:leader="none" w:pos="843" w:val="left"/>
        </w:tabs>
        <w:numPr>
          <w:ilvl w:val="0"/>
          <w:numId w:val="59"/>
        </w:numPr>
        <w:rPr>
          <w:rFonts w:ascii="Arial" w:cs="Arial" w:eastAsia="Arial" w:hAnsi="Arial"/>
          <w:sz w:val="15"/>
          <w:szCs w:val="15"/>
          <w:i w:val="1"/>
          <w:iCs w:val="1"/>
          <w:color w:val="auto"/>
        </w:rPr>
      </w:pPr>
      <w:r>
        <w:rPr>
          <w:rFonts w:ascii="Arial" w:cs="Arial" w:eastAsia="Arial" w:hAnsi="Arial"/>
          <w:sz w:val="15"/>
          <w:szCs w:val="15"/>
          <w:i w:val="1"/>
          <w:iCs w:val="1"/>
          <w:color w:val="auto"/>
        </w:rPr>
        <w:t>Delays or Omissions</w:t>
      </w:r>
      <w:r>
        <w:rPr>
          <w:rFonts w:ascii="Arial" w:cs="Arial" w:eastAsia="Arial" w:hAnsi="Arial"/>
          <w:sz w:val="15"/>
          <w:szCs w:val="15"/>
          <w:color w:val="auto"/>
        </w:rPr>
        <w:t>. No delay or omission to exercise any right, power, or remedy accruing to any party under this Agreement,</w:t>
      </w:r>
      <w:r>
        <w:rPr>
          <w:rFonts w:ascii="Arial" w:cs="Arial" w:eastAsia="Arial" w:hAnsi="Arial"/>
          <w:sz w:val="15"/>
          <w:szCs w:val="15"/>
          <w:i w:val="1"/>
          <w:iCs w:val="1"/>
          <w:color w:val="auto"/>
        </w:rPr>
        <w:t xml:space="preserve"> </w:t>
      </w:r>
      <w:r>
        <w:rPr>
          <w:rFonts w:ascii="Arial" w:cs="Arial" w:eastAsia="Arial" w:hAnsi="Arial"/>
          <w:sz w:val="15"/>
          <w:szCs w:val="15"/>
          <w:color w:val="auto"/>
        </w:rPr>
        <w:t>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heretofore or thereafter occurring. All remedies, whether under this Agreement or by law or otherwise afforded to any party, shall be cumulative and not alternative.</w:t>
      </w:r>
    </w:p>
    <w:p>
      <w:pPr>
        <w:spacing w:after="0" w:line="113" w:lineRule="exact"/>
        <w:rPr>
          <w:rFonts w:ascii="Arial" w:cs="Arial" w:eastAsia="Arial" w:hAnsi="Arial"/>
          <w:sz w:val="15"/>
          <w:szCs w:val="15"/>
          <w:i w:val="1"/>
          <w:iCs w:val="1"/>
          <w:color w:val="auto"/>
        </w:rPr>
      </w:pPr>
    </w:p>
    <w:p>
      <w:pPr>
        <w:ind w:left="-540" w:right="200" w:firstLine="969"/>
        <w:spacing w:after="0" w:line="259" w:lineRule="auto"/>
        <w:tabs>
          <w:tab w:leader="none" w:pos="814"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Amendment and Restatement of the Original Agreement</w:t>
      </w:r>
      <w:r>
        <w:rPr>
          <w:rFonts w:ascii="Arial" w:cs="Arial" w:eastAsia="Arial" w:hAnsi="Arial"/>
          <w:sz w:val="18"/>
          <w:szCs w:val="18"/>
          <w:color w:val="auto"/>
        </w:rPr>
        <w:t>. The Original Agreement is hereby amended in its entirety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herein. Upon such execution and delivery, all provisions of, rights granted and covenants made in the Original Agreement are hereby waived, released and superseded in their entirety and shall have no further force or effect.</w:t>
      </w:r>
    </w:p>
    <w:p>
      <w:pPr>
        <w:spacing w:after="0" w:line="153" w:lineRule="exact"/>
        <w:rPr>
          <w:rFonts w:ascii="Arial" w:cs="Arial" w:eastAsia="Arial" w:hAnsi="Arial"/>
          <w:sz w:val="18"/>
          <w:szCs w:val="18"/>
          <w:i w:val="1"/>
          <w:iCs w:val="1"/>
          <w:color w:val="auto"/>
        </w:rPr>
      </w:pPr>
    </w:p>
    <w:p>
      <w:pPr>
        <w:ind w:left="-540" w:right="140" w:firstLine="969"/>
        <w:spacing w:after="0" w:line="294" w:lineRule="auto"/>
        <w:tabs>
          <w:tab w:leader="none" w:pos="892" w:val="left"/>
        </w:tabs>
        <w:numPr>
          <w:ilvl w:val="0"/>
          <w:numId w:val="59"/>
        </w:numPr>
        <w:rPr>
          <w:rFonts w:ascii="Arial" w:cs="Arial" w:eastAsia="Arial" w:hAnsi="Arial"/>
          <w:sz w:val="16"/>
          <w:szCs w:val="16"/>
          <w:i w:val="1"/>
          <w:iCs w:val="1"/>
          <w:color w:val="auto"/>
        </w:rPr>
      </w:pPr>
      <w:r>
        <w:rPr>
          <w:rFonts w:ascii="Arial" w:cs="Arial" w:eastAsia="Arial" w:hAnsi="Arial"/>
          <w:sz w:val="16"/>
          <w:szCs w:val="16"/>
          <w:i w:val="1"/>
          <w:iCs w:val="1"/>
          <w:color w:val="auto"/>
        </w:rPr>
        <w:t>Additional Registration Rights</w:t>
      </w:r>
      <w:r>
        <w:rPr>
          <w:rFonts w:ascii="Arial" w:cs="Arial" w:eastAsia="Arial" w:hAnsi="Arial"/>
          <w:sz w:val="16"/>
          <w:szCs w:val="16"/>
          <w:color w:val="auto"/>
        </w:rPr>
        <w:t>. While Xinxin (Hongkong) Capital Co., Limited or Victorious Way Limited continues to be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Comprehensive Rights Holder under this Agreement whose rights have not terminated pursuant to </w:t>
      </w:r>
      <w:r>
        <w:rPr>
          <w:rFonts w:ascii="Arial" w:cs="Arial" w:eastAsia="Arial" w:hAnsi="Arial"/>
          <w:sz w:val="16"/>
          <w:szCs w:val="16"/>
          <w:u w:val="single" w:color="auto"/>
          <w:color w:val="auto"/>
        </w:rPr>
        <w:t>Section 11</w:t>
      </w:r>
      <w:r>
        <w:rPr>
          <w:rFonts w:ascii="Arial" w:cs="Arial" w:eastAsia="Arial" w:hAnsi="Arial"/>
          <w:sz w:val="16"/>
          <w:szCs w:val="16"/>
          <w:color w:val="auto"/>
        </w:rPr>
        <w:t>, the Company shall not, without the prior written consent of each such Comprehensive Rights Holder, enter into any arrangement (other than pursuant to this Agreement) with any holder or prospective holder of securities of the Company under which such Person shall have the right to request or demand that the Company file a registration statement covering the potential sale of all or a portion of such securities under the Securities Act.</w:t>
      </w:r>
    </w:p>
    <w:p>
      <w:pPr>
        <w:spacing w:after="0" w:line="102" w:lineRule="exact"/>
        <w:rPr>
          <w:sz w:val="20"/>
          <w:szCs w:val="20"/>
          <w:color w:val="auto"/>
        </w:rPr>
      </w:pPr>
    </w:p>
    <w:p>
      <w:pPr>
        <w:ind w:left="2920"/>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39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10795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23" w:right="239" w:bottom="1440" w:gutter="0" w:footer="0" w:header="0"/>
        </w:sectPr>
      </w:pPr>
    </w:p>
    <w:bookmarkStart w:id="48" w:name="page49"/>
    <w:bookmarkEnd w:id="48"/>
    <w:p>
      <w:pPr>
        <w:spacing w:after="0" w:line="268" w:lineRule="auto"/>
        <w:rPr>
          <w:sz w:val="20"/>
          <w:szCs w:val="20"/>
          <w:color w:val="auto"/>
        </w:rPr>
      </w:pPr>
      <w:r>
        <w:rPr>
          <w:rFonts w:ascii="Arial" w:cs="Arial" w:eastAsia="Arial" w:hAnsi="Arial"/>
          <w:sz w:val="18"/>
          <w:szCs w:val="18"/>
          <w:color w:val="auto"/>
        </w:rPr>
        <w:t>IN WITNESS WHEREOF, each of the parties has executed this Agreement or caused the same to be executed by its duly authorized representative as of the date first written above.</w:t>
      </w:r>
    </w:p>
    <w:p>
      <w:pPr>
        <w:spacing w:after="0" w:line="200" w:lineRule="exact"/>
        <w:rPr>
          <w:sz w:val="20"/>
          <w:szCs w:val="20"/>
          <w:color w:val="auto"/>
        </w:rPr>
      </w:pPr>
    </w:p>
    <w:p>
      <w:pPr>
        <w:spacing w:after="0" w:line="202"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David H. Wang</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David H. Wang</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SHENGXIN (SHANGHAI) MANAGEMENT</w:t>
      </w:r>
    </w:p>
    <w:p>
      <w:pPr>
        <w:spacing w:after="0" w:line="1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CONSULTING LIMITED PARTNERSHIP</w:t>
      </w:r>
    </w:p>
    <w:p>
      <w:pPr>
        <w:spacing w:after="0" w:line="21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Jian Wang</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Jian Wang</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General Partner</w:t>
      </w:r>
    </w:p>
    <w:p>
      <w:pPr>
        <w:spacing w:after="0" w:line="219" w:lineRule="exact"/>
        <w:rPr>
          <w:sz w:val="20"/>
          <w:szCs w:val="20"/>
          <w:color w:val="auto"/>
        </w:rPr>
      </w:pPr>
    </w:p>
    <w:p>
      <w:pPr>
        <w:ind w:left="6500"/>
        <w:spacing w:after="0"/>
        <w:rPr>
          <w:sz w:val="20"/>
          <w:szCs w:val="20"/>
          <w:color w:val="auto"/>
        </w:rPr>
      </w:pPr>
      <w:r>
        <w:rPr>
          <w:rFonts w:ascii="Arial" w:cs="Arial" w:eastAsia="Arial" w:hAnsi="Arial"/>
          <w:sz w:val="18"/>
          <w:szCs w:val="18"/>
          <w:i w:val="1"/>
          <w:iCs w:val="1"/>
          <w:color w:val="auto"/>
        </w:rPr>
        <w:t>Address:</w:t>
      </w:r>
    </w:p>
    <w:p>
      <w:pPr>
        <w:spacing w:after="0" w:line="1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Rm. 210-32, 2nd Fl., Building 1 38 Debao Rd.</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Pilot Free Trade Zone</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Shanghai, China</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Email:</w:t>
      </w:r>
    </w:p>
    <w:p>
      <w:pPr>
        <w:spacing w:after="0" w:line="21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XINXIN (HONGKONG) CAPITAL CO., LIMITED</w:t>
      </w:r>
    </w:p>
    <w:p>
      <w:pPr>
        <w:spacing w:after="0" w:line="22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Xinxin (Hongkong) Capital Co., Limited</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500"/>
        <w:spacing w:after="0"/>
        <w:rPr>
          <w:sz w:val="20"/>
          <w:szCs w:val="20"/>
          <w:color w:val="auto"/>
        </w:rPr>
      </w:pPr>
      <w:r>
        <w:rPr>
          <w:rFonts w:ascii="Arial" w:cs="Arial" w:eastAsia="Arial" w:hAnsi="Arial"/>
          <w:sz w:val="18"/>
          <w:szCs w:val="18"/>
          <w:i w:val="1"/>
          <w:iCs w:val="1"/>
          <w:color w:val="auto"/>
        </w:rPr>
        <w:t>Address:</w:t>
      </w:r>
    </w:p>
    <w:p>
      <w:pPr>
        <w:spacing w:after="0" w:line="1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3rd Floor North, No. 7 Financial Street</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Xicheng District, Beijing 100033, P. R. China</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Email:</w:t>
      </w:r>
    </w:p>
    <w:p>
      <w:pPr>
        <w:spacing w:after="0" w:line="21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VICTORIOUS WAY LIMITED</w:t>
      </w:r>
    </w:p>
    <w:p>
      <w:pPr>
        <w:spacing w:after="0" w:line="22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Victorious Way Limited</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500"/>
        <w:spacing w:after="0"/>
        <w:rPr>
          <w:sz w:val="20"/>
          <w:szCs w:val="20"/>
          <w:color w:val="auto"/>
        </w:rPr>
      </w:pPr>
      <w:r>
        <w:rPr>
          <w:rFonts w:ascii="Arial" w:cs="Arial" w:eastAsia="Arial" w:hAnsi="Arial"/>
          <w:sz w:val="18"/>
          <w:szCs w:val="18"/>
          <w:i w:val="1"/>
          <w:iCs w:val="1"/>
          <w:color w:val="auto"/>
        </w:rPr>
        <w:t>Address:</w:t>
      </w:r>
    </w:p>
    <w:p>
      <w:pPr>
        <w:spacing w:after="0" w:line="1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Vistra Corporate Services Centre,</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Wickhams Cay II, Road Town</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Tortola, VG1110, British Virgin Islands</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Email:</w:t>
      </w: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AGE</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MENDED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EGISTRATION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00" w:lineRule="exact"/>
        <w:rPr>
          <w:sz w:val="20"/>
          <w:szCs w:val="20"/>
          <w:color w:val="auto"/>
        </w:rPr>
      </w:pPr>
    </w:p>
    <w:p>
      <w:pPr>
        <w:spacing w:after="0" w:line="2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63" w:right="339" w:bottom="1440" w:gutter="0" w:footer="0" w:header="0"/>
        </w:sectPr>
      </w:pPr>
    </w:p>
    <w:bookmarkStart w:id="49" w:name="page50"/>
    <w:bookmarkEnd w:id="49"/>
    <w:p>
      <w:pPr>
        <w:jc w:val="center"/>
        <w:ind w:right="-119"/>
        <w:spacing w:after="0"/>
        <w:rPr>
          <w:sz w:val="20"/>
          <w:szCs w:val="20"/>
          <w:color w:val="auto"/>
        </w:rPr>
      </w:pPr>
      <w:r>
        <w:rPr>
          <w:rFonts w:ascii="Arial" w:cs="Arial" w:eastAsia="Arial" w:hAnsi="Arial"/>
          <w:sz w:val="18"/>
          <w:szCs w:val="18"/>
          <w:b w:val="1"/>
          <w:bCs w:val="1"/>
          <w:color w:val="auto"/>
        </w:rPr>
        <w:t>SCHEDULE I</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Incidental Rights Holders</w:t>
      </w:r>
    </w:p>
    <w:p>
      <w:pPr>
        <w:sectPr>
          <w:pgSz w:w="11900" w:h="16838" w:orient="portrait"/>
          <w:cols w:equalWidth="0" w:num="1">
            <w:col w:w="11300"/>
          </w:cols>
          <w:pgMar w:left="240" w:top="341" w:right="359" w:bottom="1440" w:gutter="0" w:footer="0" w:header="0"/>
        </w:sect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w:t>
      </w:r>
    </w:p>
    <w:p>
      <w:pPr>
        <w:spacing w:after="0" w:line="15"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SHENGXIN (SHANGHAI) MANAGEMENT CONSULTING LIMITED PARTNERSHIP</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Rm. 210-32, 2nd Fl., Building 1</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38 Debao Rd.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Pilot Free Trade Zone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Shanghai, China</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Email: jian.wang@acmrcsh.com</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Warrant dated March 14, 2017 issued by ACM Research, Inc. with respect to 397,502 Class A Shares (after giving effect to post-reverse split effected on September 13, 2017)</w:t>
      </w:r>
    </w:p>
    <w:p>
      <w:pPr>
        <w:spacing w:after="0" w:line="1043" w:lineRule="exact"/>
        <w:rPr>
          <w:sz w:val="20"/>
          <w:szCs w:val="20"/>
          <w:color w:val="auto"/>
        </w:rPr>
      </w:pPr>
    </w:p>
    <w:p>
      <w:pPr>
        <w:sectPr>
          <w:pgSz w:w="11900" w:h="16838" w:orient="portrait"/>
          <w:cols w:equalWidth="0" w:num="2">
            <w:col w:w="5340" w:space="720"/>
            <w:col w:w="5240"/>
          </w:cols>
          <w:pgMar w:left="240" w:top="341" w:right="359"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type w:val="continuous"/>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w:t>
      </w:r>
    </w:p>
    <w:p>
      <w:pPr>
        <w:spacing w:after="0" w:line="15" w:lineRule="exact"/>
        <w:rPr>
          <w:sz w:val="20"/>
          <w:szCs w:val="20"/>
          <w:color w:val="auto"/>
        </w:rPr>
      </w:pPr>
    </w:p>
    <w:p>
      <w:pPr>
        <w:ind w:left="340" w:right="100" w:hanging="323"/>
        <w:spacing w:after="0" w:line="302" w:lineRule="auto"/>
        <w:rPr>
          <w:sz w:val="20"/>
          <w:szCs w:val="20"/>
          <w:color w:val="auto"/>
        </w:rPr>
      </w:pPr>
      <w:r>
        <w:rPr>
          <w:rFonts w:ascii="Arial" w:cs="Arial" w:eastAsia="Arial" w:hAnsi="Arial"/>
          <w:sz w:val="16"/>
          <w:szCs w:val="16"/>
          <w:color w:val="auto"/>
        </w:rPr>
        <w:t>XINXIN (HONGKONG) CAPITAL CO., LIMITED 3rd Floor North, No. 7 Financial Street Xicheng District, Beijing 100033, P. R. China</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VICTORIOUS WAY LIMITED</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Vistra Corporate Services Centre,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Wickhams Cay II, Road Town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Tortola, VG1110, British Virgin Islands</w:t>
      </w:r>
    </w:p>
    <w:p>
      <w:pPr>
        <w:spacing w:after="0" w:line="20" w:lineRule="exact"/>
        <w:rPr>
          <w:sz w:val="20"/>
          <w:szCs w:val="20"/>
          <w:color w:val="auto"/>
        </w:rPr>
      </w:pPr>
      <w:r>
        <w:rPr>
          <w:sz w:val="20"/>
          <w:szCs w:val="20"/>
          <w:color w:val="auto"/>
        </w:rPr>
        <w:br w:type="column"/>
      </w:r>
    </w:p>
    <w:p>
      <w:pPr>
        <w:jc w:val="center"/>
        <w:ind w:right="3339"/>
        <w:spacing w:after="0"/>
        <w:rPr>
          <w:sz w:val="20"/>
          <w:szCs w:val="20"/>
          <w:color w:val="auto"/>
        </w:rPr>
      </w:pPr>
      <w:r>
        <w:rPr>
          <w:rFonts w:ascii="Arial" w:cs="Arial" w:eastAsia="Arial" w:hAnsi="Arial"/>
          <w:sz w:val="18"/>
          <w:szCs w:val="18"/>
          <w:b w:val="1"/>
          <w:bCs w:val="1"/>
          <w:color w:val="auto"/>
        </w:rPr>
        <w:t>SCHEDULE II</w:t>
      </w:r>
    </w:p>
    <w:p>
      <w:pPr>
        <w:spacing w:after="0" w:line="21" w:lineRule="exact"/>
        <w:rPr>
          <w:sz w:val="20"/>
          <w:szCs w:val="20"/>
          <w:color w:val="auto"/>
        </w:rPr>
      </w:pPr>
    </w:p>
    <w:p>
      <w:pPr>
        <w:jc w:val="center"/>
        <w:ind w:right="3339"/>
        <w:spacing w:after="0"/>
        <w:rPr>
          <w:sz w:val="20"/>
          <w:szCs w:val="20"/>
          <w:color w:val="auto"/>
        </w:rPr>
      </w:pPr>
      <w:r>
        <w:rPr>
          <w:rFonts w:ascii="Arial" w:cs="Arial" w:eastAsia="Arial" w:hAnsi="Arial"/>
          <w:sz w:val="15"/>
          <w:szCs w:val="15"/>
          <w:b w:val="1"/>
          <w:bCs w:val="1"/>
          <w:color w:val="auto"/>
        </w:rPr>
        <w:t>Comprehensive Rights Holders</w:t>
      </w:r>
    </w:p>
    <w:p>
      <w:pPr>
        <w:spacing w:after="0" w:line="253" w:lineRule="exact"/>
        <w:rPr>
          <w:sz w:val="20"/>
          <w:szCs w:val="20"/>
          <w:color w:val="auto"/>
        </w:rPr>
      </w:pPr>
    </w:p>
    <w:p>
      <w:pPr>
        <w:ind w:left="1520"/>
        <w:spacing w:after="0"/>
        <w:rPr>
          <w:sz w:val="20"/>
          <w:szCs w:val="20"/>
          <w:color w:val="auto"/>
        </w:rPr>
      </w:pPr>
      <w:r>
        <w:rPr>
          <w:rFonts w:ascii="Arial" w:cs="Arial" w:eastAsia="Arial" w:hAnsi="Arial"/>
          <w:sz w:val="18"/>
          <w:szCs w:val="18"/>
          <w:b w:val="1"/>
          <w:bCs w:val="1"/>
          <w:i w:val="1"/>
          <w:iCs w:val="1"/>
          <w:color w:val="auto"/>
        </w:rPr>
        <w:t>Securities</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5"/>
          <w:szCs w:val="15"/>
          <w:color w:val="auto"/>
        </w:rPr>
        <w:t>833,334 Class A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959"/>
        <w:spacing w:after="0"/>
        <w:rPr>
          <w:sz w:val="20"/>
          <w:szCs w:val="20"/>
          <w:color w:val="auto"/>
        </w:rPr>
      </w:pPr>
      <w:r>
        <w:rPr>
          <w:rFonts w:ascii="Arial" w:cs="Arial" w:eastAsia="Arial" w:hAnsi="Arial"/>
          <w:sz w:val="15"/>
          <w:szCs w:val="15"/>
          <w:color w:val="auto"/>
        </w:rPr>
        <w:t>500,000 Class A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10795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820" w:space="720"/>
            <w:col w:w="5679"/>
          </w:cols>
          <w:pgMar w:left="240" w:top="341" w:right="1440"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EXHIBIT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Adoption Agreement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This Adoption Agreement (this “</w:t>
      </w:r>
      <w:r>
        <w:rPr>
          <w:rFonts w:ascii="Arial" w:cs="Arial" w:eastAsia="Arial" w:hAnsi="Arial"/>
          <w:sz w:val="16"/>
          <w:szCs w:val="16"/>
          <w:i w:val="1"/>
          <w:iCs w:val="1"/>
          <w:color w:val="auto"/>
        </w:rPr>
        <w:t>Adoption Agreement</w:t>
      </w:r>
      <w:r>
        <w:rPr>
          <w:rFonts w:ascii="Arial" w:cs="Arial" w:eastAsia="Arial" w:hAnsi="Arial"/>
          <w:sz w:val="16"/>
          <w:szCs w:val="16"/>
          <w:color w:val="auto"/>
        </w:rPr>
        <w:t>”) is executed on _____________, 20__, by the undersigned (“</w:t>
      </w:r>
      <w:r>
        <w:rPr>
          <w:rFonts w:ascii="Arial" w:cs="Arial" w:eastAsia="Arial" w:hAnsi="Arial"/>
          <w:sz w:val="16"/>
          <w:szCs w:val="16"/>
          <w:i w:val="1"/>
          <w:iCs w:val="1"/>
          <w:color w:val="auto"/>
        </w:rPr>
        <w:t>Acquirer</w:t>
      </w:r>
      <w:r>
        <w:rPr>
          <w:rFonts w:ascii="Arial" w:cs="Arial" w:eastAsia="Arial" w:hAnsi="Arial"/>
          <w:sz w:val="16"/>
          <w:szCs w:val="16"/>
          <w:color w:val="auto"/>
        </w:rPr>
        <w:t>”) pursuant to the terms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Second Amended and Restated Registration Rights Agreement dated as of _____________, 2017 (the “</w:t>
      </w:r>
      <w:r>
        <w:rPr>
          <w:rFonts w:ascii="Arial" w:cs="Arial" w:eastAsia="Arial" w:hAnsi="Arial"/>
          <w:sz w:val="16"/>
          <w:szCs w:val="16"/>
          <w:i w:val="1"/>
          <w:iCs w:val="1"/>
          <w:color w:val="auto"/>
        </w:rPr>
        <w:t>Agreement</w:t>
      </w:r>
      <w:r>
        <w:rPr>
          <w:rFonts w:ascii="Arial" w:cs="Arial" w:eastAsia="Arial" w:hAnsi="Arial"/>
          <w:sz w:val="16"/>
          <w:szCs w:val="16"/>
          <w:color w:val="auto"/>
        </w:rPr>
        <w:t>”), by and among ACM Research, Inc. and</w:t>
      </w:r>
    </w:p>
    <w:p>
      <w:pPr>
        <w:spacing w:after="0" w:line="32"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certain of its security holders, as such Agreement may be further amended or restated. Capitalized terms used but not defined in this Adoption Agreement shall have the respective meanings ascribed to such terms in the Agreement. By the execution of this Adoption Agreement, Acquirer agrees as follows.</w:t>
      </w:r>
    </w:p>
    <w:p>
      <w:pPr>
        <w:spacing w:after="0" w:line="1" w:lineRule="exact"/>
        <w:rPr>
          <w:sz w:val="20"/>
          <w:szCs w:val="20"/>
          <w:color w:val="auto"/>
        </w:rPr>
      </w:pPr>
    </w:p>
    <w:p>
      <w:pPr>
        <w:ind w:left="460" w:right="40" w:hanging="452"/>
        <w:spacing w:after="0" w:line="281"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Acknowledgement</w:t>
      </w:r>
      <w:r>
        <w:rPr>
          <w:rFonts w:ascii="Arial" w:cs="Arial" w:eastAsia="Arial" w:hAnsi="Arial"/>
          <w:sz w:val="16"/>
          <w:szCs w:val="16"/>
          <w:color w:val="auto"/>
        </w:rPr>
        <w:t xml:space="preserve">. Acquirer acknowledges that Acquirer is acquiring certain Registrable Securities (which term, for purposes of this Adoption Agreement, shall include securities convertible or exercisable for Registrable Securities) for one of the following reasons </w:t>
      </w:r>
      <w:r>
        <w:rPr>
          <w:rFonts w:ascii="Arial" w:cs="Arial" w:eastAsia="Arial" w:hAnsi="Arial"/>
          <w:sz w:val="16"/>
          <w:szCs w:val="16"/>
          <w:i w:val="1"/>
          <w:iCs w:val="1"/>
          <w:color w:val="auto"/>
        </w:rPr>
        <w:t>(check the correct box)</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800" w:right="8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as a transferee of Registrable Securities from a party in such party’s capacity as an “Incidental Rights Holder,” bound by the Agreement in accordance with </w:t>
      </w:r>
      <w:r>
        <w:rPr>
          <w:rFonts w:ascii="Arial" w:cs="Arial" w:eastAsia="Arial" w:hAnsi="Arial"/>
          <w:sz w:val="16"/>
          <w:szCs w:val="16"/>
          <w:u w:val="single" w:color="auto"/>
          <w:color w:val="auto"/>
        </w:rPr>
        <w:t>Section 12(a)</w:t>
      </w:r>
      <w:r>
        <w:rPr>
          <w:rFonts w:ascii="Arial" w:cs="Arial" w:eastAsia="Arial" w:hAnsi="Arial"/>
          <w:sz w:val="16"/>
          <w:szCs w:val="16"/>
          <w:color w:val="auto"/>
        </w:rPr>
        <w:t>, and after such transfer, Acquirer shall be considered an “Incidental Rights Holder” for all purposes of the Agreement;</w:t>
      </w:r>
    </w:p>
    <w:p>
      <w:pPr>
        <w:spacing w:after="0" w:line="1" w:lineRule="exact"/>
        <w:rPr>
          <w:rFonts w:ascii="Arial" w:cs="Arial" w:eastAsia="Arial" w:hAnsi="Arial"/>
          <w:sz w:val="16"/>
          <w:szCs w:val="16"/>
          <w:color w:val="auto"/>
        </w:rPr>
      </w:pPr>
    </w:p>
    <w:p>
      <w:pPr>
        <w:ind w:left="800" w:right="600"/>
        <w:spacing w:after="0" w:line="250" w:lineRule="auto"/>
        <w:rPr>
          <w:rFonts w:ascii="Arial" w:cs="Arial" w:eastAsia="Arial" w:hAnsi="Arial"/>
          <w:sz w:val="16"/>
          <w:szCs w:val="16"/>
          <w:color w:val="auto"/>
        </w:rPr>
      </w:pPr>
      <w:r>
        <w:rPr>
          <w:rFonts w:ascii="Arial" w:cs="Arial" w:eastAsia="Arial" w:hAnsi="Arial"/>
          <w:sz w:val="18"/>
          <w:szCs w:val="18"/>
          <w:color w:val="auto"/>
        </w:rPr>
        <w:t xml:space="preserve">as a transferee of Registrable Securities from a party in such party’s capacity as a “Comprehensive Rights Holder,” bound by the Agreement in accordance with </w:t>
      </w:r>
      <w:r>
        <w:rPr>
          <w:rFonts w:ascii="Arial" w:cs="Arial" w:eastAsia="Arial" w:hAnsi="Arial"/>
          <w:sz w:val="18"/>
          <w:szCs w:val="18"/>
          <w:u w:val="single" w:color="auto"/>
          <w:color w:val="auto"/>
        </w:rPr>
        <w:t>Section 12(a)</w:t>
      </w:r>
      <w:r>
        <w:rPr>
          <w:rFonts w:ascii="Arial" w:cs="Arial" w:eastAsia="Arial" w:hAnsi="Arial"/>
          <w:sz w:val="18"/>
          <w:szCs w:val="18"/>
          <w:color w:val="auto"/>
        </w:rPr>
        <w:t>, and after such transfer, Acquirer shall be considered a “Comprehensive Rights Holder” for all purposes of the Agreement;</w:t>
      </w:r>
    </w:p>
    <w:p>
      <w:pPr>
        <w:spacing w:after="0" w:line="1" w:lineRule="exact"/>
        <w:rPr>
          <w:rFonts w:ascii="Arial" w:cs="Arial" w:eastAsia="Arial" w:hAnsi="Arial"/>
          <w:sz w:val="16"/>
          <w:szCs w:val="16"/>
          <w:color w:val="auto"/>
        </w:rPr>
      </w:pPr>
    </w:p>
    <w:p>
      <w:pPr>
        <w:ind w:left="800" w:right="820"/>
        <w:spacing w:after="0" w:line="250" w:lineRule="auto"/>
        <w:rPr>
          <w:rFonts w:ascii="Arial" w:cs="Arial" w:eastAsia="Arial" w:hAnsi="Arial"/>
          <w:sz w:val="16"/>
          <w:szCs w:val="16"/>
          <w:color w:val="auto"/>
        </w:rPr>
      </w:pPr>
      <w:r>
        <w:rPr>
          <w:rFonts w:ascii="Arial" w:cs="Arial" w:eastAsia="Arial" w:hAnsi="Arial"/>
          <w:sz w:val="18"/>
          <w:szCs w:val="18"/>
          <w:color w:val="auto"/>
        </w:rPr>
        <w:t xml:space="preserve">as a purchaser of Registrable Securities from the Company in accordance with </w:t>
      </w:r>
      <w:r>
        <w:rPr>
          <w:rFonts w:ascii="Arial" w:cs="Arial" w:eastAsia="Arial" w:hAnsi="Arial"/>
          <w:sz w:val="18"/>
          <w:szCs w:val="18"/>
          <w:u w:val="single" w:color="auto"/>
          <w:color w:val="auto"/>
        </w:rPr>
        <w:t>Section 12(b)(i)</w:t>
      </w:r>
      <w:r>
        <w:rPr>
          <w:rFonts w:ascii="Arial" w:cs="Arial" w:eastAsia="Arial" w:hAnsi="Arial"/>
          <w:sz w:val="18"/>
          <w:szCs w:val="18"/>
          <w:color w:val="auto"/>
        </w:rPr>
        <w:t>, after which Acquirer shall be considered an “Incidental Rights Holder” for all purposes of the Agreement;</w:t>
      </w:r>
    </w:p>
    <w:p>
      <w:pPr>
        <w:ind w:left="800" w:right="60"/>
        <w:spacing w:after="0" w:line="250" w:lineRule="auto"/>
        <w:rPr>
          <w:rFonts w:ascii="Arial" w:cs="Arial" w:eastAsia="Arial" w:hAnsi="Arial"/>
          <w:sz w:val="16"/>
          <w:szCs w:val="16"/>
          <w:color w:val="auto"/>
        </w:rPr>
      </w:pPr>
      <w:r>
        <w:rPr>
          <w:rFonts w:ascii="Arial" w:cs="Arial" w:eastAsia="Arial" w:hAnsi="Arial"/>
          <w:sz w:val="18"/>
          <w:szCs w:val="18"/>
          <w:color w:val="auto"/>
        </w:rPr>
        <w:t xml:space="preserve">as a holder of shares of a Preferred Series in accordance with </w:t>
      </w:r>
      <w:r>
        <w:rPr>
          <w:rFonts w:ascii="Arial" w:cs="Arial" w:eastAsia="Arial" w:hAnsi="Arial"/>
          <w:sz w:val="18"/>
          <w:szCs w:val="18"/>
          <w:u w:val="single" w:color="auto"/>
          <w:color w:val="auto"/>
        </w:rPr>
        <w:t>Section 12(b)(ii)</w:t>
      </w:r>
      <w:r>
        <w:rPr>
          <w:rFonts w:ascii="Arial" w:cs="Arial" w:eastAsia="Arial" w:hAnsi="Arial"/>
          <w:sz w:val="18"/>
          <w:szCs w:val="18"/>
          <w:color w:val="auto"/>
        </w:rPr>
        <w:t>, after which Acquirer shall be considered an “Incidental Rights Holder” for all purposes of the Agreement; or</w:t>
      </w:r>
    </w:p>
    <w:p>
      <w:pPr>
        <w:ind w:left="800" w:right="80"/>
        <w:spacing w:after="0" w:line="250" w:lineRule="auto"/>
        <w:rPr>
          <w:rFonts w:ascii="Arial" w:cs="Arial" w:eastAsia="Arial" w:hAnsi="Arial"/>
          <w:sz w:val="16"/>
          <w:szCs w:val="16"/>
          <w:color w:val="auto"/>
        </w:rPr>
      </w:pPr>
      <w:r>
        <w:rPr>
          <w:rFonts w:ascii="Arial" w:cs="Arial" w:eastAsia="Arial" w:hAnsi="Arial"/>
          <w:sz w:val="18"/>
          <w:szCs w:val="18"/>
          <w:color w:val="auto"/>
        </w:rPr>
        <w:t xml:space="preserve">as a holder of securities of the Company in accordance with </w:t>
      </w:r>
      <w:r>
        <w:rPr>
          <w:rFonts w:ascii="Arial" w:cs="Arial" w:eastAsia="Arial" w:hAnsi="Arial"/>
          <w:sz w:val="18"/>
          <w:szCs w:val="18"/>
          <w:u w:val="single" w:color="auto"/>
          <w:color w:val="auto"/>
        </w:rPr>
        <w:t>Section 12(b)(iii)</w:t>
      </w:r>
      <w:r>
        <w:rPr>
          <w:rFonts w:ascii="Arial" w:cs="Arial" w:eastAsia="Arial" w:hAnsi="Arial"/>
          <w:sz w:val="18"/>
          <w:szCs w:val="18"/>
          <w:color w:val="auto"/>
        </w:rPr>
        <w:t>, after which Acquirer shall be considered an “Incidental Rights Holder” for all purposes of the Agreement.</w:t>
      </w: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Acquirer adopts the Agreement with the same force and effect as if Acquirer were originally a party to this Agreement.</w:t>
      </w:r>
    </w:p>
    <w:p>
      <w:pPr>
        <w:spacing w:after="0" w:line="9" w:lineRule="exact"/>
        <w:rPr>
          <w:rFonts w:ascii="Arial" w:cs="Arial" w:eastAsia="Arial" w:hAnsi="Arial"/>
          <w:sz w:val="18"/>
          <w:szCs w:val="18"/>
          <w:color w:val="auto"/>
        </w:rPr>
      </w:pPr>
    </w:p>
    <w:p>
      <w:pPr>
        <w:ind w:left="460" w:right="680" w:hanging="452"/>
        <w:spacing w:after="0" w:line="250"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Conflicts</w:t>
      </w:r>
      <w:r>
        <w:rPr>
          <w:rFonts w:ascii="Arial" w:cs="Arial" w:eastAsia="Arial" w:hAnsi="Arial"/>
          <w:sz w:val="18"/>
          <w:szCs w:val="18"/>
          <w:color w:val="auto"/>
        </w:rPr>
        <w:t>. In the event that the terms of the Agreement conflict with any other agreement pursuant to which Acquirer is bound, Acquirer expressly acknowledges and agrees that the terms of the Agreement shall govern.</w:t>
      </w:r>
    </w:p>
    <w:p>
      <w:pPr>
        <w:ind w:left="460" w:right="180" w:hanging="452"/>
        <w:spacing w:after="0" w:line="261"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notice required or permitted by the Agreement shall be given to Acquirer at the address or email address listed below Acquirer’s signature to this Agreement.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ACQUIRER:</w:t>
            </w:r>
          </w:p>
        </w:tc>
        <w:tc>
          <w:tcPr>
            <w:tcW w:w="8100" w:type="dxa"/>
            <w:vAlign w:val="bottom"/>
          </w:tcPr>
          <w:p>
            <w:pPr>
              <w:ind w:left="2520"/>
              <w:spacing w:after="0"/>
              <w:rPr>
                <w:sz w:val="20"/>
                <w:szCs w:val="20"/>
                <w:color w:val="auto"/>
              </w:rPr>
            </w:pPr>
            <w:r>
              <w:rPr>
                <w:rFonts w:ascii="Arial" w:cs="Arial" w:eastAsia="Arial" w:hAnsi="Arial"/>
                <w:sz w:val="18"/>
                <w:szCs w:val="18"/>
                <w:color w:val="auto"/>
              </w:rPr>
              <w:t>ACCEPTED AND AGREED:</w:t>
            </w:r>
          </w:p>
        </w:tc>
        <w:tc>
          <w:tcPr>
            <w:tcW w:w="0" w:type="dxa"/>
            <w:vAlign w:val="bottom"/>
          </w:tcPr>
          <w:p>
            <w:pPr>
              <w:spacing w:after="0"/>
              <w:rPr>
                <w:sz w:val="1"/>
                <w:szCs w:val="1"/>
                <w:color w:val="auto"/>
              </w:rPr>
            </w:pPr>
          </w:p>
        </w:tc>
      </w:tr>
      <w:tr>
        <w:trPr>
          <w:trHeight w:val="426"/>
        </w:trPr>
        <w:tc>
          <w:tcPr>
            <w:tcW w:w="3320" w:type="dxa"/>
            <w:vAlign w:val="bottom"/>
          </w:tcPr>
          <w:p>
            <w:pPr>
              <w:spacing w:after="0"/>
              <w:rPr>
                <w:sz w:val="20"/>
                <w:szCs w:val="20"/>
                <w:color w:val="auto"/>
              </w:rPr>
            </w:pPr>
            <w:r>
              <w:rPr>
                <w:rFonts w:ascii="Arial" w:cs="Arial" w:eastAsia="Arial" w:hAnsi="Arial"/>
                <w:sz w:val="18"/>
                <w:szCs w:val="18"/>
                <w:color w:val="auto"/>
              </w:rPr>
              <w:t>By:</w:t>
            </w:r>
          </w:p>
        </w:tc>
        <w:tc>
          <w:tcPr>
            <w:tcW w:w="8100" w:type="dxa"/>
            <w:vAlign w:val="bottom"/>
          </w:tcPr>
          <w:p>
            <w:pPr>
              <w:ind w:left="2520"/>
              <w:spacing w:after="0"/>
              <w:rPr>
                <w:sz w:val="20"/>
                <w:szCs w:val="20"/>
                <w:color w:val="auto"/>
              </w:rPr>
            </w:pPr>
            <w:r>
              <w:rPr>
                <w:rFonts w:ascii="Arial" w:cs="Arial" w:eastAsia="Arial" w:hAnsi="Arial"/>
                <w:sz w:val="18"/>
                <w:szCs w:val="18"/>
                <w:b w:val="1"/>
                <w:bCs w:val="1"/>
                <w:color w:val="auto"/>
              </w:rPr>
              <w:t>ACM RESEARCH, INC.</w:t>
            </w:r>
          </w:p>
        </w:tc>
        <w:tc>
          <w:tcPr>
            <w:tcW w:w="0" w:type="dxa"/>
            <w:vAlign w:val="bottom"/>
          </w:tcPr>
          <w:p>
            <w:pPr>
              <w:spacing w:after="0"/>
              <w:rPr>
                <w:sz w:val="1"/>
                <w:szCs w:val="1"/>
                <w:color w:val="auto"/>
              </w:rPr>
            </w:pPr>
          </w:p>
        </w:tc>
      </w:tr>
      <w:tr>
        <w:trPr>
          <w:trHeight w:val="216"/>
        </w:trPr>
        <w:tc>
          <w:tcPr>
            <w:tcW w:w="3320" w:type="dxa"/>
            <w:vAlign w:val="bottom"/>
          </w:tcPr>
          <w:p>
            <w:pPr>
              <w:ind w:left="500"/>
              <w:spacing w:after="0"/>
              <w:rPr>
                <w:sz w:val="20"/>
                <w:szCs w:val="20"/>
                <w:color w:val="auto"/>
              </w:rPr>
            </w:pPr>
            <w:r>
              <w:rPr>
                <w:rFonts w:ascii="Arial" w:cs="Arial" w:eastAsia="Arial" w:hAnsi="Arial"/>
                <w:sz w:val="18"/>
                <w:szCs w:val="18"/>
                <w:color w:val="auto"/>
              </w:rPr>
              <w:t>Name:</w:t>
            </w:r>
          </w:p>
        </w:tc>
        <w:tc>
          <w:tcPr>
            <w:tcW w:w="8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20" w:type="dxa"/>
            <w:vAlign w:val="bottom"/>
          </w:tcPr>
          <w:p>
            <w:pPr>
              <w:ind w:left="500"/>
              <w:spacing w:after="0"/>
              <w:rPr>
                <w:sz w:val="20"/>
                <w:szCs w:val="20"/>
                <w:color w:val="auto"/>
              </w:rPr>
            </w:pPr>
            <w:r>
              <w:rPr>
                <w:rFonts w:ascii="Arial" w:cs="Arial" w:eastAsia="Arial" w:hAnsi="Arial"/>
                <w:sz w:val="18"/>
                <w:szCs w:val="18"/>
                <w:color w:val="auto"/>
              </w:rPr>
              <w:t>Title:</w:t>
            </w:r>
          </w:p>
        </w:tc>
        <w:tc>
          <w:tcPr>
            <w:tcW w:w="8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320" w:type="dxa"/>
            <w:vAlign w:val="bottom"/>
          </w:tcPr>
          <w:p>
            <w:pPr>
              <w:spacing w:after="0"/>
              <w:rPr>
                <w:sz w:val="20"/>
                <w:szCs w:val="20"/>
                <w:color w:val="auto"/>
              </w:rPr>
            </w:pPr>
            <w:r>
              <w:rPr>
                <w:rFonts w:ascii="Arial" w:cs="Arial" w:eastAsia="Arial" w:hAnsi="Arial"/>
                <w:sz w:val="18"/>
                <w:szCs w:val="18"/>
                <w:color w:val="auto"/>
              </w:rPr>
              <w:t>Address:</w:t>
            </w:r>
          </w:p>
        </w:tc>
        <w:tc>
          <w:tcPr>
            <w:tcW w:w="8100" w:type="dxa"/>
            <w:vAlign w:val="bottom"/>
          </w:tcPr>
          <w:p>
            <w:pPr>
              <w:ind w:left="252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22"/>
        </w:trPr>
        <w:tc>
          <w:tcPr>
            <w:tcW w:w="3320" w:type="dxa"/>
            <w:vAlign w:val="bottom"/>
          </w:tcPr>
          <w:p>
            <w:pPr>
              <w:spacing w:after="0"/>
              <w:rPr>
                <w:sz w:val="19"/>
                <w:szCs w:val="19"/>
                <w:color w:val="auto"/>
              </w:rPr>
            </w:pPr>
          </w:p>
        </w:tc>
        <w:tc>
          <w:tcPr>
            <w:tcW w:w="8100" w:type="dxa"/>
            <w:vAlign w:val="bottom"/>
          </w:tcPr>
          <w:p>
            <w:pPr>
              <w:ind w:left="300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432"/>
        </w:trPr>
        <w:tc>
          <w:tcPr>
            <w:tcW w:w="3320" w:type="dxa"/>
            <w:vAlign w:val="bottom"/>
            <w:vMerge w:val="restart"/>
          </w:tcPr>
          <w:p>
            <w:pPr>
              <w:spacing w:after="0"/>
              <w:rPr>
                <w:sz w:val="20"/>
                <w:szCs w:val="20"/>
                <w:color w:val="auto"/>
              </w:rPr>
            </w:pPr>
            <w:r>
              <w:rPr>
                <w:rFonts w:ascii="Arial" w:cs="Arial" w:eastAsia="Arial" w:hAnsi="Arial"/>
                <w:sz w:val="18"/>
                <w:szCs w:val="18"/>
                <w:color w:val="auto"/>
              </w:rPr>
              <w:t>Email:</w:t>
            </w:r>
          </w:p>
        </w:tc>
        <w:tc>
          <w:tcPr>
            <w:tcW w:w="8100" w:type="dxa"/>
            <w:vAlign w:val="bottom"/>
          </w:tcPr>
          <w:p>
            <w:pPr>
              <w:ind w:left="300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216"/>
        </w:trPr>
        <w:tc>
          <w:tcPr>
            <w:tcW w:w="3320" w:type="dxa"/>
            <w:vAlign w:val="bottom"/>
            <w:vMerge w:val="continue"/>
          </w:tcPr>
          <w:p>
            <w:pPr>
              <w:spacing w:after="0"/>
              <w:rPr>
                <w:sz w:val="18"/>
                <w:szCs w:val="18"/>
                <w:color w:val="auto"/>
              </w:rPr>
            </w:pPr>
          </w:p>
        </w:tc>
        <w:tc>
          <w:tcPr>
            <w:tcW w:w="8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9"/>
        </w:trPr>
        <w:tc>
          <w:tcPr>
            <w:tcW w:w="33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ind w:left="23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23.01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ACM Research,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42307 Osgood Road, Suite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Fremont, California 94539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Prospectus constituting a part of this Registration Statement on Form S-3 of ACM Research, Inc. (the “Company”) of our report dated March 22, 2018, relating to the consolidated financial statements of the Company appearing in the Company’s Annual Report on Form 10-K for the year ended December 31,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BDO China Shu Lun Pan Certified Public Accountants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BDO China Shu Lun Pan Certified Public Accountants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Shenzhen, The People’s Republic of China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decimal"/>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decimal"/>
      <w:start w:val="510"/>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3">
    <w:nsid w:val="6DE91B18"/>
    <w:multiLevelType w:val="hybridMultilevel"/>
    <w:lvl w:ilvl="0">
      <w:lvlJc w:val="left"/>
      <w:lvlText w:val="(%1)"/>
      <w:numFmt w:val="decimal"/>
      <w:start w:val="2"/>
    </w:lvl>
    <w:lvl w:ilvl="1">
      <w:lvlJc w:val="left"/>
      <w:lvlText w:val="(%2)"/>
      <w:numFmt w:val="upperLetter"/>
      <w:start w:val="1"/>
    </w:lvl>
  </w:abstractNum>
  <w:abstractNum w:abstractNumId="34">
    <w:nsid w:val="38437FDB"/>
    <w:multiLevelType w:val="hybridMultilevel"/>
    <w:lvl w:ilvl="0">
      <w:lvlJc w:val="left"/>
      <w:lvlText w:val="%1"/>
      <w:numFmt w:val="lowerLetter"/>
      <w:start w:val="1"/>
    </w:lvl>
    <w:lvl w:ilvl="1">
      <w:lvlJc w:val="left"/>
      <w:lvlText w:val="(%2)"/>
      <w:numFmt w:val="lowerRoman"/>
      <w:start w:val="1"/>
    </w:lvl>
  </w:abstractNum>
  <w:abstractNum w:abstractNumId="35">
    <w:nsid w:val="7644A45C"/>
    <w:multiLevelType w:val="hybridMultilevel"/>
    <w:lvl w:ilvl="0">
      <w:lvlJc w:val="left"/>
      <w:lvlText w:val="(%1)"/>
      <w:numFmt w:val="lowerLetter"/>
      <w:start w:val="2"/>
    </w:lvl>
    <w:lvl w:ilvl="1">
      <w:lvlJc w:val="left"/>
      <w:lvlText w:val="%2"/>
      <w:numFmt w:val="lowerRoman"/>
      <w:start w:val="1"/>
    </w:lvl>
  </w:abstractNum>
  <w:abstractNum w:abstractNumId="36">
    <w:nsid w:val="32FFF90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7">
    <w:nsid w:val="684A481A"/>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5"/>
    </w:lvl>
  </w:abstractNum>
  <w:abstractNum w:abstractNumId="38">
    <w:nsid w:val="579478FE"/>
    <w:multiLevelType w:val="hybridMultilevel"/>
    <w:lvl w:ilvl="0">
      <w:lvlJc w:val="left"/>
      <w:lvlText w:val="(%1)"/>
      <w:numFmt w:val="lowerLetter"/>
      <w:start w:val="6"/>
    </w:lvl>
  </w:abstractNum>
  <w:abstractNum w:abstractNumId="39">
    <w:nsid w:val="749ABB43"/>
    <w:multiLevelType w:val="hybridMultilevel"/>
    <w:lvl w:ilvl="0">
      <w:lvlJc w:val="left"/>
      <w:lvlText w:val="(%1)"/>
      <w:numFmt w:val="lowerLetter"/>
      <w:start w:val="19"/>
    </w:lvl>
  </w:abstractNum>
  <w:abstractNum w:abstractNumId="40">
    <w:nsid w:val="3DC240FB"/>
    <w:multiLevelType w:val="hybridMultilevel"/>
    <w:lvl w:ilvl="0">
      <w:lvlJc w:val="left"/>
      <w:lvlText w:val="(%1)"/>
      <w:numFmt w:val="lowerLetter"/>
      <w:start w:val="20"/>
    </w:lvl>
  </w:abstractNum>
  <w:abstractNum w:abstractNumId="41">
    <w:nsid w:val="1BA026FA"/>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42">
    <w:nsid w:val="79A1DEA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3">
    <w:nsid w:val="75C6C33A"/>
    <w:multiLevelType w:val="hybridMultilevel"/>
    <w:lvl w:ilvl="0">
      <w:lvlJc w:val="left"/>
      <w:lvlText w:val="%1"/>
      <w:numFmt w:val="decimal"/>
      <w:start w:val="1"/>
    </w:lvl>
    <w:lvl w:ilvl="1">
      <w:lvlJc w:val="left"/>
      <w:lvlText w:val="(%2)"/>
      <w:numFmt w:val="lowerLetter"/>
      <w:start w:val="2"/>
    </w:lvl>
  </w:abstractNum>
  <w:abstractNum w:abstractNumId="44">
    <w:nsid w:val="12E685FB"/>
    <w:multiLevelType w:val="hybridMultilevel"/>
    <w:lvl w:ilvl="0">
      <w:lvlJc w:val="left"/>
      <w:lvlText w:val="%1."/>
      <w:numFmt w:val="decimal"/>
      <w:start w:val="3"/>
    </w:lvl>
    <w:lvl w:ilvl="1">
      <w:lvlJc w:val="left"/>
      <w:lvlText w:val="(%2)"/>
      <w:numFmt w:val="lowerLetter"/>
      <w:start w:val="1"/>
    </w:lvl>
  </w:abstractNum>
  <w:abstractNum w:abstractNumId="45">
    <w:nsid w:val="70C6A529"/>
    <w:multiLevelType w:val="hybridMultilevel"/>
    <w:lvl w:ilvl="0">
      <w:lvlJc w:val="left"/>
      <w:lvlText w:val="%1."/>
      <w:numFmt w:val="decimal"/>
      <w:start w:val="4"/>
    </w:lvl>
    <w:lvl w:ilvl="1">
      <w:lvlJc w:val="left"/>
      <w:lvlText w:val="(%2)"/>
      <w:numFmt w:val="lowerLetter"/>
      <w:start w:val="1"/>
    </w:lvl>
  </w:abstractNum>
  <w:abstractNum w:abstractNumId="46">
    <w:nsid w:val="520EEDD1"/>
    <w:multiLevelType w:val="hybridMultilevel"/>
    <w:lvl w:ilvl="0">
      <w:lvlJc w:val="left"/>
      <w:lvlText w:val="%1."/>
      <w:numFmt w:val="decimal"/>
      <w:start w:val="5"/>
    </w:lvl>
    <w:lvl w:ilvl="1">
      <w:lvlJc w:val="left"/>
      <w:lvlText w:val="(%2)"/>
      <w:numFmt w:val="lowerLetter"/>
      <w:start w:val="1"/>
    </w:lvl>
  </w:abstractNum>
  <w:abstractNum w:abstractNumId="47">
    <w:nsid w:val="374A3FE6"/>
    <w:multiLevelType w:val="hybridMultilevel"/>
    <w:lvl w:ilvl="0">
      <w:lvlJc w:val="left"/>
      <w:lvlText w:val="%1"/>
      <w:numFmt w:val="decimal"/>
      <w:start w:val="1"/>
    </w:lvl>
    <w:lvl w:ilvl="1">
      <w:lvlJc w:val="left"/>
      <w:lvlText w:val="(%2)"/>
      <w:numFmt w:val="lowerLetter"/>
      <w:start w:val="4"/>
    </w:lvl>
  </w:abstractNum>
  <w:abstractNum w:abstractNumId="48">
    <w:nsid w:val="4F4EF005"/>
    <w:multiLevelType w:val="hybridMultilevel"/>
    <w:lvl w:ilvl="0">
      <w:lvlJc w:val="left"/>
      <w:lvlText w:val="%1."/>
      <w:numFmt w:val="decimal"/>
      <w:start w:val="9"/>
    </w:lvl>
    <w:lvl w:ilvl="1">
      <w:lvlJc w:val="left"/>
      <w:lvlText w:val="(%2)"/>
      <w:numFmt w:val="lowerLetter"/>
      <w:start w:val="1"/>
    </w:lvl>
  </w:abstractNum>
  <w:abstractNum w:abstractNumId="49">
    <w:nsid w:val="23F9C13C"/>
    <w:multiLevelType w:val="hybridMultilevel"/>
    <w:lvl w:ilvl="0">
      <w:lvlJc w:val="left"/>
      <w:lvlText w:val="%1."/>
      <w:numFmt w:val="decimal"/>
      <w:start w:val="10"/>
    </w:lvl>
  </w:abstractNum>
  <w:abstractNum w:abstractNumId="50">
    <w:nsid w:val="649BB77C"/>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2"/>
    </w:lvl>
    <w:lvl w:ilvl="3">
      <w:lvlJc w:val="left"/>
      <w:lvlText w:val="%4"/>
      <w:numFmt w:val="lowerRoman"/>
      <w:start w:val="1"/>
    </w:lvl>
  </w:abstractNum>
  <w:abstractNum w:abstractNumId="51">
    <w:nsid w:val="275AC79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52">
    <w:nsid w:val="39386575"/>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53">
    <w:nsid w:val="1CF10FD8"/>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abstractNum>
  <w:abstractNum w:abstractNumId="54">
    <w:nsid w:val="180115B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55">
    <w:nsid w:val="235BA861"/>
    <w:multiLevelType w:val="hybridMultilevel"/>
    <w:lvl w:ilvl="0">
      <w:lvlJc w:val="left"/>
      <w:lvlText w:val="(%1)"/>
      <w:numFmt w:val="lowerLetter"/>
      <w:start w:val="3"/>
    </w:lvl>
  </w:abstractNum>
  <w:abstractNum w:abstractNumId="56">
    <w:nsid w:val="47398C89"/>
    <w:multiLevelType w:val="hybridMultilevel"/>
    <w:lvl w:ilvl="0">
      <w:lvlJc w:val="left"/>
      <w:lvlText w:val="%1"/>
      <w:numFmt w:val="lowerLetter"/>
      <w:start w:val="1"/>
    </w:lvl>
    <w:lvl w:ilvl="1">
      <w:lvlJc w:val="left"/>
      <w:lvlText w:val="(%2)"/>
      <w:numFmt w:val="lowerLetter"/>
      <w:start w:val="4"/>
    </w:lvl>
  </w:abstractNum>
  <w:abstractNum w:abstractNumId="57">
    <w:nsid w:val="354FE9F9"/>
    <w:multiLevelType w:val="hybridMultilevel"/>
    <w:lvl w:ilvl="0">
      <w:lvlJc w:val="left"/>
      <w:lvlText w:val="(%1)"/>
      <w:numFmt w:val="lowerLetter"/>
      <w:start w:val="35"/>
    </w:lvl>
    <w:lvl w:ilvl="1">
      <w:lvlJc w:val="left"/>
      <w:lvlText w:val="(%2)"/>
      <w:numFmt w:val="lowerLetter"/>
      <w:start w:val="5"/>
    </w:lvl>
  </w:abstractNum>
  <w:abstractNum w:abstractNumId="58">
    <w:nsid w:val="15B5AF5C"/>
    <w:multiLevelType w:val="hybridMultilevel"/>
    <w:lvl w:ilvl="0">
      <w:lvlJc w:val="left"/>
      <w:lvlText w:val="(%1)"/>
      <w:numFmt w:val="lowerLetter"/>
      <w:start w:val="9"/>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45" Type="http://schemas.openxmlformats.org/officeDocument/2006/relationships/hyperlink" Target="http://www.sec.gov/Archives/edgar/data/1680062/000119312517342650/d407541dex301.htm" TargetMode="External"/><Relationship Id="rId46" Type="http://schemas.openxmlformats.org/officeDocument/2006/relationships/hyperlink" Target="http://www.sec.gov/Archives/edgar/data/1680062/000119312517342650/d407541dex302.htm" TargetMode="External"/><Relationship Id="rId47" Type="http://schemas.openxmlformats.org/officeDocument/2006/relationships/hyperlink" Target="http://www.sec.gov/Archives/edgar/data/1680062/000119312517312780/d311227dex4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2019-12-08T15:17:17Z</dcterms:created>
  <dcterms:modified xsi:type="dcterms:W3CDTF">2019-12-08T15:17:17Z</dcterms:modified>
</cp:coreProperties>
</file>