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Cheav Sotheara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60"/>
        <w:spacing w:after="0" w:line="311" w:lineRule="auto"/>
        <w:rPr>
          <w:sz w:val="20"/>
          <w:szCs w:val="20"/>
          <w:color w:val="auto"/>
        </w:rPr>
      </w:pPr>
      <w:r>
        <w:rPr>
          <w:rFonts w:ascii="Times New Roman" w:cs="Times New Roman" w:eastAsia="Times New Roman" w:hAnsi="Times New Roman"/>
          <w:sz w:val="17"/>
          <w:szCs w:val="17"/>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ACM Research,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ACMR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08/18/2022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44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jc w:val="right"/>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2"/>
                <w:szCs w:val="12"/>
                <w:color w:val="auto"/>
              </w:rPr>
            </w:pPr>
          </w:p>
        </w:tc>
        <w:tc>
          <w:tcPr>
            <w:tcW w:w="3560" w:type="dxa"/>
            <w:vAlign w:val="bottom"/>
            <w:gridSpan w:val="9"/>
          </w:tcPr>
          <w:p>
            <w:pPr>
              <w:ind w:left="2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FREMONT</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94539</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08/18/2022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110,002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$17.34 to $17.69,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Senior Vice President, Manufacturing of ACM Research (Shanghai), Inc., a subsidiary of the Issuer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McKechnie,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7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Sotheara</w:t>
        <w:tab/>
        <w:t>08/22/2022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Cheav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0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6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1279"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2022-08-22T19:10:47Z</dcterms:created>
  <dcterms:modified xsi:type="dcterms:W3CDTF">2022-08-22T19:10:47Z</dcterms:modified>
</cp:coreProperties>
</file>