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44772_s8.htm"/>
      <w:bookmarkStart w:id="1" w:name="ksef20044772_s8"/>
      <w:bookmarkEnd w:id="0"/>
      <w:bookmarkEnd w:id="1"/>
      <w:r>
        <w:rPr>
          <w:rFonts w:ascii="Times New Roman" w:hAnsi="Times New Roman"/>
          <w:b/>
          <w:color w:val="000000"/>
          <w:sz w:val="20"/>
        </w:rPr>
        <w:t>As filed with the Securities and Exchange Commission on March 3, 2025</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UNDER</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spacing w:before="0" w:after="0"/>
        <w:jc w:val="center"/>
        <w:rPr>
          <w:b/>
          <w:i/>
        </w:rPr>
      </w:pPr>
      <w:r>
        <w:rPr>
          <w:b/>
          <w:i/>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ACM RESEARCH, INC.</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 w:name="zf6fc69e153814405812112b95721159d"/>
      <w:bookmarkStart w:id="3" w:name="zf6fc69e153814405812112b95721159d"/>
      <w:bookmarkEnd w:id="3"/>
    </w:p>
    <w:tbl>
      <w:tblPr>
        <w:tblW w:w="7098" w:type="dxa"/>
        <w:jc w:val="left"/>
        <w:tblInd w:w="0" w:type="dxa"/>
        <w:tblLayout w:type="fixed"/>
        <w:tblCellMar>
          <w:top w:w="0" w:type="dxa"/>
          <w:left w:w="0" w:type="dxa"/>
          <w:bottom w:w="0" w:type="dxa"/>
          <w:right w:w="0" w:type="dxa"/>
        </w:tblCellMar>
      </w:tblPr>
      <w:tblGrid>
        <w:gridCol w:w="3680"/>
        <w:gridCol w:w="23"/>
        <w:gridCol w:w="3395"/>
      </w:tblGrid>
      <w:tr>
        <w:trPr/>
        <w:tc>
          <w:tcPr>
            <w:tcW w:w="3680" w:type="dxa"/>
            <w:tcBorders/>
            <w:vAlign w:val="center"/>
          </w:tcPr>
          <w:p>
            <w:pPr>
              <w:pStyle w:val="TableContents"/>
              <w:bidi w:val="0"/>
              <w:spacing w:before="0" w:after="0"/>
              <w:jc w:val="center"/>
              <w:rPr>
                <w:b/>
              </w:rPr>
            </w:pPr>
            <w:r>
              <w:rPr>
                <w:b/>
              </w:rPr>
              <w:t>Delaware</w:t>
            </w:r>
          </w:p>
        </w:tc>
        <w:tc>
          <w:tcPr>
            <w:tcW w:w="23" w:type="dxa"/>
            <w:tcBorders/>
            <w:vAlign w:val="center"/>
          </w:tcPr>
          <w:p>
            <w:pPr>
              <w:pStyle w:val="TableContents"/>
              <w:bidi w:val="0"/>
              <w:spacing w:before="0" w:after="283"/>
              <w:jc w:val="left"/>
              <w:rPr/>
            </w:pPr>
            <w:r>
              <w:rPr/>
            </w:r>
          </w:p>
        </w:tc>
        <w:tc>
          <w:tcPr>
            <w:tcW w:w="3395" w:type="dxa"/>
            <w:tcBorders/>
            <w:vAlign w:val="center"/>
          </w:tcPr>
          <w:p>
            <w:pPr>
              <w:pStyle w:val="TableContents"/>
              <w:bidi w:val="0"/>
              <w:spacing w:before="0" w:after="0"/>
              <w:jc w:val="center"/>
              <w:rPr>
                <w:b/>
              </w:rPr>
            </w:pPr>
            <w:r>
              <w:rPr>
                <w:b/>
              </w:rPr>
              <w:t>94-3290283</w:t>
            </w:r>
          </w:p>
        </w:tc>
      </w:tr>
      <w:tr>
        <w:trPr/>
        <w:tc>
          <w:tcPr>
            <w:tcW w:w="3680" w:type="dxa"/>
            <w:tcBorders/>
            <w:vAlign w:val="center"/>
          </w:tcPr>
          <w:p>
            <w:pPr>
              <w:pStyle w:val="TableContents"/>
              <w:bidi w:val="0"/>
              <w:spacing w:before="0" w:after="0"/>
              <w:jc w:val="center"/>
              <w:rPr>
                <w:i/>
              </w:rPr>
            </w:pPr>
            <w:r>
              <w:rPr>
                <w:i/>
              </w:rPr>
              <w:t>(State or other jurisdiction of</w:t>
            </w:r>
          </w:p>
        </w:tc>
        <w:tc>
          <w:tcPr>
            <w:tcW w:w="23" w:type="dxa"/>
            <w:tcBorders/>
            <w:vAlign w:val="center"/>
          </w:tcPr>
          <w:p>
            <w:pPr>
              <w:pStyle w:val="TableContents"/>
              <w:bidi w:val="0"/>
              <w:spacing w:before="0" w:after="283"/>
              <w:jc w:val="left"/>
              <w:rPr/>
            </w:pPr>
            <w:r>
              <w:rPr/>
            </w:r>
          </w:p>
        </w:tc>
        <w:tc>
          <w:tcPr>
            <w:tcW w:w="3395" w:type="dxa"/>
            <w:tcBorders/>
            <w:vAlign w:val="center"/>
          </w:tcPr>
          <w:p>
            <w:pPr>
              <w:pStyle w:val="TableContents"/>
              <w:bidi w:val="0"/>
              <w:spacing w:before="0" w:after="0"/>
              <w:jc w:val="center"/>
              <w:rPr>
                <w:i/>
              </w:rPr>
            </w:pPr>
            <w:r>
              <w:rPr>
                <w:i/>
              </w:rPr>
              <w:t>(I.R.S. Employer Identification No.)</w:t>
            </w:r>
          </w:p>
        </w:tc>
      </w:tr>
      <w:tr>
        <w:trPr/>
        <w:tc>
          <w:tcPr>
            <w:tcW w:w="3680" w:type="dxa"/>
            <w:tcBorders/>
            <w:vAlign w:val="center"/>
          </w:tcPr>
          <w:p>
            <w:pPr>
              <w:pStyle w:val="TableContents"/>
              <w:bidi w:val="0"/>
              <w:spacing w:before="0" w:after="0"/>
              <w:jc w:val="center"/>
              <w:rPr>
                <w:i/>
              </w:rPr>
            </w:pPr>
            <w:r>
              <w:rPr>
                <w:i/>
              </w:rPr>
              <w:t>incorporation or organization)</w:t>
            </w:r>
          </w:p>
        </w:tc>
        <w:tc>
          <w:tcPr>
            <w:tcW w:w="23" w:type="dxa"/>
            <w:tcBorders/>
            <w:vAlign w:val="center"/>
          </w:tcPr>
          <w:p>
            <w:pPr>
              <w:pStyle w:val="TableContents"/>
              <w:bidi w:val="0"/>
              <w:spacing w:before="0" w:after="283"/>
              <w:jc w:val="left"/>
              <w:rPr/>
            </w:pPr>
            <w:r>
              <w:rPr/>
            </w:r>
          </w:p>
        </w:tc>
        <w:tc>
          <w:tcPr>
            <w:tcW w:w="339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c>
          <w:tcPr>
            <w:tcW w:w="339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center"/>
              <w:rPr>
                <w:b/>
              </w:rPr>
            </w:pPr>
            <w:r>
              <w:rPr>
                <w:b/>
              </w:rPr>
              <w:t>42307 Osgood Road, Suite I</w:t>
            </w:r>
          </w:p>
        </w:tc>
        <w:tc>
          <w:tcPr>
            <w:tcW w:w="23" w:type="dxa"/>
            <w:tcBorders/>
            <w:vAlign w:val="center"/>
          </w:tcPr>
          <w:p>
            <w:pPr>
              <w:pStyle w:val="TableContents"/>
              <w:bidi w:val="0"/>
              <w:spacing w:before="0" w:after="283"/>
              <w:jc w:val="left"/>
              <w:rPr/>
            </w:pPr>
            <w:r>
              <w:rPr/>
            </w:r>
          </w:p>
        </w:tc>
        <w:tc>
          <w:tcPr>
            <w:tcW w:w="339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center"/>
              <w:rPr>
                <w:b/>
              </w:rPr>
            </w:pPr>
            <w:r>
              <w:rPr>
                <w:b/>
              </w:rPr>
              <w:t>Fremont, California</w:t>
            </w:r>
          </w:p>
        </w:tc>
        <w:tc>
          <w:tcPr>
            <w:tcW w:w="23" w:type="dxa"/>
            <w:tcBorders/>
            <w:vAlign w:val="center"/>
          </w:tcPr>
          <w:p>
            <w:pPr>
              <w:pStyle w:val="TableContents"/>
              <w:bidi w:val="0"/>
              <w:spacing w:before="0" w:after="283"/>
              <w:jc w:val="left"/>
              <w:rPr/>
            </w:pPr>
            <w:r>
              <w:rPr/>
            </w:r>
          </w:p>
        </w:tc>
        <w:tc>
          <w:tcPr>
            <w:tcW w:w="3395" w:type="dxa"/>
            <w:tcBorders/>
            <w:vAlign w:val="center"/>
          </w:tcPr>
          <w:p>
            <w:pPr>
              <w:pStyle w:val="TableContents"/>
              <w:bidi w:val="0"/>
              <w:spacing w:before="0" w:after="0"/>
              <w:jc w:val="center"/>
              <w:rPr>
                <w:b/>
              </w:rPr>
            </w:pPr>
            <w:r>
              <w:rPr>
                <w:b/>
              </w:rPr>
              <w:t>94539</w:t>
            </w:r>
          </w:p>
        </w:tc>
      </w:tr>
      <w:tr>
        <w:trPr/>
        <w:tc>
          <w:tcPr>
            <w:tcW w:w="3680" w:type="dxa"/>
            <w:tcBorders/>
            <w:vAlign w:val="center"/>
          </w:tcPr>
          <w:p>
            <w:pPr>
              <w:pStyle w:val="TableContents"/>
              <w:bidi w:val="0"/>
              <w:spacing w:before="0" w:after="0"/>
              <w:jc w:val="center"/>
              <w:rPr>
                <w:i/>
              </w:rPr>
            </w:pPr>
            <w:r>
              <w:rPr>
                <w:i/>
              </w:rPr>
              <w:t>(Address of principal executive offices)</w:t>
            </w:r>
          </w:p>
        </w:tc>
        <w:tc>
          <w:tcPr>
            <w:tcW w:w="23" w:type="dxa"/>
            <w:tcBorders/>
            <w:vAlign w:val="center"/>
          </w:tcPr>
          <w:p>
            <w:pPr>
              <w:pStyle w:val="TableContents"/>
              <w:bidi w:val="0"/>
              <w:spacing w:before="0" w:after="283"/>
              <w:jc w:val="left"/>
              <w:rPr/>
            </w:pPr>
            <w:r>
              <w:rPr/>
            </w:r>
          </w:p>
        </w:tc>
        <w:tc>
          <w:tcPr>
            <w:tcW w:w="3395" w:type="dxa"/>
            <w:tcBorders/>
            <w:vAlign w:val="center"/>
          </w:tcPr>
          <w:p>
            <w:pPr>
              <w:pStyle w:val="TableContents"/>
              <w:bidi w:val="0"/>
              <w:spacing w:before="0" w:after="0"/>
              <w:jc w:val="center"/>
              <w:rPr>
                <w:i/>
              </w:rPr>
            </w:pPr>
            <w:r>
              <w:rPr>
                <w:i/>
              </w:rPr>
              <w:t>(Zip code)</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2016 Omnibus Incentive Plan</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(Full title of the plan)</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H. Wang</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42307 Osgood Road, Suite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Fremont, California 94539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(510) 445-3700</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(Name, address, including zip code, and telephone number, including area code, of agent for service)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With a copy 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Michael A. Hedge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Jason C. Dreibelbis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K&amp;L Gates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 Park Plaza, Twelfth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Irvine, California 92614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(949) 253-0900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7f58954415c04df292609af9555da98b"/>
      <w:bookmarkStart w:id="5" w:name="z7f58954415c04df292609af9555da98b"/>
      <w:bookmarkEnd w:id="5"/>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0"/>
              <w:jc w:val="left"/>
              <w:rPr/>
            </w:pPr>
            <w:r>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pPr>
            <w:r>
              <w:rPr/>
              <w:t>Accelerated filer</w:t>
            </w:r>
          </w:p>
        </w:tc>
        <w:tc>
          <w:tcPr>
            <w:tcW w:w="245" w:type="dxa"/>
            <w:tcBorders/>
            <w:vAlign w:val="center"/>
          </w:tcPr>
          <w:p>
            <w:pPr>
              <w:pStyle w:val="TableContents"/>
              <w:bidi w:val="0"/>
              <w:spacing w:before="0" w:after="283"/>
              <w:jc w:val="right"/>
              <w:rPr/>
            </w:pPr>
            <w:r>
              <w:rPr/>
              <w:t>☐</w:t>
            </w:r>
          </w:p>
        </w:tc>
      </w:tr>
      <w:tr>
        <w:trPr/>
        <w:tc>
          <w:tcPr>
            <w:tcW w:w="2135" w:type="dxa"/>
            <w:tcBorders/>
            <w:vAlign w:val="center"/>
          </w:tcPr>
          <w:p>
            <w:pPr>
              <w:pStyle w:val="TableContents"/>
              <w:bidi w:val="0"/>
              <w:spacing w:before="0" w:after="0"/>
              <w:jc w:val="left"/>
              <w:rPr/>
            </w:pPr>
            <w:r>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pPr>
            <w:r>
              <w:rPr/>
              <w:t>Smaller reporting company</w:t>
            </w:r>
          </w:p>
        </w:tc>
        <w:tc>
          <w:tcPr>
            <w:tcW w:w="245" w:type="dxa"/>
            <w:tcBorders/>
            <w:vAlign w:val="center"/>
          </w:tcPr>
          <w:p>
            <w:pPr>
              <w:pStyle w:val="TableContents"/>
              <w:bidi w:val="0"/>
              <w:spacing w:before="0" w:after="283"/>
              <w:jc w:val="right"/>
              <w:rPr/>
            </w:pPr>
            <w:r>
              <w:rPr/>
              <w:t>☐</w:t>
            </w:r>
          </w:p>
        </w:tc>
      </w:tr>
      <w:tr>
        <w:trPr/>
        <w:tc>
          <w:tcPr>
            <w:tcW w:w="2365" w:type="dxa"/>
            <w:gridSpan w:val="2"/>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pPr>
            <w:r>
              <w:rPr/>
              <w:t>Emerging growth company</w:t>
            </w:r>
          </w:p>
        </w:tc>
        <w:tc>
          <w:tcPr>
            <w:tcW w:w="245" w:type="dxa"/>
            <w:tcBorders/>
            <w:vAlign w:val="center"/>
          </w:tcPr>
          <w:p>
            <w:pPr>
              <w:pStyle w:val="TableContents"/>
              <w:bidi w:val="0"/>
              <w:spacing w:before="0" w:after="283"/>
              <w:jc w:val="righ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STATEMENT OF INCORPORATION BY REFERENCE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Registration Statement on Form S-8 relating to the 2016 Omnibus Incentive Plan of the registrant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the contents of the Registration Statement on Form S-8, File No. 333-222702, filed by the registrant with the Securities and Exchange Commission on January 25, 2018.</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94bd866ee50d480fbb40f59518a24a67"/>
      <w:bookmarkStart w:id="7" w:name="z94bd866ee50d480fbb40f59518a24a67"/>
      <w:bookmarkEnd w:id="7"/>
    </w:p>
    <w:tbl>
      <w:tblPr>
        <w:tblW w:w="10205" w:type="dxa"/>
        <w:jc w:val="left"/>
        <w:tblInd w:w="0" w:type="dxa"/>
        <w:tblLayout w:type="fixed"/>
        <w:tblCellMar>
          <w:top w:w="0" w:type="dxa"/>
          <w:left w:w="0" w:type="dxa"/>
          <w:bottom w:w="28" w:type="dxa"/>
          <w:right w:w="0" w:type="dxa"/>
        </w:tblCellMar>
      </w:tblPr>
      <w:tblGrid>
        <w:gridCol w:w="1216"/>
        <w:gridCol w:w="60"/>
        <w:gridCol w:w="8929"/>
      </w:tblGrid>
      <w:tr>
        <w:trPr/>
        <w:tc>
          <w:tcPr>
            <w:tcW w:w="1216" w:type="dxa"/>
            <w:tcBorders>
              <w:bottom w:val="single" w:sz="12" w:space="0" w:color="000000"/>
            </w:tcBorders>
            <w:vAlign w:val="center"/>
          </w:tcPr>
          <w:p>
            <w:pPr>
              <w:pStyle w:val="TableContents"/>
              <w:bidi w:val="0"/>
              <w:spacing w:before="0" w:after="0"/>
              <w:jc w:val="center"/>
              <w:rPr>
                <w:b/>
                <w:color w:val="000000"/>
              </w:rPr>
            </w:pPr>
            <w:r>
              <w:rPr>
                <w:b/>
                <w:color w:val="000000"/>
              </w:rPr>
              <w:t>Exhibit Number</w:t>
            </w:r>
          </w:p>
        </w:tc>
        <w:tc>
          <w:tcPr>
            <w:tcW w:w="60" w:type="dxa"/>
            <w:tcBorders/>
            <w:tcMar>
              <w:bottom w:w="0" w:type="dxa"/>
            </w:tcMar>
            <w:vAlign w:val="center"/>
          </w:tcPr>
          <w:p>
            <w:pPr>
              <w:pStyle w:val="TableContents"/>
              <w:bidi w:val="0"/>
              <w:spacing w:before="0" w:after="283"/>
              <w:jc w:val="left"/>
              <w:rPr/>
            </w:pPr>
            <w:r>
              <w:rPr/>
              <w:t> </w:t>
            </w:r>
          </w:p>
        </w:tc>
        <w:tc>
          <w:tcPr>
            <w:tcW w:w="8929"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12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29" w:type="dxa"/>
            <w:tcBorders/>
            <w:tcMar>
              <w:bottom w:w="0" w:type="dxa"/>
            </w:tcMar>
            <w:vAlign w:val="center"/>
          </w:tcPr>
          <w:p>
            <w:pPr>
              <w:pStyle w:val="TableContents"/>
              <w:bidi w:val="0"/>
              <w:spacing w:before="0" w:after="283"/>
              <w:jc w:val="left"/>
              <w:rPr/>
            </w:pPr>
            <w:r>
              <w:rPr/>
              <w:t> </w:t>
            </w:r>
          </w:p>
        </w:tc>
      </w:tr>
      <w:tr>
        <w:trPr/>
        <w:tc>
          <w:tcPr>
            <w:tcW w:w="1216" w:type="dxa"/>
            <w:tcBorders/>
            <w:shd w:fill="CCEEFF" w:val="clear"/>
            <w:tcMar>
              <w:bottom w:w="0" w:type="dxa"/>
            </w:tcMar>
            <w:vAlign w:val="center"/>
          </w:tcPr>
          <w:p>
            <w:pPr>
              <w:pStyle w:val="TableContents"/>
              <w:bidi w:val="0"/>
              <w:spacing w:before="0" w:after="0"/>
              <w:jc w:val="left"/>
              <w:rPr/>
            </w:pPr>
            <w:hyperlink r:id="rId2">
              <w:r>
                <w:rPr>
                  <w:rStyle w:val="InternetLink"/>
                  <w:color w:val="000000"/>
                </w:rPr>
                <w:t>4.1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29" w:type="dxa"/>
            <w:tcBorders/>
            <w:shd w:fill="CCEEFF" w:val="clear"/>
            <w:tcMar>
              <w:bottom w:w="0" w:type="dxa"/>
            </w:tcMar>
            <w:vAlign w:val="center"/>
          </w:tcPr>
          <w:p>
            <w:pPr>
              <w:pStyle w:val="TableContents"/>
              <w:bidi w:val="0"/>
              <w:spacing w:before="0" w:after="0"/>
              <w:jc w:val="left"/>
              <w:rPr/>
            </w:pPr>
            <w:r>
              <w:rPr/>
              <w:t>Restated Certificate of Incorporation of ACM Research, Inc. (incorporated herein by reference to Exhibit 3.01 to the Current Report on Form 8-K filed on November 14, 2017)</w:t>
            </w:r>
          </w:p>
        </w:tc>
      </w:tr>
      <w:tr>
        <w:trPr/>
        <w:tc>
          <w:tcPr>
            <w:tcW w:w="1216" w:type="dxa"/>
            <w:tcBorders/>
            <w:tcMar>
              <w:bottom w:w="0" w:type="dxa"/>
            </w:tcMar>
            <w:vAlign w:val="center"/>
          </w:tcPr>
          <w:p>
            <w:pPr>
              <w:pStyle w:val="TableContents"/>
              <w:bidi w:val="0"/>
              <w:spacing w:before="0" w:after="0"/>
              <w:jc w:val="left"/>
              <w:rPr/>
            </w:pPr>
            <w:hyperlink r:id="rId3">
              <w:r>
                <w:rPr>
                  <w:rStyle w:val="InternetLink"/>
                  <w:color w:val="000000"/>
                </w:rPr>
                <w:t>4.2</w:t>
              </w:r>
            </w:hyperlink>
          </w:p>
        </w:tc>
        <w:tc>
          <w:tcPr>
            <w:tcW w:w="60" w:type="dxa"/>
            <w:tcBorders/>
            <w:tcMar>
              <w:bottom w:w="0" w:type="dxa"/>
            </w:tcMar>
            <w:vAlign w:val="center"/>
          </w:tcPr>
          <w:p>
            <w:pPr>
              <w:pStyle w:val="TableContents"/>
              <w:bidi w:val="0"/>
              <w:spacing w:before="0" w:after="283"/>
              <w:jc w:val="left"/>
              <w:rPr/>
            </w:pPr>
            <w:r>
              <w:rPr/>
              <w:t> </w:t>
            </w:r>
          </w:p>
        </w:tc>
        <w:tc>
          <w:tcPr>
            <w:tcW w:w="8929" w:type="dxa"/>
            <w:tcBorders/>
            <w:tcMar>
              <w:bottom w:w="0" w:type="dxa"/>
            </w:tcMar>
            <w:vAlign w:val="center"/>
          </w:tcPr>
          <w:p>
            <w:pPr>
              <w:pStyle w:val="TableContents"/>
              <w:bidi w:val="0"/>
              <w:spacing w:before="0" w:after="0"/>
              <w:jc w:val="left"/>
              <w:rPr/>
            </w:pPr>
            <w:r>
              <w:rPr/>
              <w:t>Certificate of Amendment to Restated Certificate of Incorporation of ACM Research, Inc., dated July 13, 2021 (incorporated herein by reference to Exhibit 3.01 to the Current Report filed on July 13, 2021)</w:t>
            </w:r>
          </w:p>
        </w:tc>
      </w:tr>
      <w:tr>
        <w:trPr/>
        <w:tc>
          <w:tcPr>
            <w:tcW w:w="1216" w:type="dxa"/>
            <w:tcBorders/>
            <w:shd w:fill="CCEEFF" w:val="clear"/>
            <w:tcMar>
              <w:bottom w:w="0" w:type="dxa"/>
            </w:tcMar>
            <w:vAlign w:val="center"/>
          </w:tcPr>
          <w:p>
            <w:pPr>
              <w:pStyle w:val="TableContents"/>
              <w:bidi w:val="0"/>
              <w:spacing w:before="0" w:after="0"/>
              <w:jc w:val="left"/>
              <w:rPr/>
            </w:pPr>
            <w:hyperlink r:id="rId4">
              <w:r>
                <w:rPr>
                  <w:rStyle w:val="InternetLink"/>
                  <w:color w:val="000000"/>
                </w:rPr>
                <w:t>4.3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29" w:type="dxa"/>
            <w:tcBorders/>
            <w:shd w:fill="CCEEFF" w:val="clear"/>
            <w:tcMar>
              <w:bottom w:w="0" w:type="dxa"/>
            </w:tcMar>
            <w:vAlign w:val="center"/>
          </w:tcPr>
          <w:p>
            <w:pPr>
              <w:pStyle w:val="TableContents"/>
              <w:bidi w:val="0"/>
              <w:spacing w:before="0" w:after="0"/>
              <w:jc w:val="left"/>
              <w:rPr/>
            </w:pPr>
            <w:r>
              <w:rPr/>
              <w:t>Restated Bylaws of ACM Research, Inc. (incorporated herein by reference to Exhibit 3.02 to the Current Report on Form 8-K filed on November 14, 2017)</w:t>
            </w:r>
          </w:p>
        </w:tc>
      </w:tr>
      <w:tr>
        <w:trPr/>
        <w:tc>
          <w:tcPr>
            <w:tcW w:w="1216" w:type="dxa"/>
            <w:tcBorders/>
            <w:tcMar>
              <w:bottom w:w="0" w:type="dxa"/>
            </w:tcMar>
            <w:vAlign w:val="center"/>
          </w:tcPr>
          <w:p>
            <w:pPr>
              <w:pStyle w:val="TableContents"/>
              <w:bidi w:val="0"/>
              <w:spacing w:before="0" w:after="0"/>
              <w:jc w:val="left"/>
              <w:rPr/>
            </w:pPr>
            <w:hyperlink w:anchor="ef20044772_ex5-1.htm">
              <w:r>
                <w:rPr>
                  <w:rStyle w:val="InternetLink"/>
                  <w:color w:val="000000"/>
                </w:rPr>
                <w:t>5.1</w:t>
              </w:r>
            </w:hyperlink>
          </w:p>
        </w:tc>
        <w:tc>
          <w:tcPr>
            <w:tcW w:w="60" w:type="dxa"/>
            <w:tcBorders/>
            <w:tcMar>
              <w:bottom w:w="0" w:type="dxa"/>
            </w:tcMar>
            <w:vAlign w:val="center"/>
          </w:tcPr>
          <w:p>
            <w:pPr>
              <w:pStyle w:val="TableContents"/>
              <w:bidi w:val="0"/>
              <w:spacing w:before="0" w:after="283"/>
              <w:jc w:val="left"/>
              <w:rPr/>
            </w:pPr>
            <w:r>
              <w:rPr/>
              <w:t> </w:t>
            </w:r>
          </w:p>
        </w:tc>
        <w:tc>
          <w:tcPr>
            <w:tcW w:w="8929" w:type="dxa"/>
            <w:tcBorders/>
            <w:tcMar>
              <w:bottom w:w="0" w:type="dxa"/>
            </w:tcMar>
            <w:vAlign w:val="center"/>
          </w:tcPr>
          <w:p>
            <w:pPr>
              <w:pStyle w:val="TableContents"/>
              <w:bidi w:val="0"/>
              <w:spacing w:before="0" w:after="0"/>
              <w:jc w:val="left"/>
              <w:rPr/>
            </w:pPr>
            <w:r>
              <w:rPr/>
              <w:t>Opinion of K&amp;L Gates LLP</w:t>
            </w:r>
          </w:p>
        </w:tc>
      </w:tr>
      <w:tr>
        <w:trPr/>
        <w:tc>
          <w:tcPr>
            <w:tcW w:w="1216" w:type="dxa"/>
            <w:tcBorders/>
            <w:shd w:fill="CCEEFF" w:val="clear"/>
            <w:tcMar>
              <w:bottom w:w="0" w:type="dxa"/>
            </w:tcMar>
            <w:vAlign w:val="center"/>
          </w:tcPr>
          <w:p>
            <w:pPr>
              <w:pStyle w:val="TableContents"/>
              <w:bidi w:val="0"/>
              <w:spacing w:before="0" w:after="0"/>
              <w:jc w:val="left"/>
              <w:rPr/>
            </w:pPr>
            <w:hyperlink w:anchor="ef20044772_ex23-1.htm">
              <w:r>
                <w:rPr>
                  <w:rStyle w:val="InternetLink"/>
                  <w:color w:val="000000"/>
                </w:rPr>
                <w:t>23.1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29" w:type="dxa"/>
            <w:tcBorders/>
            <w:shd w:fill="CCEEFF" w:val="clear"/>
            <w:tcMar>
              <w:bottom w:w="0" w:type="dxa"/>
            </w:tcMar>
            <w:vAlign w:val="center"/>
          </w:tcPr>
          <w:p>
            <w:pPr>
              <w:pStyle w:val="TableContents"/>
              <w:bidi w:val="0"/>
              <w:spacing w:before="0" w:after="0"/>
              <w:jc w:val="left"/>
              <w:rPr/>
            </w:pPr>
            <w:r>
              <w:rPr/>
              <w:t>Consent of Ernst &amp; Young Hua Ming LLP</w:t>
            </w:r>
          </w:p>
        </w:tc>
      </w:tr>
      <w:tr>
        <w:trPr/>
        <w:tc>
          <w:tcPr>
            <w:tcW w:w="1216" w:type="dxa"/>
            <w:tcBorders/>
            <w:tcMar>
              <w:bottom w:w="0" w:type="dxa"/>
            </w:tcMar>
            <w:vAlign w:val="center"/>
          </w:tcPr>
          <w:p>
            <w:pPr>
              <w:pStyle w:val="TableContents"/>
              <w:bidi w:val="0"/>
              <w:spacing w:before="0" w:after="0"/>
              <w:jc w:val="left"/>
              <w:rPr/>
            </w:pPr>
            <w:hyperlink w:anchor="ef20044772_ex23-2.htm">
              <w:r>
                <w:rPr>
                  <w:rStyle w:val="InternetLink"/>
                  <w:color w:val="000000"/>
                </w:rPr>
                <w:t>23.2</w:t>
              </w:r>
            </w:hyperlink>
          </w:p>
        </w:tc>
        <w:tc>
          <w:tcPr>
            <w:tcW w:w="60" w:type="dxa"/>
            <w:tcBorders/>
            <w:tcMar>
              <w:bottom w:w="0" w:type="dxa"/>
            </w:tcMar>
            <w:vAlign w:val="center"/>
          </w:tcPr>
          <w:p>
            <w:pPr>
              <w:pStyle w:val="TableContents"/>
              <w:bidi w:val="0"/>
              <w:spacing w:before="0" w:after="283"/>
              <w:jc w:val="left"/>
              <w:rPr/>
            </w:pPr>
            <w:r>
              <w:rPr/>
              <w:t> </w:t>
            </w:r>
          </w:p>
        </w:tc>
        <w:tc>
          <w:tcPr>
            <w:tcW w:w="8929" w:type="dxa"/>
            <w:tcBorders/>
            <w:tcMar>
              <w:bottom w:w="0" w:type="dxa"/>
            </w:tcMar>
            <w:vAlign w:val="center"/>
          </w:tcPr>
          <w:p>
            <w:pPr>
              <w:pStyle w:val="TableContents"/>
              <w:bidi w:val="0"/>
              <w:spacing w:before="0" w:after="0"/>
              <w:jc w:val="left"/>
              <w:rPr/>
            </w:pPr>
            <w:r>
              <w:rPr/>
              <w:t>Consent of Armanino LLP</w:t>
            </w:r>
          </w:p>
        </w:tc>
      </w:tr>
      <w:tr>
        <w:trPr/>
        <w:tc>
          <w:tcPr>
            <w:tcW w:w="1216" w:type="dxa"/>
            <w:tcBorders/>
            <w:shd w:fill="CCEEFF" w:val="clear"/>
            <w:tcMar>
              <w:bottom w:w="0" w:type="dxa"/>
            </w:tcMar>
            <w:vAlign w:val="center"/>
          </w:tcPr>
          <w:p>
            <w:pPr>
              <w:pStyle w:val="TableContents"/>
              <w:bidi w:val="0"/>
              <w:spacing w:before="0" w:after="0"/>
              <w:jc w:val="left"/>
              <w:rPr/>
            </w:pPr>
            <w:hyperlink w:anchor="ef20044772_ex5-1.htm">
              <w:r>
                <w:rPr>
                  <w:rStyle w:val="InternetLink"/>
                  <w:color w:val="000000"/>
                </w:rPr>
                <w:t>23.3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29" w:type="dxa"/>
            <w:tcBorders/>
            <w:shd w:fill="CCEEFF" w:val="clear"/>
            <w:tcMar>
              <w:bottom w:w="0" w:type="dxa"/>
            </w:tcMar>
            <w:vAlign w:val="center"/>
          </w:tcPr>
          <w:p>
            <w:pPr>
              <w:pStyle w:val="TableContents"/>
              <w:bidi w:val="0"/>
              <w:spacing w:before="0" w:after="0"/>
              <w:jc w:val="left"/>
              <w:rPr/>
            </w:pPr>
            <w:r>
              <w:rPr/>
              <w:t>Consent of K&amp;L Gates LLP (included in Exhibit 5.1)</w:t>
            </w:r>
          </w:p>
        </w:tc>
      </w:tr>
      <w:tr>
        <w:trPr/>
        <w:tc>
          <w:tcPr>
            <w:tcW w:w="1216" w:type="dxa"/>
            <w:tcBorders/>
            <w:tcMar>
              <w:bottom w:w="0" w:type="dxa"/>
            </w:tcMar>
            <w:vAlign w:val="center"/>
          </w:tcPr>
          <w:p>
            <w:pPr>
              <w:pStyle w:val="TableContents"/>
              <w:bidi w:val="0"/>
              <w:spacing w:before="0" w:after="0"/>
              <w:jc w:val="left"/>
              <w:rPr/>
            </w:pPr>
            <w:hyperlink w:anchor="POWEROFATTORNEY">
              <w:r>
                <w:rPr>
                  <w:rStyle w:val="InternetLink"/>
                  <w:color w:val="000000"/>
                </w:rPr>
                <w:t>24.1</w:t>
              </w:r>
            </w:hyperlink>
          </w:p>
        </w:tc>
        <w:tc>
          <w:tcPr>
            <w:tcW w:w="60" w:type="dxa"/>
            <w:tcBorders/>
            <w:tcMar>
              <w:bottom w:w="0" w:type="dxa"/>
            </w:tcMar>
            <w:vAlign w:val="center"/>
          </w:tcPr>
          <w:p>
            <w:pPr>
              <w:pStyle w:val="TableContents"/>
              <w:bidi w:val="0"/>
              <w:spacing w:before="0" w:after="283"/>
              <w:jc w:val="left"/>
              <w:rPr/>
            </w:pPr>
            <w:r>
              <w:rPr/>
              <w:t> </w:t>
            </w:r>
          </w:p>
        </w:tc>
        <w:tc>
          <w:tcPr>
            <w:tcW w:w="8929" w:type="dxa"/>
            <w:tcBorders/>
            <w:tcMar>
              <w:bottom w:w="0" w:type="dxa"/>
            </w:tcMar>
            <w:vAlign w:val="center"/>
          </w:tcPr>
          <w:p>
            <w:pPr>
              <w:pStyle w:val="TableContents"/>
              <w:bidi w:val="0"/>
              <w:spacing w:before="0" w:after="0"/>
              <w:jc w:val="left"/>
              <w:rPr/>
            </w:pPr>
            <w:r>
              <w:rPr/>
              <w:t>Power of Attorney (included on the signature page of this registration statement)</w:t>
            </w:r>
          </w:p>
        </w:tc>
      </w:tr>
      <w:tr>
        <w:trPr/>
        <w:tc>
          <w:tcPr>
            <w:tcW w:w="1216" w:type="dxa"/>
            <w:tcBorders/>
            <w:shd w:fill="CCEEFF" w:val="clear"/>
            <w:tcMar>
              <w:bottom w:w="0" w:type="dxa"/>
            </w:tcMar>
            <w:vAlign w:val="center"/>
          </w:tcPr>
          <w:p>
            <w:pPr>
              <w:pStyle w:val="TableContents"/>
              <w:bidi w:val="0"/>
              <w:spacing w:before="0" w:after="0"/>
              <w:jc w:val="left"/>
              <w:rPr/>
            </w:pPr>
            <w:hyperlink r:id="rId5">
              <w:r>
                <w:rPr>
                  <w:rStyle w:val="InternetLink"/>
                  <w:color w:val="00000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29" w:type="dxa"/>
            <w:tcBorders/>
            <w:shd w:fill="CCEEFF" w:val="clear"/>
            <w:tcMar>
              <w:bottom w:w="0" w:type="dxa"/>
            </w:tcMar>
            <w:vAlign w:val="center"/>
          </w:tcPr>
          <w:p>
            <w:pPr>
              <w:pStyle w:val="TableContents"/>
              <w:bidi w:val="0"/>
              <w:spacing w:before="0" w:after="0"/>
              <w:jc w:val="left"/>
              <w:rPr/>
            </w:pPr>
            <w:r>
              <w:rPr/>
              <w:t>ACM Research, Inc. 2016 Omnibus Incentive Plan (incorporated herein by reference to Exhibit 10.01 to the Quarterly Report on Form 10-Q filed on December 8, 2017)</w:t>
            </w:r>
          </w:p>
        </w:tc>
      </w:tr>
      <w:tr>
        <w:trPr/>
        <w:tc>
          <w:tcPr>
            <w:tcW w:w="1216" w:type="dxa"/>
            <w:tcBorders/>
            <w:tcMar>
              <w:bottom w:w="0" w:type="dxa"/>
            </w:tcMar>
            <w:vAlign w:val="center"/>
          </w:tcPr>
          <w:p>
            <w:pPr>
              <w:pStyle w:val="TableContents"/>
              <w:bidi w:val="0"/>
              <w:spacing w:before="0" w:after="0"/>
              <w:jc w:val="left"/>
              <w:rPr/>
            </w:pPr>
            <w:hyperlink w:anchor="ef20044772_ex107.htm">
              <w:r>
                <w:rPr>
                  <w:rStyle w:val="InternetLink"/>
                </w:rPr>
                <w:t>107</w:t>
              </w:r>
            </w:hyperlink>
          </w:p>
        </w:tc>
        <w:tc>
          <w:tcPr>
            <w:tcW w:w="60" w:type="dxa"/>
            <w:tcBorders/>
            <w:tcMar>
              <w:bottom w:w="0" w:type="dxa"/>
            </w:tcMar>
            <w:vAlign w:val="center"/>
          </w:tcPr>
          <w:p>
            <w:pPr>
              <w:pStyle w:val="TableContents"/>
              <w:bidi w:val="0"/>
              <w:spacing w:before="0" w:after="283"/>
              <w:jc w:val="left"/>
              <w:rPr/>
            </w:pPr>
            <w:r>
              <w:rPr/>
              <w:t> </w:t>
            </w:r>
          </w:p>
        </w:tc>
        <w:tc>
          <w:tcPr>
            <w:tcW w:w="8929" w:type="dxa"/>
            <w:tcBorders/>
            <w:tcMar>
              <w:bottom w:w="0" w:type="dxa"/>
            </w:tcMar>
            <w:vAlign w:val="center"/>
          </w:tcPr>
          <w:p>
            <w:pPr>
              <w:pStyle w:val="TableContents"/>
              <w:bidi w:val="0"/>
              <w:spacing w:before="0" w:after="0"/>
              <w:jc w:val="left"/>
              <w:rPr/>
            </w:pPr>
            <w:r>
              <w:rPr/>
              <w:t>Filing Fee Table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March 3, 2025.</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4231b1f9d8f94e7f9090e09a9d0ad7a7"/>
      <w:bookmarkStart w:id="9" w:name="z4231b1f9d8f94e7f9090e09a9d0ad7a7"/>
      <w:bookmarkEnd w:id="9"/>
    </w:p>
    <w:tbl>
      <w:tblPr>
        <w:tblW w:w="6140" w:type="dxa"/>
        <w:jc w:val="left"/>
        <w:tblInd w:w="0" w:type="dxa"/>
        <w:tblLayout w:type="fixed"/>
        <w:tblCellMar>
          <w:top w:w="0" w:type="dxa"/>
          <w:left w:w="0" w:type="dxa"/>
          <w:bottom w:w="0" w:type="dxa"/>
          <w:right w:w="0" w:type="dxa"/>
        </w:tblCellMar>
      </w:tblPr>
      <w:tblGrid>
        <w:gridCol w:w="60"/>
        <w:gridCol w:w="6080"/>
      </w:tblGrid>
      <w:tr>
        <w:trPr/>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b/>
              </w:rPr>
            </w:pPr>
            <w:r>
              <w:rPr>
                <w:b/>
              </w:rPr>
              <w:t>ACM RESEARCH, INC.</w:t>
            </w:r>
          </w:p>
        </w:tc>
      </w:tr>
      <w:tr>
        <w:trPr/>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6080" w:type="dxa"/>
            <w:tcBorders>
              <w:bottom w:val="single" w:sz="12" w:space="0" w:color="000000"/>
            </w:tcBorders>
            <w:tcMar>
              <w:bottom w:w="28" w:type="dxa"/>
            </w:tcMar>
            <w:vAlign w:val="center"/>
          </w:tcPr>
          <w:p>
            <w:pPr>
              <w:pStyle w:val="TableContents"/>
              <w:bidi w:val="0"/>
              <w:spacing w:before="0" w:after="0"/>
              <w:jc w:val="left"/>
              <w:rPr/>
            </w:pPr>
            <w:r>
              <w:rPr/>
              <w:t>/s/ Mark A. McKechnie</w:t>
            </w:r>
          </w:p>
        </w:tc>
      </w:tr>
      <w:tr>
        <w:trPr/>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pPr>
            <w:r>
              <w:rPr/>
              <w:t>Mark A. McKechnie</w:t>
            </w:r>
          </w:p>
        </w:tc>
      </w:tr>
      <w:tr>
        <w:trPr/>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pPr>
            <w:r>
              <w:rPr/>
              <w:t>Chief Financial Officer, Executive Vice President and Treasurer</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bookmarkStart w:id="10" w:name="POWEROFATTORNEY"/>
      <w:bookmarkEnd w:id="10"/>
      <w:r>
        <w:rPr>
          <w:rFonts w:ascii="Times New Roman" w:hAnsi="Times New Roman"/>
          <w:b/>
          <w:color w:val="000000"/>
          <w:sz w:val="20"/>
        </w:rPr>
        <w:t>POWER OF ATTORNEY AND SIGNATURES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David H. Wang and Mark A.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below by the following persons on behalf of the registrant in the capacities and on the dates indicated.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 w:name="zb52762f0b0cf403ba199aacc63aef01d"/>
      <w:bookmarkStart w:id="12" w:name="zb52762f0b0cf403ba199aacc63aef01d"/>
      <w:bookmarkEnd w:id="12"/>
    </w:p>
    <w:tbl>
      <w:tblPr>
        <w:tblW w:w="10205" w:type="dxa"/>
        <w:jc w:val="left"/>
        <w:tblInd w:w="0" w:type="dxa"/>
        <w:tblLayout w:type="fixed"/>
        <w:tblCellMar>
          <w:top w:w="0" w:type="dxa"/>
          <w:left w:w="0" w:type="dxa"/>
          <w:bottom w:w="28" w:type="dxa"/>
          <w:right w:w="0" w:type="dxa"/>
        </w:tblCellMar>
      </w:tblPr>
      <w:tblGrid>
        <w:gridCol w:w="2207"/>
        <w:gridCol w:w="120"/>
        <w:gridCol w:w="6386"/>
        <w:gridCol w:w="120"/>
        <w:gridCol w:w="1372"/>
      </w:tblGrid>
      <w:tr>
        <w:trPr/>
        <w:tc>
          <w:tcPr>
            <w:tcW w:w="2207" w:type="dxa"/>
            <w:tcBorders>
              <w:bottom w:val="single" w:sz="12" w:space="0" w:color="000000"/>
            </w:tcBorders>
            <w:vAlign w:val="center"/>
          </w:tcPr>
          <w:p>
            <w:pPr>
              <w:pStyle w:val="TableContents"/>
              <w:bidi w:val="0"/>
              <w:spacing w:before="0" w:after="0"/>
              <w:jc w:val="left"/>
              <w:rPr>
                <w:b/>
              </w:rPr>
            </w:pPr>
            <w:r>
              <w:rPr>
                <w:b/>
              </w:rPr>
              <w:t>Signature</w:t>
            </w:r>
          </w:p>
        </w:tc>
        <w:tc>
          <w:tcPr>
            <w:tcW w:w="120" w:type="dxa"/>
            <w:tcBorders/>
            <w:tcMar>
              <w:bottom w:w="0" w:type="dxa"/>
            </w:tcMar>
            <w:vAlign w:val="center"/>
          </w:tcPr>
          <w:p>
            <w:pPr>
              <w:pStyle w:val="TableContents"/>
              <w:bidi w:val="0"/>
              <w:spacing w:before="0" w:after="283"/>
              <w:jc w:val="left"/>
              <w:rPr/>
            </w:pPr>
            <w:r>
              <w:rPr/>
              <w:t> </w:t>
            </w:r>
          </w:p>
        </w:tc>
        <w:tc>
          <w:tcPr>
            <w:tcW w:w="6386" w:type="dxa"/>
            <w:tcBorders>
              <w:bottom w:val="single" w:sz="12" w:space="0" w:color="000000"/>
            </w:tcBorders>
            <w:vAlign w:val="center"/>
          </w:tcPr>
          <w:p>
            <w:pPr>
              <w:pStyle w:val="TableContents"/>
              <w:bidi w:val="0"/>
              <w:spacing w:before="0" w:after="0"/>
              <w:jc w:val="left"/>
              <w:rPr>
                <w:b/>
              </w:rPr>
            </w:pPr>
            <w:r>
              <w:rPr>
                <w:b/>
              </w:rPr>
              <w:t>Title</w:t>
            </w:r>
          </w:p>
        </w:tc>
        <w:tc>
          <w:tcPr>
            <w:tcW w:w="120" w:type="dxa"/>
            <w:tcBorders/>
            <w:tcMar>
              <w:bottom w:w="0" w:type="dxa"/>
            </w:tcMar>
            <w:vAlign w:val="center"/>
          </w:tcPr>
          <w:p>
            <w:pPr>
              <w:pStyle w:val="TableContents"/>
              <w:bidi w:val="0"/>
              <w:spacing w:before="0" w:after="283"/>
              <w:jc w:val="left"/>
              <w:rPr/>
            </w:pPr>
            <w:r>
              <w:rPr/>
              <w:t> </w:t>
            </w:r>
          </w:p>
        </w:tc>
        <w:tc>
          <w:tcPr>
            <w:tcW w:w="1372" w:type="dxa"/>
            <w:tcBorders>
              <w:bottom w:val="single" w:sz="12" w:space="0" w:color="000000"/>
            </w:tcBorders>
            <w:vAlign w:val="center"/>
          </w:tcPr>
          <w:p>
            <w:pPr>
              <w:pStyle w:val="TableContents"/>
              <w:bidi w:val="0"/>
              <w:spacing w:before="0" w:after="0"/>
              <w:jc w:val="left"/>
              <w:rPr>
                <w:b/>
              </w:rPr>
            </w:pPr>
            <w:r>
              <w:rPr>
                <w:b/>
              </w:rPr>
              <w:t>Date</w:t>
            </w:r>
          </w:p>
        </w:tc>
      </w:tr>
      <w:tr>
        <w:trPr/>
        <w:tc>
          <w:tcPr>
            <w:tcW w:w="2207"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6386"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left"/>
              <w:rPr/>
            </w:pPr>
            <w:r>
              <w:rPr/>
              <w:t> </w:t>
            </w:r>
          </w:p>
        </w:tc>
      </w:tr>
      <w:tr>
        <w:trPr/>
        <w:tc>
          <w:tcPr>
            <w:tcW w:w="2207" w:type="dxa"/>
            <w:tcBorders>
              <w:bottom w:val="single" w:sz="12" w:space="0" w:color="000000"/>
            </w:tcBorders>
            <w:vAlign w:val="center"/>
          </w:tcPr>
          <w:p>
            <w:pPr>
              <w:pStyle w:val="TableContents"/>
              <w:bidi w:val="0"/>
              <w:spacing w:before="0" w:after="0"/>
              <w:jc w:val="left"/>
              <w:rPr/>
            </w:pPr>
            <w:r>
              <w:rPr/>
              <w:t>/s/ David H. Wang</w:t>
            </w:r>
          </w:p>
        </w:tc>
        <w:tc>
          <w:tcPr>
            <w:tcW w:w="120" w:type="dxa"/>
            <w:vMerge w:val="restart"/>
            <w:tcBorders/>
            <w:tcMar>
              <w:bottom w:w="0" w:type="dxa"/>
            </w:tcMar>
            <w:vAlign w:val="center"/>
          </w:tcPr>
          <w:p>
            <w:pPr>
              <w:pStyle w:val="TableContents"/>
              <w:bidi w:val="0"/>
              <w:spacing w:before="0" w:after="283"/>
              <w:jc w:val="left"/>
              <w:rPr/>
            </w:pPr>
            <w:r>
              <w:rPr/>
              <w:t>  </w:t>
            </w:r>
          </w:p>
        </w:tc>
        <w:tc>
          <w:tcPr>
            <w:tcW w:w="6386" w:type="dxa"/>
            <w:vMerge w:val="restart"/>
            <w:tcBorders/>
            <w:tcMar>
              <w:bottom w:w="0" w:type="dxa"/>
            </w:tcMar>
            <w:vAlign w:val="center"/>
          </w:tcPr>
          <w:p>
            <w:pPr>
              <w:pStyle w:val="TableContents"/>
              <w:bidi w:val="0"/>
              <w:spacing w:before="0" w:after="0"/>
              <w:jc w:val="left"/>
              <w:rPr/>
            </w:pPr>
            <w:r>
              <w:rPr/>
              <w:t>Chief Executive Officer, President and Chair of the Board of Directors</w:t>
            </w:r>
          </w:p>
          <w:p>
            <w:pPr>
              <w:pStyle w:val="TableContents"/>
              <w:bidi w:val="0"/>
              <w:spacing w:before="0" w:after="0"/>
              <w:jc w:val="left"/>
              <w:rPr>
                <w:i/>
              </w:rPr>
            </w:pPr>
            <w:r>
              <w:rPr>
                <w:i/>
              </w:rPr>
              <w:t>(Principal Executive Officer)</w:t>
            </w:r>
          </w:p>
        </w:tc>
        <w:tc>
          <w:tcPr>
            <w:tcW w:w="120" w:type="dxa"/>
            <w:vMerge w:val="restart"/>
            <w:tcBorders/>
            <w:tcMar>
              <w:bottom w:w="0" w:type="dxa"/>
            </w:tcMar>
            <w:vAlign w:val="center"/>
          </w:tcPr>
          <w:p>
            <w:pPr>
              <w:pStyle w:val="TableContents"/>
              <w:bidi w:val="0"/>
              <w:spacing w:before="0" w:after="283"/>
              <w:jc w:val="left"/>
              <w:rPr/>
            </w:pPr>
            <w:r>
              <w:rPr/>
              <w:t>  </w:t>
            </w:r>
          </w:p>
        </w:tc>
        <w:tc>
          <w:tcPr>
            <w:tcW w:w="1372" w:type="dxa"/>
            <w:vMerge w:val="restart"/>
            <w:tcBorders/>
            <w:tcMar>
              <w:bottom w:w="0" w:type="dxa"/>
            </w:tcMar>
            <w:vAlign w:val="center"/>
          </w:tcPr>
          <w:p>
            <w:pPr>
              <w:pStyle w:val="TableContents"/>
              <w:bidi w:val="0"/>
              <w:spacing w:before="0" w:after="0"/>
              <w:jc w:val="left"/>
              <w:rPr/>
            </w:pPr>
            <w:r>
              <w:rPr/>
              <w:t>March 3, 2025</w:t>
            </w:r>
          </w:p>
          <w:p>
            <w:pPr>
              <w:pStyle w:val="TableContents"/>
              <w:bidi w:val="0"/>
              <w:spacing w:before="0" w:after="0"/>
              <w:jc w:val="left"/>
              <w:rPr/>
            </w:pPr>
            <w:r>
              <w:rPr/>
            </w:r>
          </w:p>
        </w:tc>
      </w:tr>
      <w:tr>
        <w:trPr/>
        <w:tc>
          <w:tcPr>
            <w:tcW w:w="2207" w:type="dxa"/>
            <w:tcBorders/>
            <w:tcMar>
              <w:bottom w:w="0" w:type="dxa"/>
            </w:tcMar>
            <w:vAlign w:val="center"/>
          </w:tcPr>
          <w:p>
            <w:pPr>
              <w:pStyle w:val="TableContents"/>
              <w:bidi w:val="0"/>
              <w:spacing w:before="0" w:after="0"/>
              <w:jc w:val="left"/>
              <w:rPr/>
            </w:pPr>
            <w:r>
              <w:rPr/>
              <w:t>David H Wang</w:t>
            </w:r>
          </w:p>
        </w:tc>
        <w:tc>
          <w:tcPr>
            <w:tcW w:w="120" w:type="dxa"/>
            <w:vMerge w:val="continue"/>
            <w:tcBorders/>
            <w:tcMar>
              <w:bottom w:w="0" w:type="dxa"/>
            </w:tcMar>
            <w:vAlign w:val="center"/>
          </w:tcPr>
          <w:p>
            <w:pPr>
              <w:pStyle w:val="Normal"/>
              <w:bidi w:val="0"/>
              <w:jc w:val="left"/>
              <w:rPr/>
            </w:pPr>
            <w:r>
              <w:rPr/>
            </w:r>
          </w:p>
        </w:tc>
        <w:tc>
          <w:tcPr>
            <w:tcW w:w="6386" w:type="dxa"/>
            <w:vMerge w:val="continue"/>
            <w:tcBorders/>
            <w:tcMar>
              <w:bottom w:w="0" w:type="dxa"/>
            </w:tcMar>
            <w:vAlign w:val="center"/>
          </w:tcPr>
          <w:p>
            <w:pPr>
              <w:pStyle w:val="Normal"/>
              <w:bidi w:val="0"/>
              <w:jc w:val="left"/>
              <w:rPr/>
            </w:pPr>
            <w:r>
              <w:rPr/>
            </w:r>
          </w:p>
        </w:tc>
        <w:tc>
          <w:tcPr>
            <w:tcW w:w="120" w:type="dxa"/>
            <w:vMerge w:val="continue"/>
            <w:tcBorders/>
            <w:tcMar>
              <w:bottom w:w="0" w:type="dxa"/>
            </w:tcMar>
            <w:vAlign w:val="center"/>
          </w:tcPr>
          <w:p>
            <w:pPr>
              <w:pStyle w:val="Normal"/>
              <w:bidi w:val="0"/>
              <w:jc w:val="left"/>
              <w:rPr/>
            </w:pPr>
            <w:r>
              <w:rPr/>
            </w:r>
          </w:p>
        </w:tc>
        <w:tc>
          <w:tcPr>
            <w:tcW w:w="1372" w:type="dxa"/>
            <w:vMerge w:val="continue"/>
            <w:tcBorders/>
            <w:tcMar>
              <w:bottom w:w="0" w:type="dxa"/>
            </w:tcMar>
            <w:vAlign w:val="center"/>
          </w:tcPr>
          <w:p>
            <w:pPr>
              <w:pStyle w:val="Normal"/>
              <w:bidi w:val="0"/>
              <w:jc w:val="left"/>
              <w:rPr/>
            </w:pPr>
            <w:r>
              <w:rPr/>
            </w:r>
          </w:p>
        </w:tc>
      </w:tr>
      <w:tr>
        <w:trPr/>
        <w:tc>
          <w:tcPr>
            <w:tcW w:w="2207" w:type="dxa"/>
            <w:tcBorders/>
            <w:tcMar>
              <w:bottom w:w="0" w:type="dxa"/>
            </w:tcMar>
            <w:vAlign w:val="center"/>
          </w:tcPr>
          <w:p>
            <w:pPr>
              <w:pStyle w:val="TableContents"/>
              <w:bidi w:val="0"/>
              <w:spacing w:before="0" w:after="283"/>
              <w:jc w:val="left"/>
              <w:rPr/>
            </w:pPr>
            <w:r>
              <w:rPr/>
            </w:r>
          </w:p>
        </w:tc>
        <w:tc>
          <w:tcPr>
            <w:tcW w:w="120" w:type="dxa"/>
            <w:tcBorders/>
            <w:tcMar>
              <w:bottom w:w="0" w:type="dxa"/>
            </w:tcMar>
            <w:vAlign w:val="center"/>
          </w:tcPr>
          <w:p>
            <w:pPr>
              <w:pStyle w:val="TableContents"/>
              <w:bidi w:val="0"/>
              <w:spacing w:before="0" w:after="283"/>
              <w:jc w:val="left"/>
              <w:rPr/>
            </w:pPr>
            <w:r>
              <w:rPr/>
              <w:t> </w:t>
            </w:r>
          </w:p>
        </w:tc>
        <w:tc>
          <w:tcPr>
            <w:tcW w:w="6386"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left"/>
              <w:rPr/>
            </w:pPr>
            <w:r>
              <w:rPr/>
              <w:t> </w:t>
            </w:r>
          </w:p>
        </w:tc>
      </w:tr>
      <w:tr>
        <w:trPr/>
        <w:tc>
          <w:tcPr>
            <w:tcW w:w="2207" w:type="dxa"/>
            <w:tcBorders>
              <w:bottom w:val="single" w:sz="12" w:space="0" w:color="000000"/>
            </w:tcBorders>
            <w:vAlign w:val="center"/>
          </w:tcPr>
          <w:p>
            <w:pPr>
              <w:pStyle w:val="TableContents"/>
              <w:bidi w:val="0"/>
              <w:spacing w:before="0" w:after="0"/>
              <w:jc w:val="left"/>
              <w:rPr/>
            </w:pPr>
            <w:r>
              <w:rPr/>
              <w:t>/s/ Mark A. McKechnie</w:t>
            </w:r>
          </w:p>
        </w:tc>
        <w:tc>
          <w:tcPr>
            <w:tcW w:w="120" w:type="dxa"/>
            <w:vMerge w:val="restart"/>
            <w:tcBorders/>
            <w:tcMar>
              <w:bottom w:w="0" w:type="dxa"/>
            </w:tcMar>
            <w:vAlign w:val="center"/>
          </w:tcPr>
          <w:p>
            <w:pPr>
              <w:pStyle w:val="TableContents"/>
              <w:bidi w:val="0"/>
              <w:spacing w:before="0" w:after="283"/>
              <w:jc w:val="left"/>
              <w:rPr/>
            </w:pPr>
            <w:r>
              <w:rPr/>
              <w:t>  </w:t>
            </w:r>
          </w:p>
        </w:tc>
        <w:tc>
          <w:tcPr>
            <w:tcW w:w="6386" w:type="dxa"/>
            <w:vMerge w:val="restart"/>
            <w:tcBorders/>
            <w:tcMar>
              <w:bottom w:w="0" w:type="dxa"/>
            </w:tcMar>
            <w:vAlign w:val="center"/>
          </w:tcPr>
          <w:p>
            <w:pPr>
              <w:pStyle w:val="TableContents"/>
              <w:bidi w:val="0"/>
              <w:spacing w:before="0" w:after="0"/>
              <w:jc w:val="left"/>
              <w:rPr/>
            </w:pPr>
            <w:r>
              <w:rPr/>
              <w:t xml:space="preserve">Chief Financial Officer, Executive Vice President and Treasurer </w:t>
            </w:r>
          </w:p>
          <w:p>
            <w:pPr>
              <w:pStyle w:val="TableContents"/>
              <w:bidi w:val="0"/>
              <w:spacing w:before="0" w:after="0"/>
              <w:jc w:val="left"/>
              <w:rPr>
                <w:i/>
              </w:rPr>
            </w:pPr>
            <w:r>
              <w:rPr>
                <w:i/>
              </w:rPr>
              <w:t>(Principal Financial and Accounting Officer)</w:t>
            </w:r>
          </w:p>
        </w:tc>
        <w:tc>
          <w:tcPr>
            <w:tcW w:w="120" w:type="dxa"/>
            <w:vMerge w:val="restart"/>
            <w:tcBorders/>
            <w:tcMar>
              <w:bottom w:w="0" w:type="dxa"/>
            </w:tcMar>
            <w:vAlign w:val="center"/>
          </w:tcPr>
          <w:p>
            <w:pPr>
              <w:pStyle w:val="TableContents"/>
              <w:bidi w:val="0"/>
              <w:spacing w:before="0" w:after="283"/>
              <w:jc w:val="left"/>
              <w:rPr/>
            </w:pPr>
            <w:r>
              <w:rPr/>
              <w:t>  </w:t>
            </w:r>
          </w:p>
        </w:tc>
        <w:tc>
          <w:tcPr>
            <w:tcW w:w="1372" w:type="dxa"/>
            <w:vMerge w:val="restart"/>
            <w:tcBorders/>
            <w:tcMar>
              <w:bottom w:w="0" w:type="dxa"/>
            </w:tcMar>
            <w:vAlign w:val="center"/>
          </w:tcPr>
          <w:p>
            <w:pPr>
              <w:pStyle w:val="TableContents"/>
              <w:bidi w:val="0"/>
              <w:spacing w:before="0" w:after="0"/>
              <w:jc w:val="left"/>
              <w:rPr/>
            </w:pPr>
            <w:r>
              <w:rPr/>
              <w:t>March 3, 2025</w:t>
            </w:r>
          </w:p>
          <w:p>
            <w:pPr>
              <w:pStyle w:val="TableContents"/>
              <w:bidi w:val="0"/>
              <w:spacing w:before="0" w:after="0"/>
              <w:jc w:val="left"/>
              <w:rPr/>
            </w:pPr>
            <w:r>
              <w:rPr/>
            </w:r>
          </w:p>
        </w:tc>
      </w:tr>
      <w:tr>
        <w:trPr/>
        <w:tc>
          <w:tcPr>
            <w:tcW w:w="2207" w:type="dxa"/>
            <w:tcBorders/>
            <w:tcMar>
              <w:bottom w:w="0" w:type="dxa"/>
            </w:tcMar>
            <w:vAlign w:val="center"/>
          </w:tcPr>
          <w:p>
            <w:pPr>
              <w:pStyle w:val="TableContents"/>
              <w:bidi w:val="0"/>
              <w:spacing w:before="0" w:after="0"/>
              <w:jc w:val="left"/>
              <w:rPr/>
            </w:pPr>
            <w:r>
              <w:rPr/>
              <w:t>Mark A. McKechnie</w:t>
            </w:r>
          </w:p>
        </w:tc>
        <w:tc>
          <w:tcPr>
            <w:tcW w:w="120" w:type="dxa"/>
            <w:vMerge w:val="continue"/>
            <w:tcBorders/>
            <w:tcMar>
              <w:bottom w:w="0" w:type="dxa"/>
            </w:tcMar>
            <w:vAlign w:val="center"/>
          </w:tcPr>
          <w:p>
            <w:pPr>
              <w:pStyle w:val="Normal"/>
              <w:bidi w:val="0"/>
              <w:jc w:val="left"/>
              <w:rPr/>
            </w:pPr>
            <w:r>
              <w:rPr/>
            </w:r>
          </w:p>
        </w:tc>
        <w:tc>
          <w:tcPr>
            <w:tcW w:w="6386" w:type="dxa"/>
            <w:vMerge w:val="continue"/>
            <w:tcBorders/>
            <w:tcMar>
              <w:bottom w:w="0" w:type="dxa"/>
            </w:tcMar>
            <w:vAlign w:val="center"/>
          </w:tcPr>
          <w:p>
            <w:pPr>
              <w:pStyle w:val="Normal"/>
              <w:bidi w:val="0"/>
              <w:jc w:val="left"/>
              <w:rPr/>
            </w:pPr>
            <w:r>
              <w:rPr/>
            </w:r>
          </w:p>
        </w:tc>
        <w:tc>
          <w:tcPr>
            <w:tcW w:w="120" w:type="dxa"/>
            <w:vMerge w:val="continue"/>
            <w:tcBorders/>
            <w:tcMar>
              <w:bottom w:w="0" w:type="dxa"/>
            </w:tcMar>
            <w:vAlign w:val="center"/>
          </w:tcPr>
          <w:p>
            <w:pPr>
              <w:pStyle w:val="Normal"/>
              <w:bidi w:val="0"/>
              <w:jc w:val="left"/>
              <w:rPr/>
            </w:pPr>
            <w:r>
              <w:rPr/>
            </w:r>
          </w:p>
        </w:tc>
        <w:tc>
          <w:tcPr>
            <w:tcW w:w="1372" w:type="dxa"/>
            <w:vMerge w:val="continue"/>
            <w:tcBorders/>
            <w:tcMar>
              <w:bottom w:w="0" w:type="dxa"/>
            </w:tcMar>
            <w:vAlign w:val="center"/>
          </w:tcPr>
          <w:p>
            <w:pPr>
              <w:pStyle w:val="Normal"/>
              <w:bidi w:val="0"/>
              <w:jc w:val="left"/>
              <w:rPr/>
            </w:pPr>
            <w:r>
              <w:rPr/>
            </w:r>
          </w:p>
        </w:tc>
      </w:tr>
      <w:tr>
        <w:trPr/>
        <w:tc>
          <w:tcPr>
            <w:tcW w:w="2207" w:type="dxa"/>
            <w:tcBorders/>
            <w:tcMar>
              <w:bottom w:w="0" w:type="dxa"/>
            </w:tcMar>
            <w:vAlign w:val="center"/>
          </w:tcPr>
          <w:p>
            <w:pPr>
              <w:pStyle w:val="TableContents"/>
              <w:bidi w:val="0"/>
              <w:spacing w:before="0" w:after="283"/>
              <w:jc w:val="left"/>
              <w:rPr/>
            </w:pPr>
            <w:r>
              <w:rPr/>
            </w:r>
          </w:p>
        </w:tc>
        <w:tc>
          <w:tcPr>
            <w:tcW w:w="120" w:type="dxa"/>
            <w:tcBorders/>
            <w:tcMar>
              <w:bottom w:w="0" w:type="dxa"/>
            </w:tcMar>
            <w:vAlign w:val="center"/>
          </w:tcPr>
          <w:p>
            <w:pPr>
              <w:pStyle w:val="TableContents"/>
              <w:bidi w:val="0"/>
              <w:spacing w:before="0" w:after="283"/>
              <w:jc w:val="left"/>
              <w:rPr/>
            </w:pPr>
            <w:r>
              <w:rPr/>
            </w:r>
          </w:p>
        </w:tc>
        <w:tc>
          <w:tcPr>
            <w:tcW w:w="6386" w:type="dxa"/>
            <w:tcBorders/>
            <w:tcMar>
              <w:bottom w:w="0" w:type="dxa"/>
            </w:tcMar>
            <w:vAlign w:val="center"/>
          </w:tcPr>
          <w:p>
            <w:pPr>
              <w:pStyle w:val="TableContents"/>
              <w:bidi w:val="0"/>
              <w:spacing w:before="0" w:after="283"/>
              <w:jc w:val="left"/>
              <w:rPr/>
            </w:pPr>
            <w:r>
              <w:rPr/>
            </w:r>
          </w:p>
        </w:tc>
        <w:tc>
          <w:tcPr>
            <w:tcW w:w="120" w:type="dxa"/>
            <w:tcBorders/>
            <w:tcMar>
              <w:bottom w:w="0" w:type="dxa"/>
            </w:tcMar>
            <w:vAlign w:val="center"/>
          </w:tcPr>
          <w:p>
            <w:pPr>
              <w:pStyle w:val="TableContents"/>
              <w:bidi w:val="0"/>
              <w:spacing w:before="0" w:after="283"/>
              <w:jc w:val="left"/>
              <w:rPr/>
            </w:pPr>
            <w:r>
              <w:rPr/>
            </w:r>
          </w:p>
        </w:tc>
        <w:tc>
          <w:tcPr>
            <w:tcW w:w="1372" w:type="dxa"/>
            <w:tcBorders/>
            <w:tcMar>
              <w:bottom w:w="0" w:type="dxa"/>
            </w:tcMar>
            <w:vAlign w:val="center"/>
          </w:tcPr>
          <w:p>
            <w:pPr>
              <w:pStyle w:val="TableContents"/>
              <w:bidi w:val="0"/>
              <w:spacing w:before="0" w:after="283"/>
              <w:jc w:val="left"/>
              <w:rPr/>
            </w:pPr>
            <w:r>
              <w:rPr/>
            </w:r>
          </w:p>
        </w:tc>
      </w:tr>
      <w:tr>
        <w:trPr/>
        <w:tc>
          <w:tcPr>
            <w:tcW w:w="2207" w:type="dxa"/>
            <w:tcBorders>
              <w:bottom w:val="single" w:sz="12" w:space="0" w:color="000000"/>
            </w:tcBorders>
            <w:vAlign w:val="center"/>
          </w:tcPr>
          <w:p>
            <w:pPr>
              <w:pStyle w:val="TableContents"/>
              <w:bidi w:val="0"/>
              <w:spacing w:before="0" w:after="0"/>
              <w:jc w:val="left"/>
              <w:rPr/>
            </w:pPr>
            <w:r>
              <w:rPr/>
              <w:t>/s/ Haiping Dun</w:t>
            </w:r>
          </w:p>
        </w:tc>
        <w:tc>
          <w:tcPr>
            <w:tcW w:w="120" w:type="dxa"/>
            <w:vMerge w:val="restart"/>
            <w:tcBorders/>
            <w:tcMar>
              <w:bottom w:w="0" w:type="dxa"/>
            </w:tcMar>
            <w:vAlign w:val="center"/>
          </w:tcPr>
          <w:p>
            <w:pPr>
              <w:pStyle w:val="TableContents"/>
              <w:bidi w:val="0"/>
              <w:spacing w:before="0" w:after="283"/>
              <w:jc w:val="left"/>
              <w:rPr/>
            </w:pPr>
            <w:r>
              <w:rPr/>
              <w:br/>
              <w:t> </w:t>
            </w:r>
          </w:p>
        </w:tc>
        <w:tc>
          <w:tcPr>
            <w:tcW w:w="6386" w:type="dxa"/>
            <w:vMerge w:val="restart"/>
            <w:tcBorders/>
            <w:tcMar>
              <w:bottom w:w="0" w:type="dxa"/>
            </w:tcMar>
            <w:vAlign w:val="center"/>
          </w:tcPr>
          <w:p>
            <w:pPr>
              <w:pStyle w:val="TableContents"/>
              <w:bidi w:val="0"/>
              <w:spacing w:before="0" w:after="0"/>
              <w:jc w:val="left"/>
              <w:rPr/>
            </w:pPr>
            <w:r>
              <w:rPr/>
              <w:t>Director</w:t>
            </w:r>
          </w:p>
          <w:p>
            <w:pPr>
              <w:pStyle w:val="TableContents"/>
              <w:bidi w:val="0"/>
              <w:spacing w:before="0" w:after="0"/>
              <w:jc w:val="left"/>
              <w:rPr/>
            </w:pPr>
            <w:r>
              <w:rPr/>
            </w:r>
          </w:p>
        </w:tc>
        <w:tc>
          <w:tcPr>
            <w:tcW w:w="120" w:type="dxa"/>
            <w:vMerge w:val="restart"/>
            <w:tcBorders/>
            <w:tcMar>
              <w:bottom w:w="0" w:type="dxa"/>
            </w:tcMar>
            <w:vAlign w:val="center"/>
          </w:tcPr>
          <w:p>
            <w:pPr>
              <w:pStyle w:val="TableContents"/>
              <w:bidi w:val="0"/>
              <w:spacing w:before="0" w:after="283"/>
              <w:jc w:val="left"/>
              <w:rPr/>
            </w:pPr>
            <w:r>
              <w:rPr/>
              <w:br/>
              <w:t> </w:t>
            </w:r>
          </w:p>
        </w:tc>
        <w:tc>
          <w:tcPr>
            <w:tcW w:w="1372" w:type="dxa"/>
            <w:vMerge w:val="restart"/>
            <w:tcBorders/>
            <w:tcMar>
              <w:bottom w:w="0" w:type="dxa"/>
            </w:tcMar>
            <w:vAlign w:val="center"/>
          </w:tcPr>
          <w:p>
            <w:pPr>
              <w:pStyle w:val="TableContents"/>
              <w:bidi w:val="0"/>
              <w:spacing w:before="0" w:after="0"/>
              <w:jc w:val="left"/>
              <w:rPr/>
            </w:pPr>
            <w:r>
              <w:rPr/>
              <w:t>March 3, 2025</w:t>
            </w:r>
          </w:p>
          <w:p>
            <w:pPr>
              <w:pStyle w:val="TableContents"/>
              <w:bidi w:val="0"/>
              <w:spacing w:before="0" w:after="0"/>
              <w:jc w:val="left"/>
              <w:rPr/>
            </w:pPr>
            <w:r>
              <w:rPr/>
            </w:r>
          </w:p>
        </w:tc>
      </w:tr>
      <w:tr>
        <w:trPr/>
        <w:tc>
          <w:tcPr>
            <w:tcW w:w="2207" w:type="dxa"/>
            <w:tcBorders/>
            <w:tcMar>
              <w:bottom w:w="0" w:type="dxa"/>
            </w:tcMar>
            <w:vAlign w:val="center"/>
          </w:tcPr>
          <w:p>
            <w:pPr>
              <w:pStyle w:val="TableContents"/>
              <w:bidi w:val="0"/>
              <w:spacing w:before="0" w:after="0"/>
              <w:jc w:val="left"/>
              <w:rPr/>
            </w:pPr>
            <w:r>
              <w:rPr/>
              <w:t>Haiping Dun</w:t>
            </w:r>
          </w:p>
        </w:tc>
        <w:tc>
          <w:tcPr>
            <w:tcW w:w="120" w:type="dxa"/>
            <w:vMerge w:val="continue"/>
            <w:tcBorders/>
            <w:tcMar>
              <w:bottom w:w="0" w:type="dxa"/>
            </w:tcMar>
            <w:vAlign w:val="center"/>
          </w:tcPr>
          <w:p>
            <w:pPr>
              <w:pStyle w:val="Normal"/>
              <w:bidi w:val="0"/>
              <w:jc w:val="left"/>
              <w:rPr/>
            </w:pPr>
            <w:r>
              <w:rPr/>
            </w:r>
          </w:p>
        </w:tc>
        <w:tc>
          <w:tcPr>
            <w:tcW w:w="6386" w:type="dxa"/>
            <w:vMerge w:val="continue"/>
            <w:tcBorders/>
            <w:tcMar>
              <w:bottom w:w="0" w:type="dxa"/>
            </w:tcMar>
            <w:vAlign w:val="center"/>
          </w:tcPr>
          <w:p>
            <w:pPr>
              <w:pStyle w:val="Normal"/>
              <w:bidi w:val="0"/>
              <w:jc w:val="left"/>
              <w:rPr/>
            </w:pPr>
            <w:r>
              <w:rPr/>
            </w:r>
          </w:p>
        </w:tc>
        <w:tc>
          <w:tcPr>
            <w:tcW w:w="120" w:type="dxa"/>
            <w:vMerge w:val="continue"/>
            <w:tcBorders/>
            <w:tcMar>
              <w:bottom w:w="0" w:type="dxa"/>
            </w:tcMar>
            <w:vAlign w:val="center"/>
          </w:tcPr>
          <w:p>
            <w:pPr>
              <w:pStyle w:val="Normal"/>
              <w:bidi w:val="0"/>
              <w:jc w:val="left"/>
              <w:rPr/>
            </w:pPr>
            <w:r>
              <w:rPr/>
            </w:r>
          </w:p>
        </w:tc>
        <w:tc>
          <w:tcPr>
            <w:tcW w:w="1372" w:type="dxa"/>
            <w:vMerge w:val="continue"/>
            <w:tcBorders/>
            <w:tcMar>
              <w:bottom w:w="0" w:type="dxa"/>
            </w:tcMar>
            <w:vAlign w:val="center"/>
          </w:tcPr>
          <w:p>
            <w:pPr>
              <w:pStyle w:val="Normal"/>
              <w:bidi w:val="0"/>
              <w:jc w:val="left"/>
              <w:rPr/>
            </w:pPr>
            <w:r>
              <w:rPr/>
            </w:r>
          </w:p>
        </w:tc>
      </w:tr>
      <w:tr>
        <w:trPr/>
        <w:tc>
          <w:tcPr>
            <w:tcW w:w="2207"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6386"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1372" w:type="dxa"/>
            <w:tcBorders/>
            <w:tcMar>
              <w:bottom w:w="0" w:type="dxa"/>
            </w:tcMar>
            <w:vAlign w:val="center"/>
          </w:tcPr>
          <w:p>
            <w:pPr>
              <w:pStyle w:val="TableContents"/>
              <w:bidi w:val="0"/>
              <w:spacing w:before="0" w:after="283"/>
              <w:jc w:val="left"/>
              <w:rPr/>
            </w:pPr>
            <w:r>
              <w:rPr/>
              <w:t> </w:t>
            </w:r>
          </w:p>
        </w:tc>
      </w:tr>
      <w:tr>
        <w:trPr/>
        <w:tc>
          <w:tcPr>
            <w:tcW w:w="2207" w:type="dxa"/>
            <w:tcBorders>
              <w:bottom w:val="single" w:sz="12" w:space="0" w:color="000000"/>
            </w:tcBorders>
            <w:vAlign w:val="center"/>
          </w:tcPr>
          <w:p>
            <w:pPr>
              <w:pStyle w:val="TableContents"/>
              <w:bidi w:val="0"/>
              <w:spacing w:before="0" w:after="0"/>
              <w:jc w:val="left"/>
              <w:rPr/>
            </w:pPr>
            <w:r>
              <w:rPr/>
              <w:t>/s/ Chenming Hu</w:t>
            </w:r>
          </w:p>
        </w:tc>
        <w:tc>
          <w:tcPr>
            <w:tcW w:w="120" w:type="dxa"/>
            <w:vMerge w:val="restart"/>
            <w:tcBorders/>
            <w:tcMar>
              <w:bottom w:w="0" w:type="dxa"/>
            </w:tcMar>
            <w:vAlign w:val="center"/>
          </w:tcPr>
          <w:p>
            <w:pPr>
              <w:pStyle w:val="TableContents"/>
              <w:bidi w:val="0"/>
              <w:spacing w:before="0" w:after="283"/>
              <w:jc w:val="left"/>
              <w:rPr/>
            </w:pPr>
            <w:r>
              <w:rPr/>
              <w:br/>
              <w:t> </w:t>
            </w:r>
          </w:p>
        </w:tc>
        <w:tc>
          <w:tcPr>
            <w:tcW w:w="6386" w:type="dxa"/>
            <w:vMerge w:val="restart"/>
            <w:tcBorders/>
            <w:tcMar>
              <w:bottom w:w="0" w:type="dxa"/>
            </w:tcMar>
            <w:vAlign w:val="center"/>
          </w:tcPr>
          <w:p>
            <w:pPr>
              <w:pStyle w:val="TableContents"/>
              <w:bidi w:val="0"/>
              <w:spacing w:before="0" w:after="283"/>
              <w:jc w:val="left"/>
              <w:rPr/>
            </w:pPr>
            <w:r>
              <w:rPr/>
              <w:t>Director</w:t>
            </w:r>
          </w:p>
        </w:tc>
        <w:tc>
          <w:tcPr>
            <w:tcW w:w="120" w:type="dxa"/>
            <w:vMerge w:val="restart"/>
            <w:tcBorders/>
            <w:tcMar>
              <w:bottom w:w="0" w:type="dxa"/>
            </w:tcMar>
            <w:vAlign w:val="center"/>
          </w:tcPr>
          <w:p>
            <w:pPr>
              <w:pStyle w:val="TableContents"/>
              <w:bidi w:val="0"/>
              <w:spacing w:before="0" w:after="283"/>
              <w:jc w:val="left"/>
              <w:rPr/>
            </w:pPr>
            <w:r>
              <w:rPr/>
              <w:br/>
              <w:t> </w:t>
            </w:r>
          </w:p>
        </w:tc>
        <w:tc>
          <w:tcPr>
            <w:tcW w:w="1372" w:type="dxa"/>
            <w:vMerge w:val="restart"/>
            <w:tcBorders/>
            <w:tcMar>
              <w:bottom w:w="0" w:type="dxa"/>
            </w:tcMar>
            <w:vAlign w:val="center"/>
          </w:tcPr>
          <w:p>
            <w:pPr>
              <w:pStyle w:val="TableContents"/>
              <w:bidi w:val="0"/>
              <w:spacing w:before="0" w:after="0"/>
              <w:jc w:val="left"/>
              <w:rPr/>
            </w:pPr>
            <w:r>
              <w:rPr/>
              <w:t>March 3, 2025</w:t>
            </w:r>
          </w:p>
          <w:p>
            <w:pPr>
              <w:pStyle w:val="TableContents"/>
              <w:bidi w:val="0"/>
              <w:spacing w:before="0" w:after="0"/>
              <w:jc w:val="left"/>
              <w:rPr/>
            </w:pPr>
            <w:r>
              <w:rPr/>
            </w:r>
          </w:p>
        </w:tc>
      </w:tr>
      <w:tr>
        <w:trPr/>
        <w:tc>
          <w:tcPr>
            <w:tcW w:w="2207" w:type="dxa"/>
            <w:tcBorders/>
            <w:tcMar>
              <w:bottom w:w="0" w:type="dxa"/>
            </w:tcMar>
            <w:vAlign w:val="center"/>
          </w:tcPr>
          <w:p>
            <w:pPr>
              <w:pStyle w:val="TableContents"/>
              <w:bidi w:val="0"/>
              <w:spacing w:before="0" w:after="0"/>
              <w:jc w:val="left"/>
              <w:rPr/>
            </w:pPr>
            <w:r>
              <w:rPr/>
              <w:t>Chenming Hu</w:t>
            </w:r>
          </w:p>
        </w:tc>
        <w:tc>
          <w:tcPr>
            <w:tcW w:w="120" w:type="dxa"/>
            <w:vMerge w:val="continue"/>
            <w:tcBorders/>
            <w:tcMar>
              <w:bottom w:w="0" w:type="dxa"/>
            </w:tcMar>
            <w:vAlign w:val="center"/>
          </w:tcPr>
          <w:p>
            <w:pPr>
              <w:pStyle w:val="Normal"/>
              <w:bidi w:val="0"/>
              <w:jc w:val="left"/>
              <w:rPr/>
            </w:pPr>
            <w:r>
              <w:rPr/>
            </w:r>
          </w:p>
        </w:tc>
        <w:tc>
          <w:tcPr>
            <w:tcW w:w="6386" w:type="dxa"/>
            <w:vMerge w:val="continue"/>
            <w:tcBorders/>
            <w:tcMar>
              <w:bottom w:w="0" w:type="dxa"/>
            </w:tcMar>
            <w:vAlign w:val="center"/>
          </w:tcPr>
          <w:p>
            <w:pPr>
              <w:pStyle w:val="Normal"/>
              <w:bidi w:val="0"/>
              <w:jc w:val="left"/>
              <w:rPr/>
            </w:pPr>
            <w:r>
              <w:rPr/>
            </w:r>
          </w:p>
        </w:tc>
        <w:tc>
          <w:tcPr>
            <w:tcW w:w="120" w:type="dxa"/>
            <w:vMerge w:val="continue"/>
            <w:tcBorders/>
            <w:tcMar>
              <w:bottom w:w="0" w:type="dxa"/>
            </w:tcMar>
            <w:vAlign w:val="center"/>
          </w:tcPr>
          <w:p>
            <w:pPr>
              <w:pStyle w:val="Normal"/>
              <w:bidi w:val="0"/>
              <w:jc w:val="left"/>
              <w:rPr/>
            </w:pPr>
            <w:r>
              <w:rPr/>
            </w:r>
          </w:p>
        </w:tc>
        <w:tc>
          <w:tcPr>
            <w:tcW w:w="1372" w:type="dxa"/>
            <w:vMerge w:val="continue"/>
            <w:tcBorders/>
            <w:tcMar>
              <w:bottom w:w="0" w:type="dxa"/>
            </w:tcMar>
            <w:vAlign w:val="center"/>
          </w:tcPr>
          <w:p>
            <w:pPr>
              <w:pStyle w:val="Normal"/>
              <w:bidi w:val="0"/>
              <w:jc w:val="left"/>
              <w:rPr/>
            </w:pPr>
            <w:r>
              <w:rPr/>
            </w:r>
          </w:p>
        </w:tc>
      </w:tr>
      <w:tr>
        <w:trPr/>
        <w:tc>
          <w:tcPr>
            <w:tcW w:w="2207" w:type="dxa"/>
            <w:tcBorders/>
            <w:tcMar>
              <w:bottom w:w="0" w:type="dxa"/>
            </w:tcMar>
            <w:vAlign w:val="center"/>
          </w:tcPr>
          <w:p>
            <w:pPr>
              <w:pStyle w:val="TableContents"/>
              <w:bidi w:val="0"/>
              <w:spacing w:before="0" w:after="283"/>
              <w:jc w:val="left"/>
              <w:rPr/>
            </w:pPr>
            <w:r>
              <w:rPr/>
            </w:r>
          </w:p>
        </w:tc>
        <w:tc>
          <w:tcPr>
            <w:tcW w:w="120" w:type="dxa"/>
            <w:tcBorders/>
            <w:tcMar>
              <w:bottom w:w="0" w:type="dxa"/>
            </w:tcMar>
            <w:vAlign w:val="center"/>
          </w:tcPr>
          <w:p>
            <w:pPr>
              <w:pStyle w:val="TableContents"/>
              <w:bidi w:val="0"/>
              <w:spacing w:before="0" w:after="283"/>
              <w:jc w:val="left"/>
              <w:rPr/>
            </w:pPr>
            <w:r>
              <w:rPr/>
            </w:r>
          </w:p>
        </w:tc>
        <w:tc>
          <w:tcPr>
            <w:tcW w:w="6386" w:type="dxa"/>
            <w:tcBorders/>
            <w:tcMar>
              <w:bottom w:w="0" w:type="dxa"/>
            </w:tcMar>
            <w:vAlign w:val="center"/>
          </w:tcPr>
          <w:p>
            <w:pPr>
              <w:pStyle w:val="TableContents"/>
              <w:bidi w:val="0"/>
              <w:spacing w:before="0" w:after="283"/>
              <w:jc w:val="left"/>
              <w:rPr/>
            </w:pPr>
            <w:r>
              <w:rPr/>
            </w:r>
          </w:p>
        </w:tc>
        <w:tc>
          <w:tcPr>
            <w:tcW w:w="120" w:type="dxa"/>
            <w:tcBorders/>
            <w:tcMar>
              <w:bottom w:w="0" w:type="dxa"/>
            </w:tcMar>
            <w:vAlign w:val="center"/>
          </w:tcPr>
          <w:p>
            <w:pPr>
              <w:pStyle w:val="TableContents"/>
              <w:bidi w:val="0"/>
              <w:spacing w:before="0" w:after="283"/>
              <w:jc w:val="left"/>
              <w:rPr/>
            </w:pPr>
            <w:r>
              <w:rPr/>
            </w:r>
          </w:p>
        </w:tc>
        <w:tc>
          <w:tcPr>
            <w:tcW w:w="1372" w:type="dxa"/>
            <w:tcBorders/>
            <w:tcMar>
              <w:bottom w:w="0" w:type="dxa"/>
            </w:tcMar>
            <w:vAlign w:val="center"/>
          </w:tcPr>
          <w:p>
            <w:pPr>
              <w:pStyle w:val="TableContents"/>
              <w:bidi w:val="0"/>
              <w:spacing w:before="0" w:after="283"/>
              <w:jc w:val="left"/>
              <w:rPr/>
            </w:pPr>
            <w:r>
              <w:rPr/>
            </w:r>
          </w:p>
        </w:tc>
      </w:tr>
      <w:tr>
        <w:trPr/>
        <w:tc>
          <w:tcPr>
            <w:tcW w:w="2207" w:type="dxa"/>
            <w:tcBorders>
              <w:bottom w:val="single" w:sz="12" w:space="0" w:color="000000"/>
            </w:tcBorders>
            <w:vAlign w:val="center"/>
          </w:tcPr>
          <w:p>
            <w:pPr>
              <w:pStyle w:val="TableContents"/>
              <w:bidi w:val="0"/>
              <w:spacing w:before="0" w:after="0"/>
              <w:jc w:val="left"/>
              <w:rPr/>
            </w:pPr>
            <w:r>
              <w:rPr/>
              <w:t>/s/ Tracy Liu</w:t>
            </w:r>
          </w:p>
        </w:tc>
        <w:tc>
          <w:tcPr>
            <w:tcW w:w="120" w:type="dxa"/>
            <w:vMerge w:val="restart"/>
            <w:tcBorders/>
            <w:tcMar>
              <w:bottom w:w="0" w:type="dxa"/>
            </w:tcMar>
            <w:vAlign w:val="center"/>
          </w:tcPr>
          <w:p>
            <w:pPr>
              <w:pStyle w:val="TableContents"/>
              <w:bidi w:val="0"/>
              <w:spacing w:before="0" w:after="283"/>
              <w:jc w:val="left"/>
              <w:rPr/>
            </w:pPr>
            <w:r>
              <w:rPr/>
              <w:br/>
              <w:t> </w:t>
            </w:r>
          </w:p>
        </w:tc>
        <w:tc>
          <w:tcPr>
            <w:tcW w:w="6386" w:type="dxa"/>
            <w:vMerge w:val="restart"/>
            <w:tcBorders/>
            <w:tcMar>
              <w:bottom w:w="0" w:type="dxa"/>
            </w:tcMar>
            <w:vAlign w:val="center"/>
          </w:tcPr>
          <w:p>
            <w:pPr>
              <w:pStyle w:val="TableContents"/>
              <w:bidi w:val="0"/>
              <w:spacing w:before="0" w:after="0"/>
              <w:jc w:val="left"/>
              <w:rPr/>
            </w:pPr>
            <w:r>
              <w:rPr/>
              <w:t>Director</w:t>
            </w:r>
          </w:p>
          <w:p>
            <w:pPr>
              <w:pStyle w:val="TableContents"/>
              <w:bidi w:val="0"/>
              <w:spacing w:before="0" w:after="0"/>
              <w:jc w:val="left"/>
              <w:rPr/>
            </w:pPr>
            <w:r>
              <w:rPr/>
              <w:t> </w:t>
            </w:r>
          </w:p>
        </w:tc>
        <w:tc>
          <w:tcPr>
            <w:tcW w:w="120" w:type="dxa"/>
            <w:vMerge w:val="restart"/>
            <w:tcBorders/>
            <w:tcMar>
              <w:bottom w:w="0" w:type="dxa"/>
            </w:tcMar>
            <w:vAlign w:val="center"/>
          </w:tcPr>
          <w:p>
            <w:pPr>
              <w:pStyle w:val="TableContents"/>
              <w:bidi w:val="0"/>
              <w:spacing w:before="0" w:after="283"/>
              <w:jc w:val="left"/>
              <w:rPr/>
            </w:pPr>
            <w:r>
              <w:rPr/>
              <w:br/>
              <w:t> </w:t>
            </w:r>
          </w:p>
        </w:tc>
        <w:tc>
          <w:tcPr>
            <w:tcW w:w="1372" w:type="dxa"/>
            <w:vMerge w:val="restart"/>
            <w:tcBorders/>
            <w:tcMar>
              <w:bottom w:w="0" w:type="dxa"/>
            </w:tcMar>
            <w:vAlign w:val="center"/>
          </w:tcPr>
          <w:p>
            <w:pPr>
              <w:pStyle w:val="TableContents"/>
              <w:bidi w:val="0"/>
              <w:spacing w:before="0" w:after="0"/>
              <w:jc w:val="left"/>
              <w:rPr/>
            </w:pPr>
            <w:r>
              <w:rPr/>
              <w:t>March 3, 2025</w:t>
            </w:r>
          </w:p>
          <w:p>
            <w:pPr>
              <w:pStyle w:val="TableContents"/>
              <w:bidi w:val="0"/>
              <w:spacing w:before="0" w:after="0"/>
              <w:jc w:val="left"/>
              <w:rPr/>
            </w:pPr>
            <w:r>
              <w:rPr/>
              <w:t> </w:t>
            </w:r>
          </w:p>
        </w:tc>
      </w:tr>
      <w:tr>
        <w:trPr/>
        <w:tc>
          <w:tcPr>
            <w:tcW w:w="2207" w:type="dxa"/>
            <w:tcBorders/>
            <w:tcMar>
              <w:bottom w:w="0" w:type="dxa"/>
            </w:tcMar>
            <w:vAlign w:val="center"/>
          </w:tcPr>
          <w:p>
            <w:pPr>
              <w:pStyle w:val="TableContents"/>
              <w:bidi w:val="0"/>
              <w:spacing w:before="0" w:after="0"/>
              <w:jc w:val="left"/>
              <w:rPr/>
            </w:pPr>
            <w:r>
              <w:rPr/>
              <w:t>Tracy Liu</w:t>
            </w:r>
          </w:p>
        </w:tc>
        <w:tc>
          <w:tcPr>
            <w:tcW w:w="120" w:type="dxa"/>
            <w:vMerge w:val="continue"/>
            <w:tcBorders/>
            <w:tcMar>
              <w:bottom w:w="0" w:type="dxa"/>
            </w:tcMar>
            <w:vAlign w:val="center"/>
          </w:tcPr>
          <w:p>
            <w:pPr>
              <w:pStyle w:val="Normal"/>
              <w:bidi w:val="0"/>
              <w:jc w:val="left"/>
              <w:rPr/>
            </w:pPr>
            <w:r>
              <w:rPr/>
            </w:r>
          </w:p>
        </w:tc>
        <w:tc>
          <w:tcPr>
            <w:tcW w:w="6386" w:type="dxa"/>
            <w:vMerge w:val="continue"/>
            <w:tcBorders/>
            <w:tcMar>
              <w:bottom w:w="0" w:type="dxa"/>
            </w:tcMar>
            <w:vAlign w:val="center"/>
          </w:tcPr>
          <w:p>
            <w:pPr>
              <w:pStyle w:val="Normal"/>
              <w:bidi w:val="0"/>
              <w:jc w:val="left"/>
              <w:rPr/>
            </w:pPr>
            <w:r>
              <w:rPr/>
            </w:r>
          </w:p>
        </w:tc>
        <w:tc>
          <w:tcPr>
            <w:tcW w:w="120" w:type="dxa"/>
            <w:vMerge w:val="continue"/>
            <w:tcBorders/>
            <w:tcMar>
              <w:bottom w:w="0" w:type="dxa"/>
            </w:tcMar>
            <w:vAlign w:val="center"/>
          </w:tcPr>
          <w:p>
            <w:pPr>
              <w:pStyle w:val="Normal"/>
              <w:bidi w:val="0"/>
              <w:jc w:val="left"/>
              <w:rPr/>
            </w:pPr>
            <w:r>
              <w:rPr/>
            </w:r>
          </w:p>
        </w:tc>
        <w:tc>
          <w:tcPr>
            <w:tcW w:w="1372" w:type="dxa"/>
            <w:vMerge w:val="continue"/>
            <w:tcBorders/>
            <w:tcMar>
              <w:bottom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 w:name="ef20044772_ex5-1.htm"/>
      <w:bookmarkStart w:id="14" w:name="ksef20044772_ex51"/>
      <w:bookmarkStart w:id="15" w:name="ef20044772_ex5-1.htm"/>
      <w:bookmarkStart w:id="16" w:name="ksef20044772_ex51"/>
      <w:bookmarkEnd w:id="15"/>
      <w:bookmarkEnd w:id="1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w:t>
      </w:r>
      <w:r>
        <w:rPr>
          <w:rFonts w:ascii="Times New Roman" w:hAnsi="Times New Roman"/>
          <w:b/>
          <w:smallCaps/>
          <w:color w:val="000000"/>
          <w:sz w:val="20"/>
        </w:rPr>
        <w:t>5.1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K&amp;L Gates LLP</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 Park Plaza, Twelfth Floor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Irvine, California 92614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March 3, 2025</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ACM Research,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42307 Osgood Road, Suite 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Fremont, California 94539</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We have acted as counsel to ACM Research, Inc., a Delaware corporation (the “</w:t>
      </w:r>
      <w:r>
        <w:rPr>
          <w:rFonts w:ascii="Times New Roman" w:hAnsi="Times New Roman"/>
          <w:i/>
          <w:color w:val="000000"/>
          <w:sz w:val="20"/>
        </w:rPr>
        <w:t>Company</w:t>
      </w:r>
      <w:r>
        <w:rPr>
          <w:rFonts w:ascii="Times New Roman" w:hAnsi="Times New Roman"/>
          <w:color w:val="000000"/>
          <w:sz w:val="20"/>
        </w:rPr>
        <w:t>”), in connection with the preparation of the Registration Statement on Form S-8 (the “</w:t>
      </w:r>
      <w:r>
        <w:rPr>
          <w:rFonts w:ascii="Times New Roman" w:hAnsi="Times New Roman"/>
          <w:i/>
          <w:color w:val="000000"/>
          <w:sz w:val="20"/>
        </w:rPr>
        <w:t>Registration Statement</w:t>
      </w:r>
      <w:r>
        <w:rPr>
          <w:rFonts w:ascii="Times New Roman" w:hAnsi="Times New Roman"/>
          <w:color w:val="000000"/>
          <w:sz w:val="20"/>
        </w:rPr>
        <w:t>”) to be filed by the Company with the Securities and Exchange Commission for the registration under the Securities Act of 1933, as amended (the “</w:t>
      </w:r>
      <w:r>
        <w:rPr>
          <w:rFonts w:ascii="Times New Roman" w:hAnsi="Times New Roman"/>
          <w:i/>
          <w:color w:val="000000"/>
          <w:sz w:val="20"/>
        </w:rPr>
        <w:t>Securities Act</w:t>
      </w:r>
      <w:r>
        <w:rPr>
          <w:rFonts w:ascii="Times New Roman" w:hAnsi="Times New Roman"/>
          <w:color w:val="000000"/>
          <w:sz w:val="20"/>
        </w:rPr>
        <w:t>”), of 2,442,319 shares (the “</w:t>
      </w:r>
      <w:r>
        <w:rPr>
          <w:rFonts w:ascii="Times New Roman" w:hAnsi="Times New Roman"/>
          <w:i/>
          <w:color w:val="000000"/>
          <w:sz w:val="20"/>
        </w:rPr>
        <w:t>Shares</w:t>
      </w:r>
      <w:r>
        <w:rPr>
          <w:rFonts w:ascii="Times New Roman" w:hAnsi="Times New Roman"/>
          <w:color w:val="000000"/>
          <w:sz w:val="20"/>
        </w:rPr>
        <w:t>”) of the Company’s Class A common stock, $0.0001 par value per share, which are to be issued from time to time in connection with the Company’s 2016 Omnibus Incentive Plan (the “</w:t>
      </w:r>
      <w:r>
        <w:rPr>
          <w:rFonts w:ascii="Times New Roman" w:hAnsi="Times New Roman"/>
          <w:i/>
          <w:color w:val="000000"/>
          <w:sz w:val="20"/>
        </w:rPr>
        <w:t>Plan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This opinion is being delivered in accordance with the requirements of Item 601(b)(5) of Regulation S-K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You have requested our opinion as to the matters set forth below in connection with the Registration Statement.  For purposes of rendering that opinion, we have examined copies of the Plan, the Registration Statement, the Company’s Restated Certificate of Incorporation (as amended to date) and Restated Bylaws, and the corporate actions of the Company that provide for the issuance of the Shares, and we have made such other investigation as we have deemed appropriate. We also have examined and relied upon certificates of public officials and, in rendering our opinion, we have made the assumptions that are customary in opinion letters of this kind.  We have not verified any of those assumptions.</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Based upon and subject to the foregoing and the additional qualifications and other matters set forth below, we are of the opinion that the Shares have been duly and validly authorized and reserved for issuance and that the Shares, when issued in accordance with the terms of the Plan, will be validly issued, fully paid and nonassessable.</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opinion expressed in this opinion letter is limited to the laws of the State of Delaware. The foregoing opinion is rendered as of the date of this letter. We assume no obligation to update or supplement such opinion in order to reflect any changes of law or fact that may occur.</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We are furnishing this opinion letter to you solely in connection with the Registration Statement.  You may not rely on this opinion letter in any other connection, and it may not be furnished to or relied upon by any other person for any purpose, without our specific prior written consent.  We hereby consent to the filing of this opinion as Exhibit 5.1 to the Registration Statement.  In giving our consent we do not thereby admit that we are in the category of persons whose consent is required under Section 7 of the Securities Act or the rules and regulations thereunder.</w:t>
      </w:r>
    </w:p>
    <w:p>
      <w:pPr>
        <w:pStyle w:val="TextBody"/>
        <w:bidi w:val="0"/>
        <w:spacing w:before="0" w:after="0"/>
        <w:jc w:val="left"/>
        <w:rPr>
          <w:color w:val="000000"/>
        </w:rPr>
      </w:pPr>
      <w:r>
        <w:rPr>
          <w:color w:val="000000"/>
        </w:rPr>
        <w:t> </w:t>
      </w:r>
    </w:p>
    <w:tbl>
      <w:tblPr>
        <w:tblW w:w="1918" w:type="dxa"/>
        <w:jc w:val="left"/>
        <w:tblInd w:w="0" w:type="dxa"/>
        <w:tblLayout w:type="fixed"/>
        <w:tblCellMar>
          <w:top w:w="0" w:type="dxa"/>
          <w:left w:w="0" w:type="dxa"/>
          <w:bottom w:w="0" w:type="dxa"/>
          <w:right w:w="0" w:type="dxa"/>
        </w:tblCellMar>
      </w:tblPr>
      <w:tblGrid>
        <w:gridCol w:w="23"/>
        <w:gridCol w:w="1895"/>
      </w:tblGrid>
      <w:tr>
        <w:trPr/>
        <w:tc>
          <w:tcPr>
            <w:tcW w:w="23" w:type="dxa"/>
            <w:tcBorders/>
            <w:vAlign w:val="center"/>
          </w:tcPr>
          <w:p>
            <w:pPr>
              <w:pStyle w:val="TableContents"/>
              <w:bidi w:val="0"/>
              <w:spacing w:before="0" w:after="283"/>
              <w:jc w:val="left"/>
              <w:rPr/>
            </w:pPr>
            <w:r>
              <w:rPr/>
            </w:r>
          </w:p>
        </w:tc>
        <w:tc>
          <w:tcPr>
            <w:tcW w:w="1895" w:type="dxa"/>
            <w:tcBorders/>
            <w:vAlign w:val="center"/>
          </w:tcPr>
          <w:p>
            <w:pPr>
              <w:pStyle w:val="TableContents"/>
              <w:bidi w:val="0"/>
              <w:spacing w:before="0" w:after="283"/>
              <w:jc w:val="left"/>
              <w:rPr/>
            </w:pPr>
            <w:r>
              <w:rPr/>
              <w:t>Yours truly,</w:t>
            </w:r>
          </w:p>
        </w:tc>
      </w:tr>
      <w:tr>
        <w:trPr/>
        <w:tc>
          <w:tcPr>
            <w:tcW w:w="23" w:type="dxa"/>
            <w:tcBorders/>
            <w:vAlign w:val="center"/>
          </w:tcPr>
          <w:p>
            <w:pPr>
              <w:pStyle w:val="TableContents"/>
              <w:bidi w:val="0"/>
              <w:spacing w:before="0" w:after="283"/>
              <w:jc w:val="left"/>
              <w:rPr/>
            </w:pPr>
            <w:r>
              <w:rPr/>
            </w:r>
          </w:p>
        </w:tc>
        <w:tc>
          <w:tcPr>
            <w:tcW w:w="189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895" w:type="dxa"/>
            <w:tcBorders/>
            <w:vAlign w:val="center"/>
          </w:tcPr>
          <w:p>
            <w:pPr>
              <w:pStyle w:val="TableContents"/>
              <w:bidi w:val="0"/>
              <w:spacing w:before="0" w:after="283"/>
              <w:jc w:val="left"/>
              <w:rPr/>
            </w:pPr>
            <w:r>
              <w:rPr/>
              <w:t>/s/ K&amp;L Gates LLP</w:t>
            </w:r>
          </w:p>
        </w:tc>
      </w:tr>
      <w:tr>
        <w:trPr/>
        <w:tc>
          <w:tcPr>
            <w:tcW w:w="23" w:type="dxa"/>
            <w:tcBorders/>
            <w:vAlign w:val="center"/>
          </w:tcPr>
          <w:p>
            <w:pPr>
              <w:pStyle w:val="TableContents"/>
              <w:bidi w:val="0"/>
              <w:spacing w:before="0" w:after="283"/>
              <w:jc w:val="left"/>
              <w:rPr/>
            </w:pPr>
            <w:r>
              <w:rPr/>
            </w:r>
          </w:p>
        </w:tc>
        <w:tc>
          <w:tcPr>
            <w:tcW w:w="189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895" w:type="dxa"/>
            <w:tcBorders/>
            <w:vAlign w:val="center"/>
          </w:tcPr>
          <w:p>
            <w:pPr>
              <w:pStyle w:val="TableContents"/>
              <w:bidi w:val="0"/>
              <w:spacing w:before="0" w:after="283"/>
              <w:jc w:val="left"/>
              <w:rPr/>
            </w:pPr>
            <w:r>
              <w:rPr/>
              <w:t>K&amp;L Gates LLP</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7" w:name="ef20044772_ex23-1.htm"/>
      <w:bookmarkStart w:id="18" w:name="ksef20044772_ex231"/>
      <w:bookmarkStart w:id="19" w:name="ef20044772_ex23-1.htm"/>
      <w:bookmarkStart w:id="20" w:name="ksef20044772_ex231"/>
      <w:bookmarkEnd w:id="19"/>
      <w:bookmarkEnd w:id="2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w:t>
      </w:r>
      <w:r>
        <w:rPr>
          <w:rFonts w:ascii="Times New Roman" w:hAnsi="Times New Roman"/>
          <w:b/>
          <w:smallCaps/>
          <w:color w:val="000000"/>
          <w:sz w:val="20"/>
        </w:rPr>
        <w:t>23.1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 (Form S-8) pertaining to the 2016 Omnibus Incentive Plan of ACM Research, Inc. of our reports dated March 3, 2025, with respect to the consolidated financial statements of ACM Research, Inc. and the effectiveness of internal control over financial reporting of ACM Research, Inc., included in its Annual Report (Form 10-K) for the year ended December 31, 2024, filed with the Securities and Exchange Commission.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Ernst &amp; Young Hua Ming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the People’s Republic of China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March 3, 2025</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1" w:name="ef20044772_ex23-2.htm"/>
      <w:bookmarkStart w:id="22" w:name="ksef20044772_ex232"/>
      <w:bookmarkStart w:id="23" w:name="ef20044772_ex23-2.htm"/>
      <w:bookmarkStart w:id="24" w:name="ksef20044772_ex232"/>
      <w:bookmarkEnd w:id="23"/>
      <w:bookmarkEnd w:id="2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w:t>
      </w:r>
      <w:r>
        <w:rPr>
          <w:rFonts w:ascii="Times New Roman" w:hAnsi="Times New Roman"/>
          <w:b/>
          <w:smallCaps/>
          <w:color w:val="000000"/>
          <w:sz w:val="20"/>
        </w:rPr>
        <w:t>23.2</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 on Form S-8 of our report dated March 1, 2023, relating to the consolidated financial statements of ACM Research, Inc. and subsidiaries (the “Company”) appearing in its Annual Report on Form 10-K for the year ended December 31, 2024.</w:t>
      </w:r>
    </w:p>
    <w:p>
      <w:pPr>
        <w:pStyle w:val="TextBody"/>
        <w:bidi w:val="0"/>
        <w:spacing w:before="0" w:after="0"/>
        <w:jc w:val="left"/>
        <w:rPr/>
      </w:pPr>
      <w:r>
        <w:rPr/>
      </w:r>
    </w:p>
    <w:tbl>
      <w:tblPr>
        <w:tblW w:w="3610" w:type="dxa"/>
        <w:jc w:val="left"/>
        <w:tblInd w:w="0" w:type="dxa"/>
        <w:tblLayout w:type="fixed"/>
        <w:tblCellMar>
          <w:top w:w="0" w:type="dxa"/>
          <w:left w:w="0" w:type="dxa"/>
          <w:bottom w:w="0" w:type="dxa"/>
          <w:right w:w="0" w:type="dxa"/>
        </w:tblCellMar>
      </w:tblPr>
      <w:tblGrid>
        <w:gridCol w:w="1415"/>
        <w:gridCol w:w="2195"/>
      </w:tblGrid>
      <w:tr>
        <w:trPr/>
        <w:tc>
          <w:tcPr>
            <w:tcW w:w="1415" w:type="dxa"/>
            <w:tcBorders/>
            <w:vAlign w:val="center"/>
          </w:tcPr>
          <w:p>
            <w:pPr>
              <w:pStyle w:val="TableContents"/>
              <w:bidi w:val="0"/>
              <w:spacing w:before="0" w:after="283"/>
              <w:jc w:val="left"/>
              <w:rPr/>
            </w:pPr>
            <w:r>
              <w:rPr/>
            </w:r>
          </w:p>
        </w:tc>
        <w:tc>
          <w:tcPr>
            <w:tcW w:w="2195" w:type="dxa"/>
            <w:tcBorders/>
            <w:vAlign w:val="center"/>
          </w:tcPr>
          <w:p>
            <w:pPr>
              <w:pStyle w:val="TableContents"/>
              <w:bidi w:val="0"/>
              <w:spacing w:lineRule="auto" w:line="240" w:before="0" w:after="283"/>
              <w:jc w:val="left"/>
              <w:rPr/>
            </w:pPr>
            <w:r>
              <w:rPr/>
              <w:t>ArmaninoLLP</w:t>
            </w:r>
          </w:p>
        </w:tc>
      </w:tr>
      <w:tr>
        <w:trPr/>
        <w:tc>
          <w:tcPr>
            <w:tcW w:w="1415" w:type="dxa"/>
            <w:tcBorders/>
            <w:vAlign w:val="center"/>
          </w:tcPr>
          <w:p>
            <w:pPr>
              <w:pStyle w:val="TableContents"/>
              <w:bidi w:val="0"/>
              <w:spacing w:before="0" w:after="283"/>
              <w:jc w:val="left"/>
              <w:rPr/>
            </w:pPr>
            <w:r>
              <w:rPr/>
            </w:r>
          </w:p>
        </w:tc>
        <w:tc>
          <w:tcPr>
            <w:tcW w:w="2195" w:type="dxa"/>
            <w:tcBorders/>
            <w:vAlign w:val="center"/>
          </w:tcPr>
          <w:p>
            <w:pPr>
              <w:pStyle w:val="TableContents"/>
              <w:bidi w:val="0"/>
              <w:spacing w:before="0" w:after="283"/>
              <w:jc w:val="left"/>
              <w:rPr/>
            </w:pPr>
            <w:r>
              <w:rPr/>
              <w:t>San Ramon, California</w:t>
            </w:r>
          </w:p>
        </w:tc>
      </w:tr>
      <w:tr>
        <w:trPr/>
        <w:tc>
          <w:tcPr>
            <w:tcW w:w="1415" w:type="dxa"/>
            <w:tcBorders/>
            <w:vAlign w:val="center"/>
          </w:tcPr>
          <w:p>
            <w:pPr>
              <w:pStyle w:val="TableContents"/>
              <w:bidi w:val="0"/>
              <w:spacing w:before="0" w:after="283"/>
              <w:jc w:val="left"/>
              <w:rPr/>
            </w:pPr>
            <w:r>
              <w:rPr/>
            </w:r>
          </w:p>
        </w:tc>
        <w:tc>
          <w:tcPr>
            <w:tcW w:w="2195" w:type="dxa"/>
            <w:tcBorders/>
            <w:vAlign w:val="center"/>
          </w:tcPr>
          <w:p>
            <w:pPr>
              <w:pStyle w:val="TableContents"/>
              <w:bidi w:val="0"/>
              <w:spacing w:before="0" w:after="283"/>
              <w:jc w:val="left"/>
              <w:rPr/>
            </w:pPr>
            <w:r>
              <w:rPr/>
            </w:r>
          </w:p>
        </w:tc>
      </w:tr>
      <w:tr>
        <w:trPr/>
        <w:tc>
          <w:tcPr>
            <w:tcW w:w="1415" w:type="dxa"/>
            <w:tcBorders/>
            <w:vAlign w:val="center"/>
          </w:tcPr>
          <w:p>
            <w:pPr>
              <w:pStyle w:val="TableContents"/>
              <w:bidi w:val="0"/>
              <w:spacing w:before="0" w:after="283"/>
              <w:jc w:val="left"/>
              <w:rPr/>
            </w:pPr>
            <w:r>
              <w:rPr/>
              <w:t>March 3, 2025</w:t>
            </w:r>
          </w:p>
        </w:tc>
        <w:tc>
          <w:tcPr>
            <w:tcW w:w="2195"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25" w:name="ef20044772_ex107.htm"/>
      <w:bookmarkStart w:id="26" w:name="ksef20044772_ex107"/>
      <w:bookmarkStart w:id="27" w:name="ef20044772_ex107.htm"/>
      <w:bookmarkStart w:id="28" w:name="ksef20044772_ex107"/>
      <w:bookmarkEnd w:id="27"/>
      <w:bookmarkEnd w:id="28"/>
      <w:r>
        <w:br w:type="page"/>
      </w:r>
    </w:p>
    <w:p>
      <w:pPr>
        <w:pStyle w:val="TextBody"/>
        <w:bidi w:val="0"/>
        <w:spacing w:before="0" w:after="0"/>
        <w:ind w:left="0" w:right="0" w:firstLine="7956"/>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Calculation of Filing Fee Table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S-8</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1—Newly Registered Securities</w:t>
      </w:r>
    </w:p>
    <w:p>
      <w:pPr>
        <w:pStyle w:val="TextBody"/>
        <w:bidi w:val="0"/>
        <w:spacing w:before="0" w:after="0"/>
        <w:jc w:val="left"/>
        <w:rPr/>
      </w:pPr>
      <w:r>
        <w:rPr/>
      </w:r>
    </w:p>
    <w:tbl>
      <w:tblPr>
        <w:tblW w:w="10515" w:type="dxa"/>
        <w:jc w:val="left"/>
        <w:tblInd w:w="0" w:type="dxa"/>
        <w:tblLayout w:type="fixed"/>
        <w:tblCellMar>
          <w:top w:w="0" w:type="dxa"/>
          <w:left w:w="0" w:type="dxa"/>
          <w:bottom w:w="28" w:type="dxa"/>
          <w:right w:w="0" w:type="dxa"/>
        </w:tblCellMar>
      </w:tblPr>
      <w:tblGrid>
        <w:gridCol w:w="890"/>
        <w:gridCol w:w="90"/>
        <w:gridCol w:w="890"/>
        <w:gridCol w:w="90"/>
        <w:gridCol w:w="1220"/>
        <w:gridCol w:w="90"/>
        <w:gridCol w:w="92"/>
        <w:gridCol w:w="1038"/>
        <w:gridCol w:w="90"/>
        <w:gridCol w:w="90"/>
        <w:gridCol w:w="246"/>
        <w:gridCol w:w="854"/>
        <w:gridCol w:w="90"/>
        <w:gridCol w:w="90"/>
        <w:gridCol w:w="170"/>
        <w:gridCol w:w="1430"/>
        <w:gridCol w:w="90"/>
        <w:gridCol w:w="90"/>
        <w:gridCol w:w="90"/>
        <w:gridCol w:w="1190"/>
        <w:gridCol w:w="90"/>
        <w:gridCol w:w="90"/>
        <w:gridCol w:w="207"/>
        <w:gridCol w:w="1088"/>
        <w:gridCol w:w="120"/>
      </w:tblGrid>
      <w:tr>
        <w:trPr/>
        <w:tc>
          <w:tcPr>
            <w:tcW w:w="890" w:type="dxa"/>
            <w:tcBorders>
              <w:bottom w:val="single" w:sz="12" w:space="0" w:color="000000"/>
            </w:tcBorders>
            <w:vAlign w:val="bottom"/>
          </w:tcPr>
          <w:p>
            <w:pPr>
              <w:pStyle w:val="TableContents"/>
              <w:bidi w:val="0"/>
              <w:spacing w:before="0" w:after="0"/>
              <w:jc w:val="center"/>
              <w:rPr>
                <w:b/>
                <w:color w:val="000000"/>
              </w:rPr>
            </w:pPr>
            <w:r>
              <w:rPr>
                <w:b/>
                <w:color w:val="000000"/>
              </w:rPr>
              <w:t xml:space="preserve">Security </w:t>
            </w:r>
          </w:p>
          <w:p>
            <w:pPr>
              <w:pStyle w:val="TableContents"/>
              <w:bidi w:val="0"/>
              <w:spacing w:before="0" w:after="0"/>
              <w:jc w:val="center"/>
              <w:rPr>
                <w:b/>
                <w:color w:val="000000"/>
              </w:rPr>
            </w:pPr>
            <w:r>
              <w:rPr>
                <w:b/>
                <w:color w:val="000000"/>
              </w:rPr>
              <w:t>Type</w:t>
            </w:r>
          </w:p>
        </w:tc>
        <w:tc>
          <w:tcPr>
            <w:tcW w:w="90" w:type="dxa"/>
            <w:tcBorders/>
            <w:tcMar>
              <w:bottom w:w="0" w:type="dxa"/>
            </w:tcMar>
            <w:vAlign w:val="bottom"/>
          </w:tcPr>
          <w:p>
            <w:pPr>
              <w:pStyle w:val="TableContents"/>
              <w:bidi w:val="0"/>
              <w:spacing w:before="0" w:after="283"/>
              <w:jc w:val="left"/>
              <w:rPr/>
            </w:pPr>
            <w:r>
              <w:rPr/>
              <w:t> </w:t>
            </w:r>
          </w:p>
        </w:tc>
        <w:tc>
          <w:tcPr>
            <w:tcW w:w="890" w:type="dxa"/>
            <w:tcBorders>
              <w:bottom w:val="single" w:sz="12" w:space="0" w:color="000000"/>
            </w:tcBorders>
            <w:vAlign w:val="bottom"/>
          </w:tcPr>
          <w:p>
            <w:pPr>
              <w:pStyle w:val="TableContents"/>
              <w:bidi w:val="0"/>
              <w:spacing w:before="0" w:after="0"/>
              <w:jc w:val="center"/>
              <w:rPr>
                <w:b/>
                <w:color w:val="000000"/>
              </w:rPr>
            </w:pPr>
            <w:r>
              <w:rPr>
                <w:b/>
                <w:color w:val="000000"/>
              </w:rPr>
              <w:t>Security Class</w:t>
            </w:r>
          </w:p>
          <w:p>
            <w:pPr>
              <w:pStyle w:val="TableContents"/>
              <w:bidi w:val="0"/>
              <w:spacing w:before="0" w:after="0"/>
              <w:jc w:val="center"/>
              <w:rPr>
                <w:b/>
                <w:color w:val="000000"/>
              </w:rPr>
            </w:pPr>
            <w:r>
              <w:rPr>
                <w:b/>
                <w:color w:val="000000"/>
              </w:rPr>
              <w:t>Title</w:t>
            </w:r>
          </w:p>
        </w:tc>
        <w:tc>
          <w:tcPr>
            <w:tcW w:w="90" w:type="dxa"/>
            <w:tcBorders/>
            <w:tcMar>
              <w:bottom w:w="0" w:type="dxa"/>
            </w:tcMar>
            <w:vAlign w:val="bottom"/>
          </w:tcPr>
          <w:p>
            <w:pPr>
              <w:pStyle w:val="TableContents"/>
              <w:bidi w:val="0"/>
              <w:spacing w:before="0" w:after="283"/>
              <w:jc w:val="left"/>
              <w:rPr/>
            </w:pPr>
            <w:r>
              <w:rPr/>
              <w:t> </w:t>
            </w:r>
          </w:p>
        </w:tc>
        <w:tc>
          <w:tcPr>
            <w:tcW w:w="1220" w:type="dxa"/>
            <w:tcBorders>
              <w:bottom w:val="single" w:sz="12" w:space="0" w:color="000000"/>
            </w:tcBorders>
            <w:vAlign w:val="bottom"/>
          </w:tcPr>
          <w:p>
            <w:pPr>
              <w:pStyle w:val="TableContents"/>
              <w:bidi w:val="0"/>
              <w:spacing w:before="0" w:after="0"/>
              <w:jc w:val="center"/>
              <w:rPr>
                <w:b/>
                <w:color w:val="000000"/>
              </w:rPr>
            </w:pPr>
            <w:r>
              <w:rPr>
                <w:b/>
                <w:color w:val="000000"/>
              </w:rPr>
              <w:t>Fee</w:t>
            </w:r>
          </w:p>
          <w:p>
            <w:pPr>
              <w:pStyle w:val="TableContents"/>
              <w:bidi w:val="0"/>
              <w:spacing w:before="0" w:after="0"/>
              <w:jc w:val="center"/>
              <w:rPr>
                <w:b/>
                <w:color w:val="000000"/>
              </w:rPr>
            </w:pPr>
            <w:r>
              <w:rPr>
                <w:b/>
                <w:color w:val="000000"/>
              </w:rPr>
              <w:t>Calculation</w:t>
            </w:r>
          </w:p>
          <w:p>
            <w:pPr>
              <w:pStyle w:val="TableContents"/>
              <w:bidi w:val="0"/>
              <w:spacing w:before="0" w:after="0"/>
              <w:jc w:val="center"/>
              <w:rPr>
                <w:b/>
                <w:color w:val="000000"/>
              </w:rPr>
            </w:pPr>
            <w:r>
              <w:rPr>
                <w:b/>
                <w:color w:val="000000"/>
              </w:rPr>
              <w:t>Rule</w:t>
            </w:r>
          </w:p>
        </w:tc>
        <w:tc>
          <w:tcPr>
            <w:tcW w:w="90" w:type="dxa"/>
            <w:tcBorders/>
            <w:tcMar>
              <w:bottom w:w="0" w:type="dxa"/>
            </w:tcMar>
            <w:vAlign w:val="bottom"/>
          </w:tcPr>
          <w:p>
            <w:pPr>
              <w:pStyle w:val="TableContents"/>
              <w:bidi w:val="0"/>
              <w:spacing w:before="0" w:after="283"/>
              <w:jc w:val="left"/>
              <w:rPr/>
            </w:pPr>
            <w:r>
              <w:rPr/>
              <w:t> </w:t>
            </w:r>
          </w:p>
        </w:tc>
        <w:tc>
          <w:tcPr>
            <w:tcW w:w="1130"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Amount </w:t>
            </w:r>
          </w:p>
          <w:p>
            <w:pPr>
              <w:pStyle w:val="TableContents"/>
              <w:bidi w:val="0"/>
              <w:spacing w:before="0" w:after="0"/>
              <w:jc w:val="center"/>
              <w:rPr>
                <w:b/>
                <w:color w:val="000000"/>
              </w:rPr>
            </w:pPr>
            <w:r>
              <w:rPr>
                <w:b/>
                <w:color w:val="000000"/>
              </w:rPr>
              <w:t>Registered</w:t>
            </w:r>
          </w:p>
          <w:p>
            <w:pPr>
              <w:pStyle w:val="TableContents"/>
              <w:bidi w:val="0"/>
              <w:spacing w:before="0" w:after="0"/>
              <w:jc w:val="center"/>
              <w:rPr>
                <w:b/>
                <w:color w:val="000000"/>
              </w:rPr>
            </w:pPr>
            <w:r>
              <w:rPr>
                <w:b/>
                <w:color w:val="000000"/>
              </w:rPr>
              <w:t>(1)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Proposed</w:t>
            </w:r>
          </w:p>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Offering</w:t>
            </w:r>
          </w:p>
          <w:p>
            <w:pPr>
              <w:pStyle w:val="TableContents"/>
              <w:bidi w:val="0"/>
              <w:spacing w:before="0" w:after="0"/>
              <w:jc w:val="center"/>
              <w:rPr>
                <w:b/>
                <w:color w:val="000000"/>
              </w:rPr>
            </w:pPr>
            <w:r>
              <w:rPr>
                <w:b/>
                <w:color w:val="000000"/>
              </w:rPr>
              <w:t>Price Per</w:t>
            </w:r>
          </w:p>
          <w:p>
            <w:pPr>
              <w:pStyle w:val="TableContents"/>
              <w:bidi w:val="0"/>
              <w:spacing w:before="0" w:after="0"/>
              <w:jc w:val="center"/>
              <w:rPr>
                <w:b/>
                <w:color w:val="000000"/>
              </w:rPr>
            </w:pPr>
            <w:r>
              <w:rPr>
                <w:b/>
                <w:color w:val="000000"/>
              </w:rPr>
              <w:t>Share (2)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Proposed </w:t>
            </w:r>
          </w:p>
          <w:p>
            <w:pPr>
              <w:pStyle w:val="TableContents"/>
              <w:bidi w:val="0"/>
              <w:spacing w:before="0" w:after="0"/>
              <w:jc w:val="center"/>
              <w:rPr>
                <w:b/>
                <w:color w:val="000000"/>
              </w:rPr>
            </w:pPr>
            <w:r>
              <w:rPr>
                <w:b/>
                <w:color w:val="000000"/>
              </w:rPr>
              <w:t>Maximum</w:t>
            </w:r>
          </w:p>
          <w:p>
            <w:pPr>
              <w:pStyle w:val="TableContents"/>
              <w:bidi w:val="0"/>
              <w:spacing w:before="0" w:after="0"/>
              <w:jc w:val="center"/>
              <w:rPr>
                <w:b/>
                <w:color w:val="000000"/>
              </w:rPr>
            </w:pPr>
            <w:r>
              <w:rPr>
                <w:b/>
                <w:color w:val="000000"/>
              </w:rPr>
              <w:t>Aggregate</w:t>
            </w:r>
          </w:p>
          <w:p>
            <w:pPr>
              <w:pStyle w:val="TableContents"/>
              <w:bidi w:val="0"/>
              <w:spacing w:before="0" w:after="0"/>
              <w:jc w:val="center"/>
              <w:rPr>
                <w:b/>
                <w:color w:val="000000"/>
              </w:rPr>
            </w:pPr>
            <w:r>
              <w:rPr>
                <w:b/>
                <w:color w:val="000000"/>
              </w:rPr>
              <w:t>Offering</w:t>
            </w:r>
          </w:p>
          <w:p>
            <w:pPr>
              <w:pStyle w:val="TableContents"/>
              <w:bidi w:val="0"/>
              <w:spacing w:before="0" w:after="0"/>
              <w:jc w:val="center"/>
              <w:rPr>
                <w:b/>
                <w:color w:val="000000"/>
              </w:rPr>
            </w:pPr>
            <w:r>
              <w:rPr>
                <w:b/>
                <w:color w:val="000000"/>
              </w:rPr>
              <w:t>Price (2)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80" w:type="dxa"/>
            <w:gridSpan w:val="2"/>
            <w:tcBorders>
              <w:bottom w:val="single" w:sz="12" w:space="0" w:color="000000"/>
            </w:tcBorders>
            <w:vAlign w:val="bottom"/>
          </w:tcPr>
          <w:p>
            <w:pPr>
              <w:pStyle w:val="TableContents"/>
              <w:bidi w:val="0"/>
              <w:spacing w:before="0" w:after="0"/>
              <w:jc w:val="center"/>
              <w:rPr>
                <w:b/>
                <w:color w:val="000000"/>
              </w:rPr>
            </w:pPr>
            <w:r>
              <w:rPr>
                <w:b/>
                <w:color w:val="000000"/>
              </w:rPr>
              <w:t>Fee Rate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95"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Registration</w:t>
            </w:r>
          </w:p>
          <w:p>
            <w:pPr>
              <w:pStyle w:val="TableContents"/>
              <w:bidi w:val="0"/>
              <w:spacing w:before="0" w:after="0"/>
              <w:jc w:val="center"/>
              <w:rPr>
                <w:b/>
                <w:color w:val="000000"/>
              </w:rPr>
            </w:pPr>
            <w:r>
              <w:rPr>
                <w:b/>
                <w:color w:val="000000"/>
              </w:rPr>
              <w:t>Fee</w:t>
            </w:r>
          </w:p>
        </w:tc>
        <w:tc>
          <w:tcPr>
            <w:tcW w:w="120" w:type="dxa"/>
            <w:tcBorders/>
            <w:tcMar>
              <w:bottom w:w="0" w:type="dxa"/>
            </w:tcMar>
            <w:vAlign w:val="bottom"/>
          </w:tcPr>
          <w:p>
            <w:pPr>
              <w:pStyle w:val="TableContents"/>
              <w:bidi w:val="0"/>
              <w:spacing w:before="0" w:after="283"/>
              <w:jc w:val="left"/>
              <w:rPr/>
            </w:pPr>
            <w:r>
              <w:rPr/>
              <w:t> </w:t>
            </w:r>
          </w:p>
        </w:tc>
      </w:tr>
      <w:tr>
        <w:trPr/>
        <w:tc>
          <w:tcPr>
            <w:tcW w:w="890" w:type="dxa"/>
            <w:tcBorders/>
            <w:shd w:fill="CCEEFF" w:val="clear"/>
            <w:tcMar>
              <w:bottom w:w="0" w:type="dxa"/>
            </w:tcMar>
            <w:vAlign w:val="bottom"/>
          </w:tcPr>
          <w:p>
            <w:pPr>
              <w:pStyle w:val="TableContents"/>
              <w:bidi w:val="0"/>
              <w:spacing w:before="0" w:after="0"/>
              <w:jc w:val="center"/>
              <w:rPr>
                <w:color w:val="000000"/>
              </w:rPr>
            </w:pPr>
            <w:r>
              <w:rPr>
                <w:color w:val="000000"/>
              </w:rPr>
              <w:t>Equity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890" w:type="dxa"/>
            <w:tcBorders/>
            <w:shd w:fill="CCEEFF" w:val="clear"/>
            <w:tcMar>
              <w:bottom w:w="0" w:type="dxa"/>
            </w:tcMar>
            <w:vAlign w:val="bottom"/>
          </w:tcPr>
          <w:p>
            <w:pPr>
              <w:pStyle w:val="TableContents"/>
              <w:bidi w:val="0"/>
              <w:spacing w:before="0" w:after="0"/>
              <w:jc w:val="left"/>
              <w:rPr>
                <w:color w:val="000000"/>
              </w:rPr>
            </w:pPr>
            <w:r>
              <w:rPr>
                <w:color w:val="000000"/>
              </w:rPr>
              <w:t>Class A common stock, $0.0001 par value per share</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center"/>
              <w:rPr>
                <w:color w:val="000000"/>
              </w:rPr>
            </w:pPr>
            <w:r>
              <w:rPr>
                <w:color w:val="000000"/>
              </w:rPr>
              <w:t>Rules 457(c) and 457(h)</w:t>
            </w:r>
          </w:p>
        </w:tc>
        <w:tc>
          <w:tcPr>
            <w:tcW w:w="90" w:type="dxa"/>
            <w:tcBorders/>
            <w:shd w:fill="CCEEFF" w:val="clear"/>
            <w:tcMar>
              <w:bottom w:w="0" w:type="dxa"/>
            </w:tcMar>
            <w:vAlign w:val="bottom"/>
          </w:tcPr>
          <w:p>
            <w:pPr>
              <w:pStyle w:val="TableContents"/>
              <w:bidi w:val="0"/>
              <w:spacing w:before="0" w:after="283"/>
              <w:jc w:val="right"/>
              <w:rPr/>
            </w:pPr>
            <w:r>
              <w:rPr/>
              <w:t> </w:t>
            </w:r>
          </w:p>
        </w:tc>
        <w:tc>
          <w:tcPr>
            <w:tcW w:w="92" w:type="dxa"/>
            <w:tcBorders/>
            <w:shd w:fill="CCEEFF" w:val="clear"/>
            <w:tcMar>
              <w:bottom w:w="0" w:type="dxa"/>
            </w:tcMar>
            <w:vAlign w:val="bottom"/>
          </w:tcPr>
          <w:p>
            <w:pPr>
              <w:pStyle w:val="TableContents"/>
              <w:bidi w:val="0"/>
              <w:spacing w:before="0" w:after="283"/>
              <w:jc w:val="left"/>
              <w:rPr/>
            </w:pPr>
            <w:r>
              <w:rPr/>
              <w:t> </w:t>
            </w:r>
          </w:p>
        </w:tc>
        <w:tc>
          <w:tcPr>
            <w:tcW w:w="1038" w:type="dxa"/>
            <w:tcBorders/>
            <w:shd w:fill="CCEEFF" w:val="clear"/>
            <w:tcMar>
              <w:bottom w:w="0" w:type="dxa"/>
            </w:tcMar>
            <w:vAlign w:val="bottom"/>
          </w:tcPr>
          <w:p>
            <w:pPr>
              <w:pStyle w:val="TableContents"/>
              <w:bidi w:val="0"/>
              <w:spacing w:before="0" w:after="0"/>
              <w:jc w:val="right"/>
              <w:rPr>
                <w:color w:val="000000"/>
              </w:rPr>
            </w:pPr>
            <w:r>
              <w:rPr>
                <w:color w:val="000000"/>
              </w:rPr>
              <w:t>2,442,319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6"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54" w:type="dxa"/>
            <w:tcBorders/>
            <w:shd w:fill="CCEEFF" w:val="clear"/>
            <w:tcMar>
              <w:bottom w:w="0" w:type="dxa"/>
            </w:tcMar>
            <w:vAlign w:val="bottom"/>
          </w:tcPr>
          <w:p>
            <w:pPr>
              <w:pStyle w:val="TableContents"/>
              <w:bidi w:val="0"/>
              <w:spacing w:before="0" w:after="0"/>
              <w:jc w:val="right"/>
              <w:rPr>
                <w:color w:val="000000"/>
              </w:rPr>
            </w:pPr>
            <w:r>
              <w:rPr>
                <w:color w:val="000000"/>
              </w:rPr>
              <w:t>22.90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143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55,929,105.10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90" w:type="dxa"/>
            <w:tcBorders/>
            <w:shd w:fill="CCEEFF" w:val="clear"/>
            <w:tcMar>
              <w:bottom w:w="0" w:type="dxa"/>
            </w:tcMar>
            <w:vAlign w:val="bottom"/>
          </w:tcPr>
          <w:p>
            <w:pPr>
              <w:pStyle w:val="TableContents"/>
              <w:bidi w:val="0"/>
              <w:spacing w:before="0" w:after="0"/>
              <w:jc w:val="center"/>
              <w:rPr>
                <w:color w:val="000000"/>
              </w:rPr>
            </w:pPr>
            <w:r>
              <w:rPr>
                <w:color w:val="000000"/>
              </w:rPr>
              <w:t>0.00015310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7"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1088"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8,562.75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5680" w:type="dxa"/>
            <w:gridSpan w:val="12"/>
            <w:tcBorders/>
            <w:tcMar>
              <w:bottom w:w="0" w:type="dxa"/>
            </w:tcMar>
            <w:vAlign w:val="bottom"/>
          </w:tcPr>
          <w:p>
            <w:pPr>
              <w:pStyle w:val="TableContents"/>
              <w:bidi w:val="0"/>
              <w:spacing w:before="0" w:after="0"/>
              <w:jc w:val="center"/>
              <w:rPr>
                <w:b/>
                <w:color w:val="000000"/>
              </w:rPr>
            </w:pPr>
            <w:r>
              <w:rPr>
                <w:b/>
                <w:color w:val="000000"/>
              </w:rPr>
              <w:t>Total Offering Amounts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bottom w:val="single" w:sz="12" w:space="0" w:color="000000"/>
            </w:tcBorders>
            <w:vAlign w:val="bottom"/>
          </w:tcPr>
          <w:p>
            <w:pPr>
              <w:pStyle w:val="TableContents"/>
              <w:bidi w:val="0"/>
              <w:spacing w:before="0" w:after="283"/>
              <w:jc w:val="left"/>
              <w:rPr/>
            </w:pPr>
            <w:r>
              <w:rPr/>
              <w:t>$</w:t>
            </w:r>
          </w:p>
        </w:tc>
        <w:tc>
          <w:tcPr>
            <w:tcW w:w="1430" w:type="dxa"/>
            <w:tcBorders>
              <w:bottom w:val="single" w:sz="12" w:space="0" w:color="000000"/>
            </w:tcBorders>
            <w:vAlign w:val="bottom"/>
          </w:tcPr>
          <w:p>
            <w:pPr>
              <w:pStyle w:val="TableContents"/>
              <w:bidi w:val="0"/>
              <w:spacing w:before="0" w:after="283"/>
              <w:jc w:val="right"/>
              <w:rPr/>
            </w:pPr>
            <w:r>
              <w:rPr/>
              <w:t xml:space="preserve">55,929,105.10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119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7" w:type="dxa"/>
            <w:tcBorders>
              <w:bottom w:val="single" w:sz="12" w:space="0" w:color="000000"/>
            </w:tcBorders>
            <w:vAlign w:val="bottom"/>
          </w:tcPr>
          <w:p>
            <w:pPr>
              <w:pStyle w:val="TableContents"/>
              <w:bidi w:val="0"/>
              <w:spacing w:before="0" w:after="283"/>
              <w:jc w:val="left"/>
              <w:rPr/>
            </w:pPr>
            <w:r>
              <w:rPr/>
              <w:t xml:space="preserve">$ </w:t>
            </w:r>
          </w:p>
        </w:tc>
        <w:tc>
          <w:tcPr>
            <w:tcW w:w="1088" w:type="dxa"/>
            <w:tcBorders>
              <w:bottom w:val="single" w:sz="12" w:space="0" w:color="000000"/>
            </w:tcBorders>
            <w:vAlign w:val="bottom"/>
          </w:tcPr>
          <w:p>
            <w:pPr>
              <w:pStyle w:val="TableContents"/>
              <w:bidi w:val="0"/>
              <w:spacing w:before="0" w:after="283"/>
              <w:jc w:val="right"/>
              <w:rPr/>
            </w:pPr>
            <w:r>
              <w:rPr/>
              <w:t xml:space="preserve">8,562.75 </w:t>
            </w:r>
          </w:p>
        </w:tc>
        <w:tc>
          <w:tcPr>
            <w:tcW w:w="120" w:type="dxa"/>
            <w:tcBorders/>
            <w:tcMar>
              <w:bottom w:w="0" w:type="dxa"/>
            </w:tcMar>
            <w:vAlign w:val="bottom"/>
          </w:tcPr>
          <w:p>
            <w:pPr>
              <w:pStyle w:val="TableContents"/>
              <w:bidi w:val="0"/>
              <w:spacing w:before="0" w:after="283"/>
              <w:jc w:val="left"/>
              <w:rPr/>
            </w:pPr>
            <w:r>
              <w:rPr/>
              <w:t> </w:t>
            </w:r>
          </w:p>
        </w:tc>
      </w:tr>
      <w:tr>
        <w:trPr/>
        <w:tc>
          <w:tcPr>
            <w:tcW w:w="5680" w:type="dxa"/>
            <w:gridSpan w:val="12"/>
            <w:tcBorders/>
            <w:shd w:fill="CCEEFF" w:val="clear"/>
            <w:tcMar>
              <w:bottom w:w="0" w:type="dxa"/>
            </w:tcMar>
            <w:vAlign w:val="bottom"/>
          </w:tcPr>
          <w:p>
            <w:pPr>
              <w:pStyle w:val="TableContents"/>
              <w:bidi w:val="0"/>
              <w:spacing w:before="0" w:after="0"/>
              <w:jc w:val="center"/>
              <w:rPr>
                <w:b/>
                <w:color w:val="000000"/>
              </w:rPr>
            </w:pPr>
            <w:r>
              <w:rPr>
                <w:b/>
                <w:color w:val="000000"/>
              </w:rPr>
              <w:t>Total Fee Offsets</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4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9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7" w:type="dxa"/>
            <w:tcBorders>
              <w:bottom w:val="single" w:sz="12" w:space="0" w:color="000000"/>
            </w:tcBorders>
            <w:shd w:fill="CCEEFF" w:val="clear"/>
            <w:vAlign w:val="bottom"/>
          </w:tcPr>
          <w:p>
            <w:pPr>
              <w:pStyle w:val="TableContents"/>
              <w:bidi w:val="0"/>
              <w:spacing w:before="0" w:after="283"/>
              <w:jc w:val="left"/>
              <w:rPr/>
            </w:pPr>
            <w:r>
              <w:rPr/>
              <w:t>$</w:t>
            </w:r>
          </w:p>
        </w:tc>
        <w:tc>
          <w:tcPr>
            <w:tcW w:w="1088"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0.00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5680" w:type="dxa"/>
            <w:gridSpan w:val="12"/>
            <w:tcBorders/>
            <w:tcMar>
              <w:bottom w:w="0" w:type="dxa"/>
            </w:tcMar>
            <w:vAlign w:val="bottom"/>
          </w:tcPr>
          <w:p>
            <w:pPr>
              <w:pStyle w:val="TableContents"/>
              <w:bidi w:val="0"/>
              <w:spacing w:before="0" w:after="0"/>
              <w:jc w:val="center"/>
              <w:rPr>
                <w:b/>
                <w:color w:val="000000"/>
              </w:rPr>
            </w:pPr>
            <w:r>
              <w:rPr>
                <w:b/>
                <w:color w:val="000000"/>
              </w:rPr>
              <w:t>Net Fee Due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14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119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7" w:type="dxa"/>
            <w:tcBorders>
              <w:bottom w:val="single" w:sz="12" w:space="0" w:color="000000"/>
            </w:tcBorders>
            <w:vAlign w:val="bottom"/>
          </w:tcPr>
          <w:p>
            <w:pPr>
              <w:pStyle w:val="TableContents"/>
              <w:bidi w:val="0"/>
              <w:spacing w:before="0" w:after="283"/>
              <w:jc w:val="left"/>
              <w:rPr/>
            </w:pPr>
            <w:r>
              <w:rPr/>
              <w:t>$</w:t>
            </w:r>
          </w:p>
        </w:tc>
        <w:tc>
          <w:tcPr>
            <w:tcW w:w="1088" w:type="dxa"/>
            <w:tcBorders>
              <w:bottom w:val="single" w:sz="12" w:space="0" w:color="000000"/>
            </w:tcBorders>
            <w:vAlign w:val="bottom"/>
          </w:tcPr>
          <w:p>
            <w:pPr>
              <w:pStyle w:val="TableContents"/>
              <w:bidi w:val="0"/>
              <w:spacing w:before="0" w:after="283"/>
              <w:jc w:val="right"/>
              <w:rPr/>
            </w:pPr>
            <w:r>
              <w:rPr/>
              <w:t>8,562.75</w:t>
            </w:r>
          </w:p>
        </w:tc>
        <w:tc>
          <w:tcPr>
            <w:tcW w:w="12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color w:val="000000"/>
              </w:rPr>
            </w:pPr>
            <w:r>
              <w:rPr>
                <w:color w:val="000000"/>
              </w:rPr>
              <w:t>(1)</w:t>
            </w:r>
          </w:p>
        </w:tc>
        <w:tc>
          <w:tcPr>
            <w:tcW w:w="9929" w:type="dxa"/>
            <w:tcBorders/>
            <w:vAlign w:val="center"/>
          </w:tcPr>
          <w:p>
            <w:pPr>
              <w:pStyle w:val="TableContents"/>
              <w:bidi w:val="0"/>
              <w:spacing w:before="0" w:after="0"/>
              <w:jc w:val="left"/>
              <w:rPr/>
            </w:pPr>
            <w:r>
              <w:rPr/>
              <w:t>Consists of additional shares available for issuance under the registrant’s 2016 Omnibus Incentive Plan as the result of an annual increase effective as of January 1, 2025. In accordance with Rule 416 under the Securities Act of 1933, this registration statement shall be deemed to cover any additional securities that may from time to time be offered or issued to prevent dilution resulting from stock splits, stock dividends or similar transactions.</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color w:val="000000"/>
              </w:rPr>
            </w:pPr>
            <w:r>
              <w:rPr>
                <w:color w:val="000000"/>
              </w:rPr>
              <w:t>(2)</w:t>
            </w:r>
          </w:p>
        </w:tc>
        <w:tc>
          <w:tcPr>
            <w:tcW w:w="9921" w:type="dxa"/>
            <w:tcBorders/>
            <w:vAlign w:val="center"/>
          </w:tcPr>
          <w:p>
            <w:pPr>
              <w:pStyle w:val="TableContents"/>
              <w:bidi w:val="0"/>
              <w:spacing w:before="0" w:after="0"/>
              <w:jc w:val="left"/>
              <w:rPr/>
            </w:pPr>
            <w:r>
              <w:rPr/>
              <w:t>Estimated solely for the purpose of calculating the registration fee pursuant to Rules 457(c) and (h) under the Securities Act of 1933 and based upon the average of the high and low prices of the registrant’s Class A common stock as reported on The NASDAQ Global Market on February 25, 2025.</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0062/000119312517342650/d407541dex301.htm" TargetMode="External"/><Relationship Id="rId3" Type="http://schemas.openxmlformats.org/officeDocument/2006/relationships/hyperlink" Target="https://www.sec.gov/Archives/edgar/data/1680062/000114036121024240/brhc10026736_ex3-01.htm" TargetMode="External"/><Relationship Id="rId4" Type="http://schemas.openxmlformats.org/officeDocument/2006/relationships/hyperlink" Target="https://www.sec.gov/Archives/edgar/data/1680062/000119312517342650/d407541dex302.htm" TargetMode="External"/><Relationship Id="rId5" Type="http://schemas.openxmlformats.org/officeDocument/2006/relationships/hyperlink" Target="https://www.sec.gov/Archives/edgar/data/1680062/000119312517364926/d481028dex10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1786</Words>
  <Characters>9326</Characters>
  <CharactersWithSpaces>11078</CharactersWithSpaces>
  <Paragraphs>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