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7, 2023</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22"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820" w:space="720"/>
            <w:col w:w="3080"/>
          </w:cols>
          <w:pgMar w:left="320" w:top="522" w:right="339" w:bottom="1440" w:gutter="0" w:footer="0" w:header="0"/>
          <w:type w:val="continuous"/>
        </w:sectPr>
      </w:pPr>
    </w:p>
    <w:p>
      <w:pPr>
        <w:spacing w:after="0" w:line="30"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42307 Osgood Road, Suite I Fremont, California</w:t>
      </w:r>
    </w:p>
    <w:p>
      <w:pPr>
        <w:spacing w:after="0" w:line="50" w:lineRule="exact"/>
        <w:rPr>
          <w:sz w:val="24"/>
          <w:szCs w:val="24"/>
          <w:color w:val="auto"/>
        </w:rPr>
      </w:pPr>
    </w:p>
    <w:p>
      <w:pPr>
        <w:jc w:val="center"/>
        <w:ind w:right="186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522"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39"/>
        </w:trPr>
        <w:tc>
          <w:tcPr>
            <w:tcW w:w="5420" w:type="dxa"/>
            <w:vAlign w:val="bottom"/>
            <w:gridSpan w:val="2"/>
          </w:tcPr>
          <w:p>
            <w:pPr>
              <w:ind w:left="1940"/>
              <w:spacing w:after="0"/>
              <w:rPr>
                <w:sz w:val="20"/>
                <w:szCs w:val="20"/>
                <w:color w:val="auto"/>
              </w:rPr>
            </w:pPr>
            <w:r>
              <w:rPr>
                <w:rFonts w:ascii="Arial" w:cs="Arial" w:eastAsia="Arial" w:hAnsi="Arial"/>
                <w:sz w:val="18"/>
                <w:szCs w:val="18"/>
                <w:b w:val="1"/>
                <w:bCs w:val="1"/>
                <w:color w:val="auto"/>
              </w:rPr>
              <w:t>Title of each class</w:t>
            </w: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Trading symbol</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8"/>
        </w:trPr>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220" w:type="dxa"/>
            <w:vAlign w:val="bottom"/>
          </w:tcPr>
          <w:p>
            <w:pPr>
              <w:spacing w:after="0"/>
              <w:rPr>
                <w:sz w:val="18"/>
                <w:szCs w:val="18"/>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ACMR</w:t>
            </w:r>
          </w:p>
        </w:tc>
        <w:tc>
          <w:tcPr>
            <w:tcW w:w="220" w:type="dxa"/>
            <w:vAlign w:val="bottom"/>
          </w:tcPr>
          <w:p>
            <w:pPr>
              <w:spacing w:after="0"/>
              <w:rPr>
                <w:sz w:val="18"/>
                <w:szCs w:val="18"/>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ind w:right="280"/>
        <w:spacing w:after="0" w:line="229"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5"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7, 2023, we issued a press release announcing financial results for the third quarter of 2023. The full text of the press release is furnished as Exhibit 99.1 hereto and is incorporated herein by reference</w:t>
      </w:r>
      <w:r>
        <w:rPr>
          <w:rFonts w:ascii="Arial" w:cs="Arial" w:eastAsia="Arial" w:hAnsi="Arial"/>
          <w:sz w:val="18"/>
          <w:szCs w:val="18"/>
          <w:i w:val="1"/>
          <w:iCs w:val="1"/>
          <w:color w:val="auto"/>
        </w:rPr>
        <w: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p>
      <w:pPr>
        <w:ind w:left="220"/>
        <w:spacing w:after="0"/>
        <w:tabs>
          <w:tab w:leader="none" w:pos="57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360"/>
        <w:spacing w:after="0"/>
        <w:tabs>
          <w:tab w:leader="none" w:pos="112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color w:val="auto"/>
        </w:rPr>
        <w:t>Press Release of ACM Research, Inc. dated November 7, 2023</w:t>
      </w:r>
    </w:p>
    <w:p>
      <w:pPr>
        <w:spacing w:after="0" w:line="225" w:lineRule="exact"/>
        <w:rPr>
          <w:sz w:val="20"/>
          <w:szCs w:val="20"/>
          <w:color w:val="auto"/>
        </w:rPr>
      </w:pPr>
    </w:p>
    <w:p>
      <w:pPr>
        <w:ind w:left="380"/>
        <w:spacing w:after="0"/>
        <w:tabs>
          <w:tab w:leader="none" w:pos="11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XBRL document)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2023</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154305</wp:posOffset>
            </wp:positionV>
            <wp:extent cx="865505"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550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Reports Third Quarter 2023 Results</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FREMONT, Calif., November 07, 2023 (Globe Newswire) – ACM Research, Inc. (“ACM”) (NASDAQ: ACMR), a leading supplier of wafer processing solutions for semiconductor and advanced wafer-level packaging applications, today reported financial results for its third quarter ended September 30, 2023.</w:t>
      </w:r>
    </w:p>
    <w:p>
      <w:pPr>
        <w:spacing w:after="0" w:line="184"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“We delivered another solid quarter. Revenue grew 26% and shipments were a record $213 million, up 31%,” said ACM’s President and Chief Executive Officer, Dr. David Wang. “Our results demonstrate spending on mature nodes and market share gains at our customer base, together with more contribution from new products and new customers.”</w:t>
      </w:r>
    </w:p>
    <w:p>
      <w:pPr>
        <w:spacing w:after="0" w:line="184"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Dr. Wang continued, “I am pleased with continued customer demand and execution by the ACM team as we continue on our mission to become a key supplier to major semiconductor manufacturers. We are encouraged by sustained investments in mature node capacity by our China-based customers and growing demand for our multi-product portfolio. We are making great progress with our increased efforts in Korea which we believe will result in better traction with major local customers, accelerate our product development, and provide production capacity to support the market opportunity for global customers.”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8"/>
                <w:szCs w:val="18"/>
                <w:b w:val="1"/>
                <w:bCs w:val="1"/>
                <w:color w:val="auto"/>
                <w:w w:val="92"/>
              </w:rPr>
              <w:t>Three Months Ended September 30,</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6"/>
          </w:tcPr>
          <w:p>
            <w:pPr>
              <w:spacing w:after="0"/>
              <w:rPr>
                <w:sz w:val="20"/>
                <w:szCs w:val="20"/>
                <w:color w:val="auto"/>
              </w:rPr>
            </w:pPr>
            <w:r>
              <w:rPr>
                <w:rFonts w:ascii="Arial" w:cs="Arial" w:eastAsia="Arial" w:hAnsi="Arial"/>
                <w:sz w:val="18"/>
                <w:szCs w:val="18"/>
                <w:i w:val="1"/>
                <w:iCs w:val="1"/>
                <w:color w:val="auto"/>
                <w:w w:val="99"/>
              </w:rPr>
              <w:t>(dollars in thousands, except EPS)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168,569</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133,709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168,569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133,709</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49.4%</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33,173</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31,636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43,754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33,529</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 attributable to ACM Research,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25,679</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21,004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37,579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28,178</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0.43</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0.47</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Diluted EPS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0.32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0.57</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8"/>
                <w:szCs w:val="18"/>
                <w:b w:val="1"/>
                <w:bCs w:val="1"/>
                <w:color w:val="auto"/>
                <w:w w:val="90"/>
              </w:rPr>
              <w:t>Nine Months Ended September 30,</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6"/>
          </w:tcPr>
          <w:p>
            <w:pPr>
              <w:spacing w:after="0"/>
              <w:rPr>
                <w:sz w:val="20"/>
                <w:szCs w:val="20"/>
                <w:color w:val="auto"/>
              </w:rPr>
            </w:pPr>
            <w:r>
              <w:rPr>
                <w:rFonts w:ascii="Arial" w:cs="Arial" w:eastAsia="Arial" w:hAnsi="Arial"/>
                <w:sz w:val="18"/>
                <w:szCs w:val="18"/>
                <w:i w:val="1"/>
                <w:iCs w:val="1"/>
                <w:color w:val="auto"/>
                <w:w w:val="99"/>
              </w:rPr>
              <w:t>(dollars in thousands, except EPS)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387,402</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280,290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387,402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280,290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51.1%</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46.4%</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72,465</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42,365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87,131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47,601</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 attributable to ACM Research,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59,649</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27,454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78,743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42,252</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0.99</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0.71</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Diluted EPS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0.41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0.64</w:t>
            </w:r>
          </w:p>
        </w:tc>
      </w:tr>
    </w:tbl>
    <w:p>
      <w:pPr>
        <w:spacing w:after="0" w:line="187" w:lineRule="exact"/>
        <w:rPr>
          <w:sz w:val="20"/>
          <w:szCs w:val="20"/>
          <w:color w:val="auto"/>
        </w:rPr>
      </w:pPr>
    </w:p>
    <w:p>
      <w:pPr>
        <w:ind w:left="660" w:right="60" w:hanging="652"/>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and, with respect to net income (loss) attributable to ACM Research, Inc. and basic and diluted earnings per share, also exclude unrealized loss on short-term investments.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ACM has updated and narrowed its revenue guidance range for fiscal year 2023 to $520 million to $540 million from the previous guidance range of $515 million to $585 million. This expectation is based on ACM management’s current assessment of the continuing impact from international trade policy together with various expected spending scenarios of key customers, supply chain constraints, and the timing of acceptances for first tools under evaluation in the field, among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Operating Highlights and Recent Announcements</w:t>
      </w:r>
    </w:p>
    <w:p>
      <w:pPr>
        <w:spacing w:after="0" w:line="225" w:lineRule="exact"/>
        <w:rPr>
          <w:sz w:val="20"/>
          <w:szCs w:val="20"/>
          <w:color w:val="auto"/>
        </w:rPr>
      </w:pPr>
    </w:p>
    <w:p>
      <w:pPr>
        <w:ind w:left="340" w:right="120" w:hanging="332"/>
        <w:spacing w:after="0" w:line="312"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Shipments. </w:t>
      </w:r>
      <w:r>
        <w:rPr>
          <w:rFonts w:ascii="Arial" w:cs="Arial" w:eastAsia="Arial" w:hAnsi="Arial"/>
          <w:sz w:val="17"/>
          <w:szCs w:val="17"/>
          <w:color w:val="auto"/>
        </w:rPr>
        <w:t>Total shipments in the third quarter of 2023 were $213 million, up 31% from the third quarter of 2022. Total shipments include deliveries</w:t>
      </w:r>
      <w:r>
        <w:rPr>
          <w:rFonts w:ascii="Arial" w:cs="Arial" w:eastAsia="Arial" w:hAnsi="Arial"/>
          <w:sz w:val="17"/>
          <w:szCs w:val="17"/>
          <w:b w:val="1"/>
          <w:bCs w:val="1"/>
          <w:color w:val="auto"/>
        </w:rPr>
        <w:t xml:space="preserve"> </w:t>
      </w:r>
      <w:r>
        <w:rPr>
          <w:rFonts w:ascii="Arial" w:cs="Arial" w:eastAsia="Arial" w:hAnsi="Arial"/>
          <w:sz w:val="17"/>
          <w:szCs w:val="17"/>
          <w:color w:val="auto"/>
        </w:rPr>
        <w:t>for revenue in the quarter and deliveries of first tool systems awaiting customer acceptance for potential revenue in future quarters.</w:t>
      </w:r>
    </w:p>
    <w:p>
      <w:pPr>
        <w:spacing w:after="0" w:line="139" w:lineRule="exact"/>
        <w:rPr>
          <w:rFonts w:ascii="Arial" w:cs="Arial" w:eastAsia="Arial" w:hAnsi="Arial"/>
          <w:sz w:val="17"/>
          <w:szCs w:val="17"/>
          <w:color w:val="auto"/>
        </w:rPr>
      </w:pPr>
    </w:p>
    <w:p>
      <w:pPr>
        <w:jc w:val="both"/>
        <w:ind w:left="340" w:right="180" w:hanging="332"/>
        <w:spacing w:after="0" w:line="26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Receipt of Purchase Order for Backside Clean and Bevel Etch Tool from Large U.S. Manufacturer. </w:t>
      </w:r>
      <w:r>
        <w:rPr>
          <w:rFonts w:ascii="Arial" w:cs="Arial" w:eastAsia="Arial" w:hAnsi="Arial"/>
          <w:sz w:val="18"/>
          <w:szCs w:val="18"/>
          <w:color w:val="auto"/>
        </w:rPr>
        <w:t>ACM announced the receipt of a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order for its ULTRA C b backside clean and bevel etch tool from a major U.S. semiconductor manufacturer. The tool is expected to be shipped to the prospective customer’s U.S. facility in the second quarter of 2024.</w:t>
      </w:r>
    </w:p>
    <w:p>
      <w:pPr>
        <w:spacing w:after="0" w:line="175" w:lineRule="exact"/>
        <w:rPr>
          <w:rFonts w:ascii="Arial" w:cs="Arial" w:eastAsia="Arial" w:hAnsi="Arial"/>
          <w:sz w:val="18"/>
          <w:szCs w:val="18"/>
          <w:color w:val="auto"/>
        </w:rPr>
      </w:pPr>
    </w:p>
    <w:p>
      <w:pPr>
        <w:ind w:left="340" w:right="100" w:hanging="332"/>
        <w:spacing w:after="0" w:line="281"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Introduced Vacuum Cleaning Platform. </w:t>
      </w:r>
      <w:r>
        <w:rPr>
          <w:rFonts w:ascii="Arial" w:cs="Arial" w:eastAsia="Arial" w:hAnsi="Arial"/>
          <w:sz w:val="17"/>
          <w:szCs w:val="17"/>
          <w:color w:val="auto"/>
        </w:rPr>
        <w:t>ACM introduced the ULTRA C v Vacuum Cleaning Tool to meet the unique flux removal requirements for</w:t>
      </w:r>
      <w:r>
        <w:rPr>
          <w:rFonts w:ascii="Arial" w:cs="Arial" w:eastAsia="Arial" w:hAnsi="Arial"/>
          <w:sz w:val="17"/>
          <w:szCs w:val="17"/>
          <w:b w:val="1"/>
          <w:bCs w:val="1"/>
          <w:color w:val="auto"/>
        </w:rPr>
        <w:t xml:space="preserve"> </w:t>
      </w:r>
      <w:r>
        <w:rPr>
          <w:rFonts w:ascii="Arial" w:cs="Arial" w:eastAsia="Arial" w:hAnsi="Arial"/>
          <w:sz w:val="17"/>
          <w:szCs w:val="17"/>
          <w:color w:val="auto"/>
        </w:rPr>
        <w:t>chiplets and other advanced 3D packaging structures. The new tool, which was developed in collaboration with several key customers, has demonstrated excellent process performance with no flux residual remaining post-clean. ACM also announced that it has received a purchase order from a major Chinese manufacturer for the tool, which it expects to deliver in the first quarter of 2024.</w:t>
      </w:r>
    </w:p>
    <w:p>
      <w:pPr>
        <w:spacing w:after="0" w:line="164" w:lineRule="exact"/>
        <w:rPr>
          <w:rFonts w:ascii="Arial" w:cs="Arial" w:eastAsia="Arial" w:hAnsi="Arial"/>
          <w:sz w:val="17"/>
          <w:szCs w:val="17"/>
          <w:color w:val="auto"/>
        </w:rPr>
      </w:pPr>
    </w:p>
    <w:p>
      <w:pPr>
        <w:ind w:left="340" w:right="80" w:hanging="332"/>
        <w:spacing w:after="0" w:line="26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Dividend. </w:t>
      </w:r>
      <w:r>
        <w:rPr>
          <w:rFonts w:ascii="Arial" w:cs="Arial" w:eastAsia="Arial" w:hAnsi="Arial"/>
          <w:sz w:val="18"/>
          <w:szCs w:val="18"/>
          <w:color w:val="auto"/>
        </w:rPr>
        <w:t>ACM’s principal operating subsidiary, ACM Research (Shanghai), Inc. (“ACM Shanghai”) (SSEC: 688082.SS), paid a dividend to its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of RMB 0.372 per share for an aggregate total of approximately RMB 161.3 million (approximately $22.2 million) in the third quarter of 2023.</w:t>
      </w:r>
    </w:p>
    <w:p>
      <w:pPr>
        <w:spacing w:after="0" w:line="175" w:lineRule="exact"/>
        <w:rPr>
          <w:rFonts w:ascii="Arial" w:cs="Arial" w:eastAsia="Arial" w:hAnsi="Arial"/>
          <w:sz w:val="18"/>
          <w:szCs w:val="18"/>
          <w:color w:val="auto"/>
        </w:rPr>
      </w:pPr>
    </w:p>
    <w:p>
      <w:pPr>
        <w:ind w:left="340" w:right="440" w:hanging="332"/>
        <w:spacing w:after="0" w:line="314"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Appointment of Ernst &amp; Young Hua Ming LLP as Auditor for 2023. </w:t>
      </w:r>
      <w:r>
        <w:rPr>
          <w:rFonts w:ascii="Arial" w:cs="Arial" w:eastAsia="Arial" w:hAnsi="Arial"/>
          <w:sz w:val="16"/>
          <w:szCs w:val="16"/>
          <w:color w:val="auto"/>
        </w:rPr>
        <w:t>ACM announced that Ernst &amp; Young Hua Ming LLP (“E&amp;Y”)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as ACM’s independent registered public accounting firm to audit ACM’s consolidated financial statements and internal controls over financial reporting for the fiscal year ending December 31, 2023. The engagement of E&amp;Y became effective on September 20,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 otherwise noted, the following figures refer to the third quarter of 2023 and comparisons are with the third quarter of 2022.</w:t>
      </w:r>
    </w:p>
    <w:p>
      <w:pPr>
        <w:spacing w:after="0" w:line="221" w:lineRule="exact"/>
        <w:rPr>
          <w:sz w:val="20"/>
          <w:szCs w:val="20"/>
          <w:color w:val="auto"/>
        </w:rPr>
      </w:pPr>
    </w:p>
    <w:p>
      <w:pPr>
        <w:ind w:left="340" w:right="60" w:hanging="332"/>
        <w:spacing w:after="0" w:line="34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was $168.6 million, up 26.1%, reflecting higher sales of single wafer cleaning, Tahoe and semi-critical cleaning equipment; electro-chemical</w:t>
      </w:r>
      <w:r>
        <w:rPr>
          <w:rFonts w:ascii="Arial" w:cs="Arial" w:eastAsia="Arial" w:hAnsi="Arial"/>
          <w:sz w:val="16"/>
          <w:szCs w:val="16"/>
          <w:b w:val="1"/>
          <w:bCs w:val="1"/>
          <w:color w:val="auto"/>
        </w:rPr>
        <w:t xml:space="preserve"> </w:t>
      </w:r>
      <w:r>
        <w:rPr>
          <w:rFonts w:ascii="Arial" w:cs="Arial" w:eastAsia="Arial" w:hAnsi="Arial"/>
          <w:sz w:val="16"/>
          <w:szCs w:val="16"/>
          <w:color w:val="auto"/>
        </w:rPr>
        <w:t>plating (“ECP”) (front-end and packaging), furnace and other technologies; and advanced packaging (excluding ECP), services and spares.</w:t>
      </w:r>
    </w:p>
    <w:p>
      <w:pPr>
        <w:spacing w:after="0" w:line="115" w:lineRule="exact"/>
        <w:rPr>
          <w:rFonts w:ascii="Arial" w:cs="Arial" w:eastAsia="Arial" w:hAnsi="Arial"/>
          <w:sz w:val="16"/>
          <w:szCs w:val="16"/>
          <w:color w:val="auto"/>
        </w:rPr>
      </w:pPr>
    </w:p>
    <w:p>
      <w:pPr>
        <w:ind w:left="3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Gross margin </w:t>
      </w:r>
      <w:r>
        <w:rPr>
          <w:rFonts w:ascii="Arial" w:cs="Arial" w:eastAsia="Arial" w:hAnsi="Arial"/>
          <w:sz w:val="18"/>
          <w:szCs w:val="18"/>
          <w:color w:val="auto"/>
        </w:rPr>
        <w:t>was 52.5%, up from 49.3%. Non-GAAP gross margin, which excludes stock-based compensation, was 52.9%, up from 49.4%. Gross</w:t>
      </w:r>
      <w:r>
        <w:rPr>
          <w:rFonts w:ascii="Arial" w:cs="Arial" w:eastAsia="Arial" w:hAnsi="Arial"/>
          <w:sz w:val="18"/>
          <w:szCs w:val="18"/>
          <w:b w:val="1"/>
          <w:bCs w:val="1"/>
          <w:color w:val="auto"/>
        </w:rPr>
        <w:t xml:space="preserve"> </w:t>
      </w:r>
      <w:r>
        <w:rPr>
          <w:rFonts w:ascii="Arial" w:cs="Arial" w:eastAsia="Arial" w:hAnsi="Arial"/>
          <w:sz w:val="18"/>
          <w:szCs w:val="18"/>
          <w:color w:val="auto"/>
        </w:rPr>
        <w:t>margin exceeded the range of 40% to 45% reflected in ACM’s long-term business model. The increase in gross margin was due to a favorable product mix and improved gross margins for specific product lines. ACM expects gross margin to vary from period to period due to a variety of factors, such as product mix, currency impacts and sales volume.</w:t>
      </w:r>
    </w:p>
    <w:p>
      <w:pPr>
        <w:spacing w:after="0" w:line="179" w:lineRule="exact"/>
        <w:rPr>
          <w:rFonts w:ascii="Arial" w:cs="Arial" w:eastAsia="Arial" w:hAnsi="Arial"/>
          <w:sz w:val="18"/>
          <w:szCs w:val="18"/>
          <w:color w:val="auto"/>
        </w:rPr>
      </w:pPr>
    </w:p>
    <w:p>
      <w:pPr>
        <w:ind w:left="340" w:right="380" w:hanging="332"/>
        <w:spacing w:after="0" w:line="26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were $55.3 million, an increase of 61.2%. Non-GAAP operating expenses, which exclude the effect of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were $45.3 million, up 39.2%. Operating expenses as a percent of revenue increased to 32.8% from 25.7%. Non-GAAP operating expenses as a percent of revenue increased to 26.9% from 24.4%.</w:t>
      </w:r>
    </w:p>
    <w:p>
      <w:pPr>
        <w:spacing w:after="0" w:line="175" w:lineRule="exact"/>
        <w:rPr>
          <w:rFonts w:ascii="Arial" w:cs="Arial" w:eastAsia="Arial" w:hAnsi="Arial"/>
          <w:sz w:val="18"/>
          <w:szCs w:val="18"/>
          <w:color w:val="auto"/>
        </w:rPr>
      </w:pPr>
    </w:p>
    <w:p>
      <w:pPr>
        <w:ind w:left="340" w:right="160" w:hanging="332"/>
        <w:spacing w:after="0" w:line="28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was $33.2 million, up from $31.6 million. Non-GAAP operating income, which excludes the effect of stock-based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was $43.8 million, up from $33.5 million.</w:t>
      </w:r>
    </w:p>
    <w:p>
      <w:pPr>
        <w:spacing w:after="0" w:line="161" w:lineRule="exact"/>
        <w:rPr>
          <w:rFonts w:ascii="Arial" w:cs="Arial" w:eastAsia="Arial" w:hAnsi="Arial"/>
          <w:sz w:val="18"/>
          <w:szCs w:val="18"/>
          <w:color w:val="auto"/>
        </w:rPr>
      </w:pPr>
    </w:p>
    <w:p>
      <w:pPr>
        <w:ind w:left="340" w:right="240" w:hanging="332"/>
        <w:spacing w:after="0" w:line="312"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Unrealized loss on short-term investments </w:t>
      </w:r>
      <w:r>
        <w:rPr>
          <w:rFonts w:ascii="Arial" w:cs="Arial" w:eastAsia="Arial" w:hAnsi="Arial"/>
          <w:sz w:val="17"/>
          <w:szCs w:val="17"/>
          <w:color w:val="auto"/>
        </w:rPr>
        <w:t>was $1.3 million. The loss reflects the change in market value of the investments by ACM Shanghai in</w:t>
      </w:r>
      <w:r>
        <w:rPr>
          <w:rFonts w:ascii="Arial" w:cs="Arial" w:eastAsia="Arial" w:hAnsi="Arial"/>
          <w:sz w:val="17"/>
          <w:szCs w:val="17"/>
          <w:b w:val="1"/>
          <w:bCs w:val="1"/>
          <w:color w:val="auto"/>
        </w:rPr>
        <w:t xml:space="preserve"> </w:t>
      </w:r>
      <w:r>
        <w:rPr>
          <w:rFonts w:ascii="Arial" w:cs="Arial" w:eastAsia="Arial" w:hAnsi="Arial"/>
          <w:sz w:val="17"/>
          <w:szCs w:val="17"/>
          <w:color w:val="auto"/>
        </w:rPr>
        <w:t>short-term investments. The value is marked-to-market quarterly and is excluded in the non-GAAP financial metrics.</w:t>
      </w:r>
    </w:p>
    <w:p>
      <w:pPr>
        <w:spacing w:after="0" w:line="139" w:lineRule="exact"/>
        <w:rPr>
          <w:rFonts w:ascii="Arial" w:cs="Arial" w:eastAsia="Arial" w:hAnsi="Arial"/>
          <w:sz w:val="17"/>
          <w:szCs w:val="17"/>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Realized gain from sale of short-term investments </w:t>
      </w:r>
      <w:r>
        <w:rPr>
          <w:rFonts w:ascii="Arial" w:cs="Arial" w:eastAsia="Arial" w:hAnsi="Arial"/>
          <w:sz w:val="18"/>
          <w:szCs w:val="18"/>
          <w:color w:val="auto"/>
        </w:rPr>
        <w:t>was $0.7 million versus $1.1 million.</w:t>
      </w:r>
    </w:p>
    <w:p>
      <w:pPr>
        <w:spacing w:after="0" w:line="225" w:lineRule="exact"/>
        <w:rPr>
          <w:rFonts w:ascii="Arial" w:cs="Arial" w:eastAsia="Arial" w:hAnsi="Arial"/>
          <w:sz w:val="18"/>
          <w:szCs w:val="18"/>
          <w:color w:val="auto"/>
        </w:rPr>
      </w:pPr>
    </w:p>
    <w:p>
      <w:pPr>
        <w:jc w:val="both"/>
        <w:ind w:left="340" w:right="440" w:hanging="332"/>
        <w:spacing w:after="0" w:line="26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Income tax expense </w:t>
      </w:r>
      <w:r>
        <w:rPr>
          <w:rFonts w:ascii="Arial" w:cs="Arial" w:eastAsia="Arial" w:hAnsi="Arial"/>
          <w:sz w:val="18"/>
          <w:szCs w:val="18"/>
          <w:color w:val="auto"/>
        </w:rPr>
        <w:t>was $0.7 million versus $10.5 million. As a result of a change in Section 174 of the U.S. Internal Revenue Code of 1986,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that became effective on January 1, 2022, ACM’s effective tax rate remains elevated</w:t>
      </w:r>
      <w:r>
        <w:rPr>
          <w:rFonts w:ascii="Arial" w:cs="Arial" w:eastAsia="Arial" w:hAnsi="Arial"/>
          <w:sz w:val="18"/>
          <w:szCs w:val="18"/>
          <w:b w:val="1"/>
          <w:bCs w:val="1"/>
          <w:color w:val="auto"/>
        </w:rPr>
        <w:t>,</w:t>
      </w:r>
      <w:r>
        <w:rPr>
          <w:rFonts w:ascii="Arial" w:cs="Arial" w:eastAsia="Arial" w:hAnsi="Arial"/>
          <w:sz w:val="18"/>
          <w:szCs w:val="18"/>
          <w:color w:val="auto"/>
        </w:rPr>
        <w:t xml:space="preserve"> due primarily to the requirement to capitalize and amortize previously deductible research and experimental expenses.</w:t>
      </w:r>
    </w:p>
    <w:p>
      <w:pPr>
        <w:spacing w:after="0" w:line="175" w:lineRule="exact"/>
        <w:rPr>
          <w:rFonts w:ascii="Arial" w:cs="Arial" w:eastAsia="Arial" w:hAnsi="Arial"/>
          <w:sz w:val="18"/>
          <w:szCs w:val="18"/>
          <w:color w:val="auto"/>
        </w:rPr>
      </w:pPr>
    </w:p>
    <w:p>
      <w:pPr>
        <w:jc w:val="both"/>
        <w:ind w:left="340" w:right="160" w:hanging="332"/>
        <w:spacing w:after="0" w:line="34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Net income attributable to ACM Research, Inc. </w:t>
      </w:r>
      <w:r>
        <w:rPr>
          <w:rFonts w:ascii="Arial" w:cs="Arial" w:eastAsia="Arial" w:hAnsi="Arial"/>
          <w:sz w:val="16"/>
          <w:szCs w:val="16"/>
          <w:color w:val="auto"/>
        </w:rPr>
        <w:t>was $25.7 million, up from $21.0 million. Non-GAAP net income attributable to ACM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Inc., which excludes the effect of stock-based compensation and unrealized loss on short-term investments was $37.6 million, up from $28.2 million.</w:t>
      </w:r>
    </w:p>
    <w:p>
      <w:pPr>
        <w:spacing w:after="0" w:line="115" w:lineRule="exact"/>
        <w:rPr>
          <w:rFonts w:ascii="Arial" w:cs="Arial" w:eastAsia="Arial" w:hAnsi="Arial"/>
          <w:sz w:val="16"/>
          <w:szCs w:val="16"/>
          <w:color w:val="auto"/>
        </w:rPr>
      </w:pPr>
    </w:p>
    <w:p>
      <w:pPr>
        <w:ind w:left="340" w:right="420" w:hanging="332"/>
        <w:spacing w:after="0" w:line="312"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Net income per diluted share attributable to ACM Research, Inc. </w:t>
      </w:r>
      <w:r>
        <w:rPr>
          <w:rFonts w:ascii="Arial" w:cs="Arial" w:eastAsia="Arial" w:hAnsi="Arial"/>
          <w:sz w:val="17"/>
          <w:szCs w:val="17"/>
          <w:color w:val="auto"/>
        </w:rPr>
        <w:t>was $0.39, up from $0.32. Non-GAAP net income per diluted share, which</w:t>
      </w:r>
      <w:r>
        <w:rPr>
          <w:rFonts w:ascii="Arial" w:cs="Arial" w:eastAsia="Arial" w:hAnsi="Arial"/>
          <w:sz w:val="17"/>
          <w:szCs w:val="17"/>
          <w:b w:val="1"/>
          <w:bCs w:val="1"/>
          <w:color w:val="auto"/>
        </w:rPr>
        <w:t xml:space="preserve"> </w:t>
      </w:r>
      <w:r>
        <w:rPr>
          <w:rFonts w:ascii="Arial" w:cs="Arial" w:eastAsia="Arial" w:hAnsi="Arial"/>
          <w:sz w:val="17"/>
          <w:szCs w:val="17"/>
          <w:color w:val="auto"/>
        </w:rPr>
        <w:t>excludes the effect of stock-based compensation and unrealized loss on short-term investments, was $0.57, up from $0.42.</w:t>
      </w:r>
    </w:p>
    <w:p>
      <w:pPr>
        <w:spacing w:after="0" w:line="139" w:lineRule="exact"/>
        <w:rPr>
          <w:rFonts w:ascii="Arial" w:cs="Arial" w:eastAsia="Arial" w:hAnsi="Arial"/>
          <w:sz w:val="17"/>
          <w:szCs w:val="17"/>
          <w:color w:val="auto"/>
        </w:rPr>
      </w:pPr>
    </w:p>
    <w:p>
      <w:pPr>
        <w:ind w:left="340" w:right="460" w:hanging="332"/>
        <w:spacing w:after="0" w:line="312"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Cash and cash equivalents </w:t>
      </w:r>
      <w:r>
        <w:rPr>
          <w:rFonts w:ascii="Arial" w:cs="Arial" w:eastAsia="Arial" w:hAnsi="Arial"/>
          <w:sz w:val="17"/>
          <w:szCs w:val="17"/>
          <w:color w:val="auto"/>
        </w:rPr>
        <w:t>were $207.1 million at September 30, 2023, versus $257.4 million at June 30, 2023. Cash and cash equivalents, plus</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cash and time deposits, were $326.5 million at September 30, 2023, versus $376.1 million at June 30, 2023.</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Conference Call Details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 conference call to discuss results will be held on Tuesday, November 7, 2023, at 8:00 a.m. Eastern Time (9:00 p.m. China Time). To join the conference call via telephone, participants must use the following link to complete an online registration process. Upon registering, each participant will receive email instructions to access the conference call, including dial-in information and a PIN number allowing access to the conference call. This pre-registration process is designed by the operator to reduce delays due to operator congestion when accessing the live call.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Online Registration: </w:t>
      </w:r>
      <w:r>
        <w:rPr>
          <w:rFonts w:ascii="Arial" w:cs="Arial" w:eastAsia="Arial" w:hAnsi="Arial"/>
          <w:sz w:val="18"/>
          <w:szCs w:val="18"/>
          <w:u w:val="single" w:color="auto"/>
          <w:color w:val="auto"/>
        </w:rPr>
        <w:t>https://register.vevent.com/register/BIdd16996d506148a59592532dd0c43fd0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Participants who have not pre-registered may join the webcast by accessing the link at ir.acmrcsh.com/events.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live and archived webcast will be available on the Investors section of the ACM website at </w:t>
      </w:r>
      <w:r>
        <w:rPr>
          <w:rFonts w:ascii="Arial" w:cs="Arial" w:eastAsia="Arial" w:hAnsi="Arial"/>
          <w:sz w:val="18"/>
          <w:szCs w:val="18"/>
          <w:u w:val="single" w:color="auto"/>
          <w:color w:val="auto"/>
        </w:rPr>
        <w:t>www.acmrcsh.com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Non-GAAP Financial Measures</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ACM presents non-GAAP gross margin, operating expenses, operating income, net income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earnings per share exclude non-cash change in fair value of financial assets and liabilities and unrealized gain on short-term investments, which ACM also believes are not indicative of its core operating results. A reconciliation of each non-GAAP financial measure to the most directly comparable GAAP financial measure is provided below under “Reconciliation of GAAP to non-GAAP Financial Measures.”</w:t>
      </w:r>
    </w:p>
    <w:p>
      <w:pPr>
        <w:spacing w:after="0" w:line="19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ACM Research, Inc.</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ACM develops, manufactures and sells semiconductor process equipment for single-wafer or batch wet cleaning, electroplating, stress-free polishing and thermal processes that are critical to advanced semiconductor device manufacturing, as well as wafer-level packaging. ACM is committed to delivering customized, high performance, cost-effective process solutions that semiconductor manufacturers can use in numerous manufacturing steps to improve productivity and product yield.</w:t>
      </w:r>
    </w:p>
    <w:p>
      <w:pPr>
        <w:spacing w:after="0" w:line="187" w:lineRule="exact"/>
        <w:rPr>
          <w:sz w:val="20"/>
          <w:szCs w:val="20"/>
          <w:color w:val="auto"/>
        </w:rPr>
      </w:pPr>
    </w:p>
    <w:p>
      <w:pPr>
        <w:ind w:right="140" w:firstLine="8"/>
        <w:spacing w:after="0" w:line="263" w:lineRule="auto"/>
        <w:tabs>
          <w:tab w:leader="none" w:pos="182" w:val="left"/>
        </w:tabs>
        <w:numPr>
          <w:ilvl w:val="0"/>
          <w:numId w:val="6"/>
        </w:numPr>
        <w:rPr>
          <w:rFonts w:ascii="Arial" w:cs="Arial" w:eastAsia="Arial" w:hAnsi="Arial"/>
          <w:sz w:val="18"/>
          <w:szCs w:val="18"/>
          <w:color w:val="auto"/>
        </w:rPr>
      </w:pPr>
      <w:r>
        <w:rPr>
          <w:rFonts w:ascii="Arial" w:cs="Arial" w:eastAsia="Arial" w:hAnsi="Arial"/>
          <w:sz w:val="18"/>
          <w:szCs w:val="18"/>
          <w:color w:val="auto"/>
        </w:rPr>
        <w:t>ACM Research, Inc. The ACM Research logo and ULTRA C are trademarks of ACM Research, Inc. For convenience, these trademarks appears in this press release without ™ symbols, but that practice does not mean that ACM will not assert, to the fullest extent under applicable law, its rights to the trademarks.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29" w:lineRule="exact"/>
        <w:rPr>
          <w:sz w:val="20"/>
          <w:szCs w:val="20"/>
          <w:color w:val="auto"/>
        </w:rPr>
      </w:pPr>
    </w:p>
    <w:p>
      <w:pPr>
        <w:ind w:left="340"/>
        <w:spacing w:after="0"/>
        <w:tabs>
          <w:tab w:leader="none" w:pos="1960" w:val="left"/>
        </w:tabs>
        <w:rPr>
          <w:sz w:val="20"/>
          <w:szCs w:val="20"/>
          <w:color w:val="auto"/>
        </w:rPr>
      </w:pPr>
      <w:r>
        <w:rPr>
          <w:rFonts w:ascii="Arial" w:cs="Arial" w:eastAsia="Arial" w:hAnsi="Arial"/>
          <w:sz w:val="18"/>
          <w:szCs w:val="18"/>
          <w:u w:val="single" w:color="auto"/>
          <w:color w:val="auto"/>
        </w:rPr>
        <w:t>In the United States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Blueshirt Group</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Yujia Zhai</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+1 (860) 214-0809</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i w:val="1"/>
          <w:iCs w:val="1"/>
          <w:color w:val="auto"/>
        </w:rPr>
        <w:t>yujia@blueshirtgroup.com</w:t>
      </w:r>
    </w:p>
    <w:p>
      <w:pPr>
        <w:sectPr>
          <w:pgSz w:w="11900" w:h="16838" w:orient="portrait"/>
          <w:cols w:equalWidth="0" w:num="1">
            <w:col w:w="11220"/>
          </w:cols>
          <w:pgMar w:left="320" w:top="121" w:right="35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tabs>
          <w:tab w:leader="none" w:pos="1620" w:val="left"/>
        </w:tabs>
        <w:rPr>
          <w:sz w:val="20"/>
          <w:szCs w:val="20"/>
          <w:color w:val="auto"/>
        </w:rPr>
      </w:pPr>
      <w:r>
        <w:rPr>
          <w:rFonts w:ascii="Arial" w:cs="Arial" w:eastAsia="Arial" w:hAnsi="Arial"/>
          <w:sz w:val="18"/>
          <w:szCs w:val="18"/>
          <w:u w:val="single" w:color="auto"/>
          <w:color w:val="auto"/>
        </w:rPr>
        <w:t>In China</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Blueshirt Group Asia</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Gary Dvorchak, CFA</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+86 (138) 1079-1480</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i w:val="1"/>
          <w:iCs w:val="1"/>
          <w:u w:val="single" w:color="auto"/>
          <w:color w:val="auto"/>
        </w:rPr>
        <w:t>gary@blueshirtgroup.com</w:t>
      </w:r>
    </w:p>
    <w:p>
      <w:pPr>
        <w:spacing w:after="0" w:line="382"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99"/>
          </w:cols>
          <w:pgMar w:left="660" w:top="125"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6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88"/>
              </w:rPr>
              <w:t>September 30, 2023</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2022</w:t>
            </w:r>
          </w:p>
        </w:tc>
        <w:tc>
          <w:tcPr>
            <w:tcW w:w="0" w:type="dxa"/>
            <w:vAlign w:val="bottom"/>
          </w:tcPr>
          <w:p>
            <w:pPr>
              <w:spacing w:after="0"/>
              <w:rPr>
                <w:sz w:val="1"/>
                <w:szCs w:val="1"/>
                <w:color w:val="auto"/>
              </w:rPr>
            </w:pPr>
          </w:p>
        </w:tc>
      </w:tr>
      <w:tr>
        <w:trPr>
          <w:trHeight w:val="202"/>
        </w:trPr>
        <w:tc>
          <w:tcPr>
            <w:tcW w:w="51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i w:val="1"/>
                <w:iCs w:val="1"/>
                <w:color w:val="auto"/>
              </w:rPr>
              <w:t>(Unaudited)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vMerge w:val="restart"/>
          </w:tcPr>
          <w:p>
            <w:pPr>
              <w:ind w:left="3700"/>
              <w:spacing w:after="0"/>
              <w:rPr>
                <w:sz w:val="20"/>
                <w:szCs w:val="20"/>
                <w:color w:val="auto"/>
              </w:rPr>
            </w:pPr>
            <w:r>
              <w:rPr>
                <w:rFonts w:ascii="Arial" w:cs="Arial" w:eastAsia="Arial" w:hAnsi="Arial"/>
                <w:sz w:val="18"/>
                <w:szCs w:val="18"/>
                <w:b w:val="1"/>
                <w:bCs w:val="1"/>
                <w:color w:val="auto"/>
              </w:rPr>
              <w:t>Assets</w:t>
            </w:r>
          </w:p>
        </w:tc>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5"/>
          </w:tcPr>
          <w:p>
            <w:pPr>
              <w:ind w:left="860"/>
              <w:spacing w:after="0"/>
              <w:rPr>
                <w:sz w:val="20"/>
                <w:szCs w:val="20"/>
                <w:color w:val="auto"/>
              </w:rPr>
            </w:pPr>
            <w:r>
              <w:rPr>
                <w:rFonts w:ascii="Arial" w:cs="Arial" w:eastAsia="Arial" w:hAnsi="Arial"/>
                <w:sz w:val="18"/>
                <w:szCs w:val="18"/>
                <w:i w:val="1"/>
                <w:iCs w:val="1"/>
                <w:color w:val="auto"/>
              </w:rPr>
              <w:t>(In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60" w:type="dxa"/>
            <w:vAlign w:val="bottom"/>
            <w:vMerge w:val="continue"/>
          </w:tcPr>
          <w:p>
            <w:pPr>
              <w:spacing w:after="0"/>
              <w:rPr>
                <w:sz w:val="17"/>
                <w:szCs w:val="17"/>
                <w:color w:val="auto"/>
              </w:rPr>
            </w:pPr>
          </w:p>
        </w:tc>
        <w:tc>
          <w:tcPr>
            <w:tcW w:w="2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Current assets:</w:t>
            </w:r>
          </w:p>
        </w:tc>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207,101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247,951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Restricted cash</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Short-term time deposits</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70,492</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Short-term investment</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21,844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20,209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248,477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182,936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receivables</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36,126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29,617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507,431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393,172</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Advances to related party</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8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1,115,894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963,806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190,882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82,875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Land use right, net</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8,299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8,692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Long-term time deposits</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101,956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Deferred tax assets</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16,486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6,703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17,459</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Other long-term assets</w:t>
            </w: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3,851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50,265</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282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1,410,248</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1,235,500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tcPr>
          <w:p>
            <w:pPr>
              <w:ind w:left="3100"/>
              <w:spacing w:after="0"/>
              <w:rPr>
                <w:sz w:val="20"/>
                <w:szCs w:val="20"/>
                <w:color w:val="auto"/>
              </w:rPr>
            </w:pPr>
            <w:r>
              <w:rPr>
                <w:rFonts w:ascii="Arial" w:cs="Arial" w:eastAsia="Arial" w:hAnsi="Arial"/>
                <w:sz w:val="18"/>
                <w:szCs w:val="18"/>
                <w:b w:val="1"/>
                <w:bCs w:val="1"/>
                <w:color w:val="auto"/>
              </w:rPr>
              <w:t>Liabilities and Equity</w:t>
            </w:r>
          </w:p>
        </w:tc>
        <w:tc>
          <w:tcPr>
            <w:tcW w:w="28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30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33,911</w:t>
            </w:r>
          </w:p>
        </w:tc>
        <w:tc>
          <w:tcPr>
            <w:tcW w:w="100" w:type="dxa"/>
            <w:vAlign w:val="bottom"/>
          </w:tcPr>
          <w:p>
            <w:pPr>
              <w:spacing w:after="0"/>
              <w:rPr>
                <w:sz w:val="18"/>
                <w:szCs w:val="18"/>
                <w:color w:val="auto"/>
              </w:rPr>
            </w:pP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56,004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borrowings</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Related party accounts payable</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7,684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14,468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136,675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101,735</w:t>
            </w: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Advances from customers</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191,393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153,773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11,061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FIN-48 payable</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6,686</w:t>
            </w: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Other payables and accrued expenses</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80,400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52,201</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liability</w:t>
            </w:r>
          </w:p>
        </w:tc>
        <w:tc>
          <w:tcPr>
            <w:tcW w:w="28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481,951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396,214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borrowings</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39,753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18,687</w:t>
            </w: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Long-term operating lease liability</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28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660"/>
              <w:spacing w:after="0"/>
              <w:rPr>
                <w:sz w:val="20"/>
                <w:szCs w:val="20"/>
                <w:color w:val="auto"/>
              </w:rPr>
            </w:pPr>
            <w:r>
              <w:rPr>
                <w:rFonts w:ascii="Arial" w:cs="Arial" w:eastAsia="Arial" w:hAnsi="Arial"/>
                <w:sz w:val="18"/>
                <w:szCs w:val="18"/>
                <w:b w:val="1"/>
                <w:bCs w:val="1"/>
                <w:color w:val="auto"/>
              </w:rPr>
              <w:t>Total liabilities</w:t>
            </w: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532,118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423,329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8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Equity:</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Class A Common stock</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620,210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604,089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152,306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94,426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Statutory surplus reserve</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16,881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16,881</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(60,354)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(40,546)</w:t>
            </w:r>
          </w:p>
        </w:tc>
        <w:tc>
          <w:tcPr>
            <w:tcW w:w="0" w:type="dxa"/>
            <w:vAlign w:val="bottom"/>
          </w:tcPr>
          <w:p>
            <w:pPr>
              <w:spacing w:after="0"/>
              <w:rPr>
                <w:sz w:val="1"/>
                <w:szCs w:val="1"/>
                <w:color w:val="auto"/>
              </w:rPr>
            </w:pPr>
          </w:p>
        </w:tc>
      </w:tr>
      <w:tr>
        <w:trPr>
          <w:trHeight w:val="216"/>
        </w:trPr>
        <w:tc>
          <w:tcPr>
            <w:tcW w:w="5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ACM Research, Inc. stockholders’ equity</w:t>
            </w:r>
          </w:p>
        </w:tc>
        <w:tc>
          <w:tcPr>
            <w:tcW w:w="28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729,050</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674,856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Non-controlling interests</w:t>
            </w:r>
          </w:p>
        </w:tc>
        <w:tc>
          <w:tcPr>
            <w:tcW w:w="28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149,080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878,130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812,171</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 and equity</w:t>
            </w:r>
          </w:p>
        </w:tc>
        <w:tc>
          <w:tcPr>
            <w:tcW w:w="2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1,410,248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1,235,500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49"/>
        </w:trPr>
        <w:tc>
          <w:tcPr>
            <w:tcW w:w="5160" w:type="dxa"/>
            <w:vAlign w:val="bottom"/>
          </w:tcPr>
          <w:p>
            <w:pPr>
              <w:spacing w:after="0"/>
              <w:rPr>
                <w:sz w:val="24"/>
                <w:szCs w:val="24"/>
                <w:color w:val="auto"/>
              </w:rPr>
            </w:pPr>
          </w:p>
        </w:tc>
        <w:tc>
          <w:tcPr>
            <w:tcW w:w="2820" w:type="dxa"/>
            <w:vAlign w:val="bottom"/>
          </w:tcPr>
          <w:p>
            <w:pPr>
              <w:jc w:val="right"/>
              <w:ind w:right="2196"/>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16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4"/>
          </w:tcPr>
          <w:p>
            <w:pPr>
              <w:ind w:left="4660"/>
              <w:spacing w:after="0"/>
              <w:rPr>
                <w:sz w:val="20"/>
                <w:szCs w:val="20"/>
                <w:color w:val="auto"/>
              </w:rPr>
            </w:pPr>
            <w:r>
              <w:rPr>
                <w:rFonts w:ascii="Arial" w:cs="Arial" w:eastAsia="Arial" w:hAnsi="Arial"/>
                <w:sz w:val="18"/>
                <w:szCs w:val="18"/>
                <w:b w:val="1"/>
                <w:bCs w:val="1"/>
                <w:color w:val="auto"/>
              </w:rPr>
              <w:t>ACM RESEARCH, INC.</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840" w:type="dxa"/>
            <w:vAlign w:val="bottom"/>
            <w:gridSpan w:val="11"/>
          </w:tcPr>
          <w:p>
            <w:pPr>
              <w:ind w:left="232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540" w:type="dxa"/>
            <w:vAlign w:val="bottom"/>
          </w:tcPr>
          <w:p>
            <w:pPr>
              <w:spacing w:after="0"/>
              <w:rPr>
                <w:sz w:val="24"/>
                <w:szCs w:val="24"/>
                <w:color w:val="auto"/>
              </w:rPr>
            </w:pPr>
          </w:p>
        </w:tc>
        <w:tc>
          <w:tcPr>
            <w:tcW w:w="2940" w:type="dxa"/>
            <w:vAlign w:val="bottom"/>
            <w:gridSpan w:val="7"/>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2760" w:type="dxa"/>
            <w:vAlign w:val="bottom"/>
            <w:gridSpan w:val="7"/>
          </w:tcPr>
          <w:p>
            <w:pPr>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55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2022</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r>
      <w:tr>
        <w:trPr>
          <w:trHeight w:val="202"/>
        </w:trPr>
        <w:tc>
          <w:tcPr>
            <w:tcW w:w="5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4"/>
          </w:tcPr>
          <w:p>
            <w:pPr>
              <w:jc w:val="center"/>
              <w:ind w:left="510"/>
              <w:spacing w:after="0" w:line="201" w:lineRule="exact"/>
              <w:rPr>
                <w:sz w:val="20"/>
                <w:szCs w:val="20"/>
                <w:color w:val="auto"/>
              </w:rPr>
            </w:pPr>
            <w:r>
              <w:rPr>
                <w:rFonts w:ascii="Arial" w:cs="Arial" w:eastAsia="Arial" w:hAnsi="Arial"/>
                <w:sz w:val="18"/>
                <w:szCs w:val="18"/>
                <w:i w:val="1"/>
                <w:iCs w:val="1"/>
                <w:color w:val="auto"/>
                <w:w w:val="93"/>
              </w:rPr>
              <w:t>(Unaudited)</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4"/>
          </w:tcPr>
          <w:p>
            <w:pPr>
              <w:jc w:val="center"/>
              <w:ind w:left="470"/>
              <w:spacing w:after="0" w:line="201" w:lineRule="exact"/>
              <w:rPr>
                <w:sz w:val="20"/>
                <w:szCs w:val="20"/>
                <w:color w:val="auto"/>
              </w:rPr>
            </w:pPr>
            <w:r>
              <w:rPr>
                <w:rFonts w:ascii="Arial" w:cs="Arial" w:eastAsia="Arial" w:hAnsi="Arial"/>
                <w:sz w:val="18"/>
                <w:szCs w:val="18"/>
                <w:i w:val="1"/>
                <w:iCs w:val="1"/>
                <w:color w:val="auto"/>
                <w:w w:val="93"/>
              </w:rPr>
              <w:t>(Unaudited)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540" w:type="dxa"/>
            <w:vAlign w:val="bottom"/>
          </w:tcPr>
          <w:p>
            <w:pPr>
              <w:spacing w:after="0"/>
              <w:rPr>
                <w:sz w:val="18"/>
                <w:szCs w:val="18"/>
                <w:color w:val="auto"/>
              </w:rPr>
            </w:pPr>
          </w:p>
        </w:tc>
        <w:tc>
          <w:tcPr>
            <w:tcW w:w="2940" w:type="dxa"/>
            <w:vAlign w:val="bottom"/>
            <w:gridSpan w:val="7"/>
          </w:tcPr>
          <w:p>
            <w:pPr>
              <w:jc w:val="center"/>
              <w:ind w:right="180"/>
              <w:spacing w:after="0"/>
              <w:rPr>
                <w:sz w:val="20"/>
                <w:szCs w:val="20"/>
                <w:color w:val="auto"/>
              </w:rPr>
            </w:pPr>
            <w:r>
              <w:rPr>
                <w:rFonts w:ascii="Arial" w:cs="Arial" w:eastAsia="Arial" w:hAnsi="Arial"/>
                <w:sz w:val="18"/>
                <w:szCs w:val="18"/>
                <w:i w:val="1"/>
                <w:iCs w:val="1"/>
                <w:color w:val="auto"/>
                <w:w w:val="88"/>
              </w:rPr>
              <w:t>( In thousands, except share and per</w:t>
            </w:r>
          </w:p>
        </w:tc>
        <w:tc>
          <w:tcPr>
            <w:tcW w:w="2760" w:type="dxa"/>
            <w:vAlign w:val="bottom"/>
            <w:gridSpan w:val="7"/>
          </w:tcPr>
          <w:p>
            <w:pPr>
              <w:jc w:val="center"/>
              <w:ind w:right="100"/>
              <w:spacing w:after="0"/>
              <w:rPr>
                <w:sz w:val="20"/>
                <w:szCs w:val="20"/>
                <w:color w:val="auto"/>
              </w:rPr>
            </w:pPr>
            <w:r>
              <w:rPr>
                <w:rFonts w:ascii="Arial" w:cs="Arial" w:eastAsia="Arial" w:hAnsi="Arial"/>
                <w:sz w:val="18"/>
                <w:szCs w:val="18"/>
                <w:i w:val="1"/>
                <w:iCs w:val="1"/>
                <w:color w:val="auto"/>
                <w:w w:val="89"/>
              </w:rPr>
              <w:t>( In thousands, except share and per</w:t>
            </w:r>
          </w:p>
        </w:tc>
      </w:tr>
      <w:tr>
        <w:trPr>
          <w:trHeight w:val="230"/>
        </w:trPr>
        <w:tc>
          <w:tcPr>
            <w:tcW w:w="5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4"/>
          </w:tcPr>
          <w:p>
            <w:pPr>
              <w:jc w:val="center"/>
              <w:ind w:left="510"/>
              <w:spacing w:after="0"/>
              <w:rPr>
                <w:sz w:val="20"/>
                <w:szCs w:val="20"/>
                <w:color w:val="auto"/>
              </w:rPr>
            </w:pPr>
            <w:r>
              <w:rPr>
                <w:rFonts w:ascii="Arial" w:cs="Arial" w:eastAsia="Arial" w:hAnsi="Arial"/>
                <w:sz w:val="18"/>
                <w:szCs w:val="18"/>
                <w:i w:val="1"/>
                <w:iCs w:val="1"/>
                <w:color w:val="auto"/>
                <w:w w:val="87"/>
              </w:rPr>
              <w:t>share data)</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4"/>
          </w:tcPr>
          <w:p>
            <w:pPr>
              <w:jc w:val="center"/>
              <w:ind w:left="490"/>
              <w:spacing w:after="0"/>
              <w:rPr>
                <w:sz w:val="20"/>
                <w:szCs w:val="20"/>
                <w:color w:val="auto"/>
              </w:rPr>
            </w:pPr>
            <w:r>
              <w:rPr>
                <w:rFonts w:ascii="Arial" w:cs="Arial" w:eastAsia="Arial" w:hAnsi="Arial"/>
                <w:sz w:val="18"/>
                <w:szCs w:val="18"/>
                <w:i w:val="1"/>
                <w:iCs w:val="1"/>
                <w:color w:val="auto"/>
                <w:w w:val="90"/>
              </w:rPr>
              <w:t>share data)</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168,569</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133,709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387,402</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280,290</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80,055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67,742</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190,263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150,480</w:t>
            </w:r>
          </w:p>
        </w:tc>
      </w:tr>
      <w:tr>
        <w:trPr>
          <w:trHeight w:val="223"/>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65,967</w:t>
            </w:r>
          </w:p>
        </w:tc>
        <w:tc>
          <w:tcPr>
            <w:tcW w:w="18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197,139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129,810</w:t>
            </w:r>
          </w:p>
        </w:tc>
        <w:tc>
          <w:tcPr>
            <w:tcW w:w="100" w:type="dxa"/>
            <w:vAlign w:val="bottom"/>
            <w:shd w:val="clear" w:color="auto" w:fill="CCEEFF"/>
          </w:tcPr>
          <w:p>
            <w:pPr>
              <w:spacing w:after="0"/>
              <w:rPr>
                <w:sz w:val="19"/>
                <w:szCs w:val="19"/>
                <w:color w:val="auto"/>
              </w:rPr>
            </w:pPr>
          </w:p>
        </w:tc>
      </w:tr>
      <w:tr>
        <w:trPr>
          <w:trHeight w:val="216"/>
        </w:trPr>
        <w:tc>
          <w:tcPr>
            <w:tcW w:w="55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13,133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27,494</w:t>
            </w:r>
          </w:p>
        </w:tc>
      </w:tr>
      <w:tr>
        <w:trPr>
          <w:trHeight w:val="216"/>
        </w:trPr>
        <w:tc>
          <w:tcPr>
            <w:tcW w:w="55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15,678</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60,244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44,391</w:t>
            </w: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15,560</w:t>
            </w:r>
          </w:p>
        </w:tc>
      </w:tr>
      <w:tr>
        <w:trPr>
          <w:trHeight w:val="27"/>
        </w:trPr>
        <w:tc>
          <w:tcPr>
            <w:tcW w:w="55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54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55,341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34,331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124,674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87,445</w:t>
            </w:r>
          </w:p>
        </w:tc>
      </w:tr>
      <w:tr>
        <w:trPr>
          <w:trHeight w:val="216"/>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31,636</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42,365</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6,283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5,965</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Realized gain from sale of short-term investments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1,136</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8,569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1,136</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short-term investments</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(9,562)</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7,207</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9,949</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equity method investments</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w:t>
            </w:r>
          </w:p>
        </w:tc>
      </w:tr>
      <w:tr>
        <w:trPr>
          <w:trHeight w:val="27"/>
        </w:trPr>
        <w:tc>
          <w:tcPr>
            <w:tcW w:w="55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540" w:type="dxa"/>
            <w:vAlign w:val="bottom"/>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31,712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37,546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84,789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50,519</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(10,470)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(14,138)</w:t>
            </w:r>
          </w:p>
        </w:tc>
      </w:tr>
      <w:tr>
        <w:trPr>
          <w:trHeight w:val="27"/>
        </w:trPr>
        <w:tc>
          <w:tcPr>
            <w:tcW w:w="55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540" w:type="dxa"/>
            <w:vAlign w:val="bottom"/>
          </w:tcPr>
          <w:p>
            <w:pPr>
              <w:ind w:left="3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27,076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73,554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36,381</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8,927</w:t>
            </w:r>
          </w:p>
        </w:tc>
      </w:tr>
      <w:tr>
        <w:trPr>
          <w:trHeight w:val="27"/>
        </w:trPr>
        <w:tc>
          <w:tcPr>
            <w:tcW w:w="55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540" w:type="dxa"/>
            <w:vAlign w:val="bottom"/>
          </w:tcPr>
          <w:p>
            <w:pPr>
              <w:ind w:left="340"/>
              <w:spacing w:after="0"/>
              <w:rPr>
                <w:sz w:val="20"/>
                <w:szCs w:val="20"/>
                <w:color w:val="auto"/>
              </w:rPr>
            </w:pPr>
            <w:r>
              <w:rPr>
                <w:rFonts w:ascii="Arial" w:cs="Arial" w:eastAsia="Arial" w:hAnsi="Arial"/>
                <w:sz w:val="18"/>
                <w:szCs w:val="18"/>
                <w:b w:val="1"/>
                <w:bCs w:val="1"/>
                <w:color w:val="auto"/>
              </w:rPr>
              <w:t>Net income attributable to ACM Research, Inc.</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25,679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21,004</w:t>
            </w:r>
          </w:p>
        </w:tc>
        <w:tc>
          <w:tcPr>
            <w:tcW w:w="1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59,649</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27,454</w:t>
            </w:r>
          </w:p>
        </w:tc>
      </w:tr>
      <w:tr>
        <w:trPr>
          <w:trHeight w:val="20"/>
        </w:trPr>
        <w:tc>
          <w:tcPr>
            <w:tcW w:w="5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Less: Dilutive effect arising from stock-based awards by ACM Shanghai</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6"/>
        </w:trPr>
        <w:tc>
          <w:tcPr>
            <w:tcW w:w="5540" w:type="dxa"/>
            <w:vAlign w:val="bottom"/>
          </w:tcPr>
          <w:p>
            <w:pPr>
              <w:ind w:left="340"/>
              <w:spacing w:after="0"/>
              <w:rPr>
                <w:sz w:val="20"/>
                <w:szCs w:val="20"/>
                <w:color w:val="auto"/>
              </w:rPr>
            </w:pPr>
            <w:r>
              <w:rPr>
                <w:rFonts w:ascii="Arial" w:cs="Arial" w:eastAsia="Arial" w:hAnsi="Arial"/>
                <w:sz w:val="18"/>
                <w:szCs w:val="18"/>
                <w:b w:val="1"/>
                <w:bCs w:val="1"/>
                <w:color w:val="auto"/>
              </w:rPr>
              <w:t>Net income available to common stockholders, diluted</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25,218</w:t>
            </w:r>
          </w:p>
        </w:tc>
        <w:tc>
          <w:tcPr>
            <w:tcW w:w="120" w:type="dxa"/>
            <w:vAlign w:val="bottom"/>
          </w:tcPr>
          <w:p>
            <w:pPr>
              <w:spacing w:after="0"/>
              <w:rPr>
                <w:sz w:val="18"/>
                <w:szCs w:val="18"/>
                <w:color w:val="auto"/>
              </w:rPr>
            </w:pP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20,683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58,311</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26,989</w:t>
            </w:r>
          </w:p>
        </w:tc>
      </w:tr>
      <w:tr>
        <w:trPr>
          <w:trHeight w:val="20"/>
        </w:trPr>
        <w:tc>
          <w:tcPr>
            <w:tcW w:w="5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27,076</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73,554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36,381</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 net of tax</w:t>
            </w: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(42,416)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(80,334)</w:t>
            </w:r>
          </w:p>
        </w:tc>
      </w:tr>
      <w:tr>
        <w:trPr>
          <w:trHeight w:val="27"/>
        </w:trPr>
        <w:tc>
          <w:tcPr>
            <w:tcW w:w="55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540" w:type="dxa"/>
            <w:vAlign w:val="bottom"/>
          </w:tcPr>
          <w:p>
            <w:pPr>
              <w:ind w:left="340"/>
              <w:spacing w:after="0"/>
              <w:rPr>
                <w:sz w:val="20"/>
                <w:szCs w:val="20"/>
                <w:color w:val="auto"/>
              </w:rPr>
            </w:pPr>
            <w:r>
              <w:rPr>
                <w:rFonts w:ascii="Arial" w:cs="Arial" w:eastAsia="Arial" w:hAnsi="Arial"/>
                <w:sz w:val="18"/>
                <w:szCs w:val="18"/>
                <w:b w:val="1"/>
                <w:bCs w:val="1"/>
                <w:color w:val="auto"/>
              </w:rPr>
              <w:t>Comprehensive Income (loss)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(15,340)</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51,723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(43,953)</w:t>
            </w:r>
          </w:p>
        </w:tc>
      </w:tr>
      <w:tr>
        <w:trPr>
          <w:trHeight w:val="202"/>
        </w:trPr>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Comprehensive income (loss) attributable to non-controlling</w:t>
            </w:r>
          </w:p>
        </w:tc>
        <w:tc>
          <w:tcPr>
            <w:tcW w:w="28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(1,057)</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11,882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(4,378)</w:t>
            </w:r>
          </w:p>
        </w:tc>
      </w:tr>
      <w:tr>
        <w:trPr>
          <w:trHeight w:val="27"/>
        </w:trPr>
        <w:tc>
          <w:tcPr>
            <w:tcW w:w="55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540" w:type="dxa"/>
            <w:vAlign w:val="bottom"/>
          </w:tcPr>
          <w:p>
            <w:pPr>
              <w:ind w:left="340"/>
              <w:spacing w:after="0"/>
              <w:rPr>
                <w:sz w:val="20"/>
                <w:szCs w:val="20"/>
                <w:color w:val="auto"/>
              </w:rPr>
            </w:pPr>
            <w:r>
              <w:rPr>
                <w:rFonts w:ascii="Arial" w:cs="Arial" w:eastAsia="Arial" w:hAnsi="Arial"/>
                <w:sz w:val="18"/>
                <w:szCs w:val="18"/>
                <w:b w:val="1"/>
                <w:bCs w:val="1"/>
                <w:color w:val="auto"/>
                <w:w w:val="93"/>
              </w:rPr>
              <w:t>Comprehensive income (loss) attributable to ACM Research, Inc.</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27,241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(14,283)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39,841</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(39,575)</w:t>
            </w:r>
          </w:p>
        </w:tc>
      </w:tr>
      <w:tr>
        <w:trPr>
          <w:trHeight w:val="20"/>
        </w:trPr>
        <w:tc>
          <w:tcPr>
            <w:tcW w:w="5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income attributable to ACM Research, Inc. per common share: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0.99</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r>
      <w:tr>
        <w:trPr>
          <w:trHeight w:val="20"/>
        </w:trPr>
        <w:tc>
          <w:tcPr>
            <w:tcW w:w="5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5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0.32</w:t>
            </w:r>
          </w:p>
        </w:tc>
        <w:tc>
          <w:tcPr>
            <w:tcW w:w="1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r>
      <w:tr>
        <w:trPr>
          <w:trHeight w:val="20"/>
        </w:trPr>
        <w:tc>
          <w:tcPr>
            <w:tcW w:w="5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Weighted average common shares outstanding used in computing per share amounts: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60,219,218</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59,360,790</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59,953,144</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59,123,895</w:t>
            </w: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31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65,450,941</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65,612,665</w:t>
            </w:r>
          </w:p>
        </w:tc>
        <w:tc>
          <w:tcPr>
            <w:tcW w:w="18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64,834,051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65,629,273</w:t>
            </w:r>
          </w:p>
        </w:tc>
      </w:tr>
      <w:tr>
        <w:trPr>
          <w:trHeight w:val="20"/>
        </w:trPr>
        <w:tc>
          <w:tcPr>
            <w:tcW w:w="3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8"/>
        </w:trPr>
        <w:tc>
          <w:tcPr>
            <w:tcW w:w="3120" w:type="dxa"/>
            <w:vAlign w:val="bottom"/>
          </w:tcPr>
          <w:p>
            <w:pPr>
              <w:spacing w:after="0"/>
              <w:rPr>
                <w:sz w:val="24"/>
                <w:szCs w:val="24"/>
                <w:color w:val="auto"/>
              </w:rPr>
            </w:pPr>
          </w:p>
        </w:tc>
        <w:tc>
          <w:tcPr>
            <w:tcW w:w="3680" w:type="dxa"/>
            <w:vAlign w:val="bottom"/>
            <w:gridSpan w:val="2"/>
          </w:tcPr>
          <w:p>
            <w:pPr>
              <w:jc w:val="right"/>
              <w:ind w:right="1010"/>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12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3"/>
          </w:tcPr>
          <w:p>
            <w:pPr>
              <w:jc w:val="center"/>
              <w:ind w:left="4310"/>
              <w:spacing w:after="0"/>
              <w:rPr>
                <w:sz w:val="20"/>
                <w:szCs w:val="20"/>
                <w:color w:val="auto"/>
              </w:rPr>
            </w:pPr>
            <w:r>
              <w:rPr>
                <w:rFonts w:ascii="Arial" w:cs="Arial" w:eastAsia="Arial" w:hAnsi="Arial"/>
                <w:sz w:val="18"/>
                <w:szCs w:val="18"/>
                <w:b w:val="1"/>
                <w:bCs w:val="1"/>
                <w:color w:val="auto"/>
              </w:rPr>
              <w:t>ACM RESEARCH, INC.</w:t>
            </w: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60" w:type="dxa"/>
            <w:vAlign w:val="bottom"/>
            <w:gridSpan w:val="6"/>
          </w:tcPr>
          <w:p>
            <w:pPr>
              <w:jc w:val="center"/>
              <w:ind w:left="2710"/>
              <w:spacing w:after="0"/>
              <w:rPr>
                <w:sz w:val="20"/>
                <w:szCs w:val="20"/>
                <w:color w:val="auto"/>
              </w:rPr>
            </w:pPr>
            <w:r>
              <w:rPr>
                <w:rFonts w:ascii="Arial" w:cs="Arial" w:eastAsia="Arial" w:hAnsi="Arial"/>
                <w:sz w:val="18"/>
                <w:szCs w:val="18"/>
                <w:b w:val="1"/>
                <w:bCs w:val="1"/>
                <w:color w:val="auto"/>
                <w:w w:val="90"/>
              </w:rPr>
              <w:t>Total Revenue by Product Category, by Equipment Type and by Region</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480" w:type="dxa"/>
            <w:vAlign w:val="bottom"/>
          </w:tcPr>
          <w:p>
            <w:pPr>
              <w:spacing w:after="0"/>
              <w:rPr>
                <w:sz w:val="20"/>
                <w:szCs w:val="20"/>
                <w:color w:val="auto"/>
              </w:rPr>
            </w:pPr>
            <w:r>
              <w:rPr>
                <w:rFonts w:ascii="Arial" w:cs="Arial" w:eastAsia="Arial" w:hAnsi="Arial"/>
                <w:sz w:val="18"/>
                <w:szCs w:val="18"/>
                <w:color w:val="auto"/>
              </w:rPr>
              <w:t>`</w:t>
            </w:r>
          </w:p>
        </w:tc>
        <w:tc>
          <w:tcPr>
            <w:tcW w:w="2980" w:type="dxa"/>
            <w:vAlign w:val="bottom"/>
            <w:gridSpan w:val="5"/>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80" w:type="dxa"/>
            <w:vAlign w:val="bottom"/>
            <w:gridSpan w:val="5"/>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4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i w:val="1"/>
                <w:iCs w:val="1"/>
                <w:color w:val="auto"/>
              </w:rPr>
              <w:t>($ in</w:t>
            </w:r>
          </w:p>
        </w:tc>
        <w:tc>
          <w:tcPr>
            <w:tcW w:w="1560" w:type="dxa"/>
            <w:vAlign w:val="bottom"/>
            <w:gridSpan w:val="3"/>
          </w:tcPr>
          <w:p>
            <w:pPr>
              <w:jc w:val="right"/>
              <w:ind w:right="810"/>
              <w:spacing w:after="0"/>
              <w:rPr>
                <w:sz w:val="20"/>
                <w:szCs w:val="20"/>
                <w:color w:val="auto"/>
              </w:rPr>
            </w:pPr>
            <w:r>
              <w:rPr>
                <w:rFonts w:ascii="Arial" w:cs="Arial" w:eastAsia="Arial" w:hAnsi="Arial"/>
                <w:sz w:val="18"/>
                <w:szCs w:val="18"/>
                <w:i w:val="1"/>
                <w:iCs w:val="1"/>
                <w:color w:val="auto"/>
                <w:w w:val="71"/>
              </w:rPr>
              <w:t>thousands)</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Single wafer cleaning, Tahoe and semi-critical cleaning equipment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132,417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0D0D0D"/>
              </w:rPr>
              <w:t>$</w:t>
            </w: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0D0D0D"/>
              </w:rPr>
              <w:t>99,720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281,559</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198,336</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ECP (front-end and packaging), furnace and other technologies</w:t>
            </w:r>
          </w:p>
        </w:tc>
        <w:tc>
          <w:tcPr>
            <w:tcW w:w="3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25,508</w:t>
            </w:r>
          </w:p>
        </w:tc>
        <w:tc>
          <w:tcPr>
            <w:tcW w:w="40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0D0D0D"/>
              </w:rPr>
              <w:t>24,521</w:t>
            </w: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71,223</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57,269</w:t>
            </w:r>
          </w:p>
        </w:tc>
      </w:tr>
      <w:tr>
        <w:trPr>
          <w:trHeight w:val="22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Advanced packaging (excluding ECP), services &amp; spares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10,644</w:t>
            </w: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D0D0D"/>
              </w:rPr>
              <w:t>9,468</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34,620</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Total Revenue By Product Category</w:t>
            </w:r>
          </w:p>
        </w:tc>
        <w:tc>
          <w:tcPr>
            <w:tcW w:w="3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168,569</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0D0D0D"/>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0D0D0D"/>
              </w:rPr>
              <w:t>133,709</w:t>
            </w: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387,402</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280,290</w:t>
            </w:r>
          </w:p>
        </w:tc>
      </w:tr>
      <w:tr>
        <w:trPr>
          <w:trHeight w:val="20"/>
        </w:trPr>
        <w:tc>
          <w:tcPr>
            <w:tcW w:w="5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Mainland China</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168,302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131,180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375,528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273,585</w:t>
            </w:r>
          </w:p>
        </w:tc>
        <w:tc>
          <w:tcPr>
            <w:tcW w:w="100" w:type="dxa"/>
            <w:vAlign w:val="bottom"/>
            <w:shd w:val="clear" w:color="auto" w:fill="CCEEFF"/>
          </w:tcPr>
          <w:p>
            <w:pPr>
              <w:spacing w:after="0"/>
              <w:rPr>
                <w:sz w:val="18"/>
                <w:szCs w:val="18"/>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Other Regions</w:t>
            </w: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11,874</w:t>
            </w:r>
          </w:p>
        </w:tc>
        <w:tc>
          <w:tcPr>
            <w:tcW w:w="3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6,705</w:t>
            </w:r>
          </w:p>
        </w:tc>
      </w:tr>
      <w:tr>
        <w:trPr>
          <w:trHeight w:val="257"/>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 By Region</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168,569</w:t>
            </w:r>
          </w:p>
        </w:tc>
        <w:tc>
          <w:tcPr>
            <w:tcW w:w="4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133,709</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387,402</w:t>
            </w:r>
          </w:p>
        </w:tc>
        <w:tc>
          <w:tcPr>
            <w:tcW w:w="3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280,290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48"/>
        </w:trPr>
        <w:tc>
          <w:tcPr>
            <w:tcW w:w="548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4"/>
                <w:szCs w:val="14"/>
                <w:color w:val="auto"/>
                <w:w w:val="93"/>
              </w:rPr>
              <w:t>-7-</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described under “Use of Non-GAAP Financial Measures” above, ACM presents non-GAAP gross margin, operating expenses, operating income, net income attributable to ACM Research, Inc., and basic and diluted earnings per share as supplemental measures to GAAP financial measures, each of which excludes stock-based compensation (SBC) from the equivalent GAAP financial line items. In addition, non-GAAP net income attributable to ACM Research, Inc., and basic and diluted earnings per share exclude unrealized gain on short-term investments. The following tables reconcile gross margin, operating expenses, operating income, net income attributable to ACM Research, Inc., and basic and diluted earnings per share to the related non-GAAP financial measures:</w:t>
      </w:r>
    </w:p>
    <w:p>
      <w:pPr>
        <w:spacing w:after="0" w:line="18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17145</wp:posOffset>
            </wp:positionV>
            <wp:extent cx="56235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23560" cy="17145"/>
                    </a:xfrm>
                    <a:prstGeom prst="rect">
                      <a:avLst/>
                    </a:prstGeom>
                    <a:noFill/>
                  </pic:spPr>
                </pic:pic>
              </a:graphicData>
            </a:graphic>
          </wp:anchor>
        </w:drawing>
      </w:r>
    </w:p>
    <w:p>
      <w:pPr>
        <w:sectPr>
          <w:pgSz w:w="11900" w:h="16838" w:orient="portrait"/>
          <w:cols w:equalWidth="0" w:num="1">
            <w:col w:w="11240"/>
          </w:cols>
          <w:pgMar w:left="320" w:top="121" w:right="339" w:bottom="127" w:gutter="0" w:footer="0" w:header="0"/>
        </w:sectPr>
      </w:pPr>
    </w:p>
    <w:p>
      <w:pPr>
        <w:spacing w:after="0" w:line="3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2023</w:t>
      </w:r>
    </w:p>
    <w:p>
      <w:pPr>
        <w:spacing w:after="0" w:line="27" w:lineRule="exact"/>
        <w:rPr>
          <w:sz w:val="20"/>
          <w:szCs w:val="20"/>
          <w:color w:val="auto"/>
        </w:rPr>
      </w:pPr>
    </w:p>
    <w:tbl>
      <w:tblPr>
        <w:tblLayout w:type="fixed"/>
        <w:tblInd w:w="2220" w:type="dxa"/>
        <w:tblCellMar>
          <w:top w:w="0" w:type="dxa"/>
          <w:left w:w="0" w:type="dxa"/>
          <w:bottom w:w="0" w:type="dxa"/>
          <w:right w:w="0" w:type="dxa"/>
        </w:tblCellMar>
      </w:tblPr>
      <w:tr>
        <w:trPr>
          <w:trHeight w:val="218"/>
        </w:trPr>
        <w:tc>
          <w:tcPr>
            <w:tcW w:w="10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Actual</w:t>
            </w:r>
          </w:p>
        </w:tc>
        <w:tc>
          <w:tcPr>
            <w:tcW w:w="9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1"/>
              </w:rPr>
              <w:t>Other non-</w:t>
            </w: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Adjusted</w:t>
            </w:r>
          </w:p>
        </w:tc>
        <w:tc>
          <w:tcPr>
            <w:tcW w:w="0" w:type="dxa"/>
            <w:vAlign w:val="bottom"/>
          </w:tcPr>
          <w:p>
            <w:pPr>
              <w:spacing w:after="0"/>
              <w:rPr>
                <w:sz w:val="1"/>
                <w:szCs w:val="1"/>
                <w:color w:val="auto"/>
              </w:rPr>
            </w:pPr>
          </w:p>
        </w:tc>
      </w:tr>
      <w:tr>
        <w:trPr>
          <w:trHeight w:val="216"/>
        </w:trPr>
        <w:tc>
          <w:tcPr>
            <w:tcW w:w="106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6"/>
              </w:rPr>
              <w:t>(GAAP)</w:t>
            </w:r>
          </w:p>
        </w:tc>
        <w:tc>
          <w:tcPr>
            <w:tcW w:w="940" w:type="dxa"/>
            <w:vAlign w:val="bottom"/>
          </w:tcPr>
          <w:p>
            <w:pPr>
              <w:ind w:left="320"/>
              <w:spacing w:after="0"/>
              <w:rPr>
                <w:sz w:val="20"/>
                <w:szCs w:val="20"/>
                <w:color w:val="auto"/>
              </w:rPr>
            </w:pPr>
            <w:r>
              <w:rPr>
                <w:rFonts w:ascii="Arial" w:cs="Arial" w:eastAsia="Arial" w:hAnsi="Arial"/>
                <w:sz w:val="18"/>
                <w:szCs w:val="18"/>
                <w:b w:val="1"/>
                <w:bCs w:val="1"/>
                <w:color w:val="auto"/>
              </w:rPr>
              <w:t>SBC</w:t>
            </w:r>
          </w:p>
        </w:tc>
        <w:tc>
          <w:tcPr>
            <w:tcW w:w="134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operating</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3"/>
              </w:rPr>
              <w:t>(Non-</w:t>
            </w:r>
          </w:p>
        </w:tc>
        <w:tc>
          <w:tcPr>
            <w:tcW w:w="0" w:type="dxa"/>
            <w:vAlign w:val="bottom"/>
          </w:tcPr>
          <w:p>
            <w:pPr>
              <w:spacing w:after="0"/>
              <w:rPr>
                <w:sz w:val="1"/>
                <w:szCs w:val="1"/>
                <w:color w:val="auto"/>
              </w:rPr>
            </w:pPr>
          </w:p>
        </w:tc>
      </w:tr>
      <w:tr>
        <w:trPr>
          <w:trHeight w:val="140"/>
        </w:trPr>
        <w:tc>
          <w:tcPr>
            <w:tcW w:w="106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88"/>
              </w:rPr>
              <w:t>adjustments</w:t>
            </w: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GAAP)</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8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Actual</w:t>
            </w:r>
          </w:p>
        </w:tc>
        <w:tc>
          <w:tcPr>
            <w:tcW w:w="9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1"/>
              </w:rPr>
              <w:t>Other non-</w:t>
            </w: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Adjusted</w:t>
            </w:r>
          </w:p>
        </w:tc>
        <w:tc>
          <w:tcPr>
            <w:tcW w:w="0" w:type="dxa"/>
            <w:vAlign w:val="bottom"/>
          </w:tcPr>
          <w:p>
            <w:pPr>
              <w:spacing w:after="0"/>
              <w:rPr>
                <w:sz w:val="1"/>
                <w:szCs w:val="1"/>
                <w:color w:val="auto"/>
              </w:rPr>
            </w:pPr>
          </w:p>
        </w:tc>
      </w:tr>
      <w:tr>
        <w:trPr>
          <w:trHeight w:val="216"/>
        </w:trPr>
        <w:tc>
          <w:tcPr>
            <w:tcW w:w="108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6"/>
              </w:rPr>
              <w:t>(GAAP)</w:t>
            </w:r>
          </w:p>
        </w:tc>
        <w:tc>
          <w:tcPr>
            <w:tcW w:w="920" w:type="dxa"/>
            <w:vAlign w:val="bottom"/>
          </w:tcPr>
          <w:p>
            <w:pPr>
              <w:ind w:left="320"/>
              <w:spacing w:after="0"/>
              <w:rPr>
                <w:sz w:val="20"/>
                <w:szCs w:val="20"/>
                <w:color w:val="auto"/>
              </w:rPr>
            </w:pPr>
            <w:r>
              <w:rPr>
                <w:rFonts w:ascii="Arial" w:cs="Arial" w:eastAsia="Arial" w:hAnsi="Arial"/>
                <w:sz w:val="18"/>
                <w:szCs w:val="18"/>
                <w:b w:val="1"/>
                <w:bCs w:val="1"/>
                <w:color w:val="auto"/>
              </w:rPr>
              <w:t>SBC</w:t>
            </w:r>
          </w:p>
        </w:tc>
        <w:tc>
          <w:tcPr>
            <w:tcW w:w="136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operating</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3"/>
              </w:rPr>
              <w:t>(Non-</w:t>
            </w:r>
          </w:p>
        </w:tc>
        <w:tc>
          <w:tcPr>
            <w:tcW w:w="0" w:type="dxa"/>
            <w:vAlign w:val="bottom"/>
          </w:tcPr>
          <w:p>
            <w:pPr>
              <w:spacing w:after="0"/>
              <w:rPr>
                <w:sz w:val="1"/>
                <w:szCs w:val="1"/>
                <w:color w:val="auto"/>
              </w:rPr>
            </w:pPr>
          </w:p>
        </w:tc>
      </w:tr>
      <w:tr>
        <w:trPr>
          <w:trHeight w:val="140"/>
        </w:trPr>
        <w:tc>
          <w:tcPr>
            <w:tcW w:w="108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88"/>
              </w:rPr>
              <w:t>adjustments</w:t>
            </w: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GAAP)</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500" w:space="280"/>
            <w:col w:w="4460"/>
          </w:cols>
          <w:pgMar w:left="320" w:top="121" w:right="339" w:bottom="127"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5"/>
          </w:tcPr>
          <w:p>
            <w:pPr>
              <w:jc w:val="right"/>
              <w:ind w:right="59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168,569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168,569</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133,709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2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(80,055)</w:t>
            </w:r>
          </w:p>
        </w:tc>
        <w:tc>
          <w:tcPr>
            <w:tcW w:w="24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(588)</w:t>
            </w:r>
          </w:p>
        </w:tc>
        <w:tc>
          <w:tcPr>
            <w:tcW w:w="16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(79,467)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(67,742)</w:t>
            </w:r>
          </w:p>
        </w:tc>
        <w:tc>
          <w:tcPr>
            <w:tcW w:w="24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(67,612)</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88,514</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(588)</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89,102</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65,967</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(130)</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00"/>
              <w:spacing w:after="0"/>
              <w:rPr>
                <w:sz w:val="20"/>
                <w:szCs w:val="20"/>
                <w:color w:val="auto"/>
              </w:rPr>
            </w:pPr>
            <w:r>
              <w:rPr>
                <w:rFonts w:ascii="Arial" w:cs="Arial" w:eastAsia="Arial" w:hAnsi="Arial"/>
                <w:sz w:val="18"/>
                <w:szCs w:val="18"/>
                <w:i w:val="1"/>
                <w:iCs w:val="1"/>
                <w:color w:val="auto"/>
              </w:rPr>
              <w:t>Gross margin</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52.5%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0.3%</w:t>
            </w:r>
          </w:p>
        </w:tc>
        <w:tc>
          <w:tcPr>
            <w:tcW w:w="16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52.9%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49.3%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0.1%</w:t>
            </w:r>
          </w:p>
        </w:tc>
        <w:tc>
          <w:tcPr>
            <w:tcW w:w="1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49.4%</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(16,803)</w:t>
            </w:r>
          </w:p>
        </w:tc>
        <w:tc>
          <w:tcPr>
            <w:tcW w:w="2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(2,543)</w:t>
            </w:r>
          </w:p>
        </w:tc>
        <w:tc>
          <w:tcPr>
            <w:tcW w:w="16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(14,260)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(13,133)</w:t>
            </w:r>
          </w:p>
        </w:tc>
        <w:tc>
          <w:tcPr>
            <w:tcW w:w="2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(12,784)</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Research and</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development</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(26,151)</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(3,421)</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(22,730)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(15,678)</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(15,012)</w:t>
            </w:r>
          </w:p>
        </w:tc>
        <w:tc>
          <w:tcPr>
            <w:tcW w:w="0" w:type="dxa"/>
            <w:vAlign w:val="bottom"/>
          </w:tcPr>
          <w:p>
            <w:pPr>
              <w:spacing w:after="0"/>
              <w:rPr>
                <w:sz w:val="1"/>
                <w:szCs w:val="1"/>
                <w:color w:val="auto"/>
              </w:rPr>
            </w:pPr>
          </w:p>
        </w:tc>
      </w:tr>
      <w:tr>
        <w:trPr>
          <w:trHeight w:val="202"/>
        </w:trPr>
        <w:tc>
          <w:tcPr>
            <w:tcW w:w="2220" w:type="dxa"/>
            <w:vAlign w:val="bottom"/>
          </w:tcPr>
          <w:p>
            <w:pPr>
              <w:ind w:left="500"/>
              <w:spacing w:after="0" w:line="201" w:lineRule="exact"/>
              <w:rPr>
                <w:sz w:val="20"/>
                <w:szCs w:val="20"/>
                <w:color w:val="auto"/>
              </w:rPr>
            </w:pPr>
            <w:r>
              <w:rPr>
                <w:rFonts w:ascii="Arial" w:cs="Arial" w:eastAsia="Arial" w:hAnsi="Arial"/>
                <w:sz w:val="18"/>
                <w:szCs w:val="18"/>
                <w:color w:val="auto"/>
              </w:rPr>
              <w:t>General and</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220" w:type="dxa"/>
            <w:vAlign w:val="bottom"/>
          </w:tcPr>
          <w:p>
            <w:pPr>
              <w:ind w:left="66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(12,387)</w:t>
            </w:r>
          </w:p>
        </w:tc>
        <w:tc>
          <w:tcPr>
            <w:tcW w:w="2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(4,029)</w:t>
            </w:r>
          </w:p>
        </w:tc>
        <w:tc>
          <w:tcPr>
            <w:tcW w:w="16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(8,358)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(5,520)</w:t>
            </w:r>
          </w:p>
        </w:tc>
        <w:tc>
          <w:tcPr>
            <w:tcW w:w="2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(748)</w:t>
            </w:r>
          </w:p>
        </w:tc>
        <w:tc>
          <w:tcPr>
            <w:tcW w:w="14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Total operating</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(55,341)</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(9,993)</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(45,348)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(34,331)</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(1,763)</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(32,568)</w:t>
            </w:r>
          </w:p>
        </w:tc>
        <w:tc>
          <w:tcPr>
            <w:tcW w:w="0" w:type="dxa"/>
            <w:vAlign w:val="bottom"/>
          </w:tcPr>
          <w:p>
            <w:pPr>
              <w:spacing w:after="0"/>
              <w:rPr>
                <w:sz w:val="1"/>
                <w:szCs w:val="1"/>
                <w:color w:val="auto"/>
              </w:rPr>
            </w:pPr>
          </w:p>
        </w:tc>
      </w:tr>
      <w:tr>
        <w:trPr>
          <w:trHeight w:val="202"/>
        </w:trPr>
        <w:tc>
          <w:tcPr>
            <w:tcW w:w="22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Income (loss) from</w:t>
            </w: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33,173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(10,581)</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43,754</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31,636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(1,893)</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33,529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Unrealized loss on</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short-term</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investments</w:t>
            </w: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(1,319)</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(1,319)</w:t>
            </w: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(5,281)</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20" w:type="dxa"/>
            <w:vAlign w:val="bottom"/>
          </w:tcPr>
          <w:p>
            <w:pPr>
              <w:spacing w:after="0" w:line="198" w:lineRule="exact"/>
              <w:rPr>
                <w:sz w:val="20"/>
                <w:szCs w:val="20"/>
                <w:color w:val="auto"/>
              </w:rPr>
            </w:pPr>
            <w:r>
              <w:rPr>
                <w:rFonts w:ascii="Arial" w:cs="Arial" w:eastAsia="Arial" w:hAnsi="Arial"/>
                <w:sz w:val="18"/>
                <w:szCs w:val="18"/>
                <w:b w:val="1"/>
                <w:bCs w:val="1"/>
                <w:color w:val="auto"/>
              </w:rPr>
              <w:t>Net income (loss)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Arial" w:cs="Arial" w:eastAsia="Arial" w:hAnsi="Arial"/>
                <w:sz w:val="18"/>
                <w:szCs w:val="18"/>
                <w:b w:val="1"/>
                <w:bCs w:val="1"/>
                <w:color w:val="auto"/>
              </w:rPr>
              <w:t>attributable to ACM</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tcPr>
          <w:p>
            <w:pPr>
              <w:ind w:left="180"/>
              <w:spacing w:after="0"/>
              <w:rPr>
                <w:sz w:val="20"/>
                <w:szCs w:val="20"/>
                <w:color w:val="auto"/>
              </w:rPr>
            </w:pPr>
            <w:r>
              <w:rPr>
                <w:rFonts w:ascii="Arial" w:cs="Arial" w:eastAsia="Arial" w:hAnsi="Arial"/>
                <w:sz w:val="18"/>
                <w:szCs w:val="18"/>
                <w:b w:val="1"/>
                <w:bCs w:val="1"/>
                <w:color w:val="auto"/>
              </w:rPr>
              <w:t>Research, Inc.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25,679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(10,581)</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37,579</w:t>
            </w:r>
          </w:p>
        </w:tc>
        <w:tc>
          <w:tcPr>
            <w:tcW w:w="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21,004</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(1,893)</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(5,281)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28,178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EPS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0.43</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0.62</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340"/>
              <w:spacing w:after="0"/>
              <w:rPr>
                <w:sz w:val="20"/>
                <w:szCs w:val="20"/>
                <w:color w:val="auto"/>
              </w:rPr>
            </w:pPr>
            <w:r>
              <w:rPr>
                <w:rFonts w:ascii="Arial" w:cs="Arial" w:eastAsia="Arial" w:hAnsi="Arial"/>
                <w:sz w:val="18"/>
                <w:szCs w:val="18"/>
                <w:color w:val="auto"/>
              </w:rPr>
              <w:t>Diluted EPS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0.39</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0.57</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0.32</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8"/>
          </w:tcPr>
          <w:p>
            <w:pPr>
              <w:jc w:val="right"/>
              <w:ind w:right="10"/>
              <w:spacing w:after="0"/>
              <w:rPr>
                <w:sz w:val="20"/>
                <w:szCs w:val="20"/>
                <w:color w:val="auto"/>
              </w:rPr>
            </w:pPr>
            <w:r>
              <w:rPr>
                <w:rFonts w:ascii="Arial" w:cs="Arial" w:eastAsia="Arial" w:hAnsi="Arial"/>
                <w:sz w:val="18"/>
                <w:szCs w:val="18"/>
                <w:b w:val="1"/>
                <w:bCs w:val="1"/>
                <w:color w:val="auto"/>
              </w:rPr>
              <w:t>Nine Months Ended September 30,</w:t>
            </w: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Actual</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gridSpan w:val="2"/>
          </w:tcPr>
          <w:p>
            <w:pPr>
              <w:jc w:val="right"/>
              <w:ind w:right="90"/>
              <w:spacing w:after="0" w:line="198" w:lineRule="exact"/>
              <w:rPr>
                <w:sz w:val="20"/>
                <w:szCs w:val="20"/>
                <w:color w:val="auto"/>
              </w:rPr>
            </w:pPr>
            <w:r>
              <w:rPr>
                <w:rFonts w:ascii="Arial" w:cs="Arial" w:eastAsia="Arial" w:hAnsi="Arial"/>
                <w:sz w:val="18"/>
                <w:szCs w:val="18"/>
                <w:b w:val="1"/>
                <w:bCs w:val="1"/>
                <w:color w:val="auto"/>
              </w:rPr>
              <w:t>Other non-</w:t>
            </w:r>
          </w:p>
        </w:tc>
        <w:tc>
          <w:tcPr>
            <w:tcW w:w="160" w:type="dxa"/>
            <w:vAlign w:val="bottom"/>
          </w:tcPr>
          <w:p>
            <w:pPr>
              <w:spacing w:after="0"/>
              <w:rPr>
                <w:sz w:val="17"/>
                <w:szCs w:val="17"/>
                <w:color w:val="auto"/>
              </w:rPr>
            </w:pPr>
          </w:p>
        </w:tc>
        <w:tc>
          <w:tcPr>
            <w:tcW w:w="100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0"/>
              </w:rPr>
              <w:t>Adjusted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Actual</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gridSpan w:val="2"/>
          </w:tcPr>
          <w:p>
            <w:pPr>
              <w:jc w:val="right"/>
              <w:ind w:right="90"/>
              <w:spacing w:after="0" w:line="198" w:lineRule="exact"/>
              <w:rPr>
                <w:sz w:val="20"/>
                <w:szCs w:val="20"/>
                <w:color w:val="auto"/>
              </w:rPr>
            </w:pPr>
            <w:r>
              <w:rPr>
                <w:rFonts w:ascii="Arial" w:cs="Arial" w:eastAsia="Arial" w:hAnsi="Arial"/>
                <w:sz w:val="18"/>
                <w:szCs w:val="18"/>
                <w:b w:val="1"/>
                <w:bCs w:val="1"/>
                <w:color w:val="auto"/>
                <w:w w:val="99"/>
              </w:rPr>
              <w:t>Other non-</w:t>
            </w:r>
          </w:p>
        </w:tc>
        <w:tc>
          <w:tcPr>
            <w:tcW w:w="160" w:type="dxa"/>
            <w:vAlign w:val="bottom"/>
          </w:tcPr>
          <w:p>
            <w:pPr>
              <w:spacing w:after="0"/>
              <w:rPr>
                <w:sz w:val="17"/>
                <w:szCs w:val="17"/>
                <w:color w:val="auto"/>
              </w:rPr>
            </w:pPr>
          </w:p>
        </w:tc>
        <w:tc>
          <w:tcPr>
            <w:tcW w:w="80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Adjusted</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6"/>
              </w:rPr>
              <w:t>(GAAP)</w:t>
            </w:r>
          </w:p>
        </w:tc>
        <w:tc>
          <w:tcPr>
            <w:tcW w:w="240" w:type="dxa"/>
            <w:vAlign w:val="bottom"/>
          </w:tcPr>
          <w:p>
            <w:pPr>
              <w:spacing w:after="0"/>
              <w:rPr>
                <w:sz w:val="18"/>
                <w:szCs w:val="18"/>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SBC</w:t>
            </w:r>
          </w:p>
        </w:tc>
        <w:tc>
          <w:tcPr>
            <w:tcW w:w="16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87"/>
              </w:rPr>
              <w:t>operating</w:t>
            </w: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(Non-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6"/>
              </w:rPr>
              <w:t>(GAAP)</w:t>
            </w:r>
          </w:p>
        </w:tc>
        <w:tc>
          <w:tcPr>
            <w:tcW w:w="240" w:type="dxa"/>
            <w:vAlign w:val="bottom"/>
          </w:tcPr>
          <w:p>
            <w:pPr>
              <w:spacing w:after="0"/>
              <w:rPr>
                <w:sz w:val="18"/>
                <w:szCs w:val="18"/>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SBC</w:t>
            </w:r>
          </w:p>
        </w:tc>
        <w:tc>
          <w:tcPr>
            <w:tcW w:w="14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87"/>
              </w:rPr>
              <w:t>operating</w:t>
            </w:r>
          </w:p>
        </w:tc>
        <w:tc>
          <w:tcPr>
            <w:tcW w:w="160" w:type="dxa"/>
            <w:vAlign w:val="bottom"/>
          </w:tcPr>
          <w:p>
            <w:pPr>
              <w:spacing w:after="0"/>
              <w:rPr>
                <w:sz w:val="18"/>
                <w:szCs w:val="18"/>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(Non-</w:t>
            </w:r>
          </w:p>
        </w:tc>
        <w:tc>
          <w:tcPr>
            <w:tcW w:w="0" w:type="dxa"/>
            <w:vAlign w:val="bottom"/>
          </w:tcPr>
          <w:p>
            <w:pPr>
              <w:spacing w:after="0"/>
              <w:rPr>
                <w:sz w:val="1"/>
                <w:szCs w:val="1"/>
                <w:color w:val="auto"/>
              </w:rPr>
            </w:pPr>
          </w:p>
        </w:tc>
      </w:tr>
      <w:tr>
        <w:trPr>
          <w:trHeight w:val="126"/>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98"/>
              </w:rPr>
              <w:t>adjustments</w:t>
            </w:r>
          </w:p>
        </w:tc>
        <w:tc>
          <w:tcPr>
            <w:tcW w:w="16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6"/>
              </w:rPr>
              <w:t>GAAP)</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8"/>
              </w:rPr>
              <w:t>adjustments</w:t>
            </w:r>
          </w:p>
        </w:tc>
        <w:tc>
          <w:tcPr>
            <w:tcW w:w="160" w:type="dxa"/>
            <w:vAlign w:val="bottom"/>
          </w:tcPr>
          <w:p>
            <w:pPr>
              <w:spacing w:after="0"/>
              <w:rPr>
                <w:sz w:val="10"/>
                <w:szCs w:val="10"/>
                <w:color w:val="auto"/>
              </w:rPr>
            </w:pPr>
          </w:p>
        </w:tc>
        <w:tc>
          <w:tcPr>
            <w:tcW w:w="960" w:type="dxa"/>
            <w:vAlign w:val="bottom"/>
            <w:gridSpan w:val="3"/>
            <w:vMerge w:val="restart"/>
          </w:tcPr>
          <w:p>
            <w:pPr>
              <w:jc w:val="center"/>
              <w:ind w:right="240"/>
              <w:spacing w:after="0"/>
              <w:rPr>
                <w:sz w:val="20"/>
                <w:szCs w:val="20"/>
                <w:color w:val="auto"/>
              </w:rPr>
            </w:pPr>
            <w:r>
              <w:rPr>
                <w:rFonts w:ascii="Arial" w:cs="Arial" w:eastAsia="Arial" w:hAnsi="Arial"/>
                <w:sz w:val="18"/>
                <w:szCs w:val="18"/>
                <w:b w:val="1"/>
                <w:bCs w:val="1"/>
                <w:color w:val="auto"/>
                <w:w w:val="96"/>
              </w:rPr>
              <w:t>GAAP)</w:t>
            </w:r>
          </w:p>
        </w:tc>
        <w:tc>
          <w:tcPr>
            <w:tcW w:w="0" w:type="dxa"/>
            <w:vAlign w:val="bottom"/>
          </w:tcPr>
          <w:p>
            <w:pPr>
              <w:spacing w:after="0"/>
              <w:rPr>
                <w:sz w:val="1"/>
                <w:szCs w:val="1"/>
                <w:color w:val="auto"/>
              </w:rPr>
            </w:pPr>
          </w:p>
        </w:tc>
      </w:tr>
      <w:tr>
        <w:trPr>
          <w:trHeight w:val="115"/>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gridSpan w:val="5"/>
          </w:tcPr>
          <w:p>
            <w:pPr>
              <w:jc w:val="right"/>
              <w:ind w:right="59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387,402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387,402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280,290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2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(190,263)</w:t>
            </w:r>
          </w:p>
        </w:tc>
        <w:tc>
          <w:tcPr>
            <w:tcW w:w="2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(838)</w:t>
            </w: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(189,425)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(150,480)</w:t>
            </w:r>
          </w:p>
        </w:tc>
        <w:tc>
          <w:tcPr>
            <w:tcW w:w="24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(383)</w:t>
            </w:r>
          </w:p>
        </w:tc>
        <w:tc>
          <w:tcPr>
            <w:tcW w:w="1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(150,097)</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197,139</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(838)</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197,977</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129,810</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(383)</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130,193</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00"/>
              <w:spacing w:after="0"/>
              <w:rPr>
                <w:sz w:val="20"/>
                <w:szCs w:val="20"/>
                <w:color w:val="auto"/>
              </w:rPr>
            </w:pPr>
            <w:r>
              <w:rPr>
                <w:rFonts w:ascii="Arial" w:cs="Arial" w:eastAsia="Arial" w:hAnsi="Arial"/>
                <w:sz w:val="18"/>
                <w:szCs w:val="18"/>
                <w:i w:val="1"/>
                <w:iCs w:val="1"/>
                <w:color w:val="auto"/>
              </w:rPr>
              <w:t>Gross margin</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50.9%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0.2%</w:t>
            </w:r>
          </w:p>
        </w:tc>
        <w:tc>
          <w:tcPr>
            <w:tcW w:w="1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51.1%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46.3%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0.1%</w:t>
            </w:r>
          </w:p>
        </w:tc>
        <w:tc>
          <w:tcPr>
            <w:tcW w:w="1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46.4%</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(37,579)</w:t>
            </w:r>
          </w:p>
        </w:tc>
        <w:tc>
          <w:tcPr>
            <w:tcW w:w="2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(3,405)</w:t>
            </w:r>
          </w:p>
        </w:tc>
        <w:tc>
          <w:tcPr>
            <w:tcW w:w="1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(34,174)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(27,494)</w:t>
            </w:r>
          </w:p>
        </w:tc>
        <w:tc>
          <w:tcPr>
            <w:tcW w:w="2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(1,277)</w:t>
            </w:r>
          </w:p>
        </w:tc>
        <w:tc>
          <w:tcPr>
            <w:tcW w:w="1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(26,217)</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Research and</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development</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(60,244)</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(4,831)</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(55,413)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(44,391)</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(1,733)</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(42,658)</w:t>
            </w:r>
          </w:p>
        </w:tc>
        <w:tc>
          <w:tcPr>
            <w:tcW w:w="0" w:type="dxa"/>
            <w:vAlign w:val="bottom"/>
          </w:tcPr>
          <w:p>
            <w:pPr>
              <w:spacing w:after="0"/>
              <w:rPr>
                <w:sz w:val="1"/>
                <w:szCs w:val="1"/>
                <w:color w:val="auto"/>
              </w:rPr>
            </w:pPr>
          </w:p>
        </w:tc>
      </w:tr>
      <w:tr>
        <w:trPr>
          <w:trHeight w:val="202"/>
        </w:trPr>
        <w:tc>
          <w:tcPr>
            <w:tcW w:w="2220" w:type="dxa"/>
            <w:vAlign w:val="bottom"/>
          </w:tcPr>
          <w:p>
            <w:pPr>
              <w:ind w:left="500"/>
              <w:spacing w:after="0" w:line="201" w:lineRule="exact"/>
              <w:rPr>
                <w:sz w:val="20"/>
                <w:szCs w:val="20"/>
                <w:color w:val="auto"/>
              </w:rPr>
            </w:pPr>
            <w:r>
              <w:rPr>
                <w:rFonts w:ascii="Arial" w:cs="Arial" w:eastAsia="Arial" w:hAnsi="Arial"/>
                <w:sz w:val="18"/>
                <w:szCs w:val="18"/>
                <w:color w:val="auto"/>
              </w:rPr>
              <w:t>General and</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220" w:type="dxa"/>
            <w:vAlign w:val="bottom"/>
          </w:tcPr>
          <w:p>
            <w:pPr>
              <w:ind w:left="66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(26,851)</w:t>
            </w:r>
          </w:p>
        </w:tc>
        <w:tc>
          <w:tcPr>
            <w:tcW w:w="24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(5,592)</w:t>
            </w: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(21,259)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(15,560)</w:t>
            </w:r>
          </w:p>
        </w:tc>
        <w:tc>
          <w:tcPr>
            <w:tcW w:w="2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(1,843)</w:t>
            </w:r>
          </w:p>
        </w:tc>
        <w:tc>
          <w:tcPr>
            <w:tcW w:w="14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(13,717)</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Total operating</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(124,674)</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(13,828)</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(110,846)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(87,445)</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(4,853)</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(82,592)</w:t>
            </w:r>
          </w:p>
        </w:tc>
        <w:tc>
          <w:tcPr>
            <w:tcW w:w="0" w:type="dxa"/>
            <w:vAlign w:val="bottom"/>
          </w:tcPr>
          <w:p>
            <w:pPr>
              <w:spacing w:after="0"/>
              <w:rPr>
                <w:sz w:val="1"/>
                <w:szCs w:val="1"/>
                <w:color w:val="auto"/>
              </w:rPr>
            </w:pPr>
          </w:p>
        </w:tc>
      </w:tr>
      <w:tr>
        <w:trPr>
          <w:trHeight w:val="223"/>
        </w:trPr>
        <w:tc>
          <w:tcPr>
            <w:tcW w:w="2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72,465</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(14,666)</w:t>
            </w:r>
          </w:p>
        </w:tc>
        <w:tc>
          <w:tcPr>
            <w:tcW w:w="1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87,131</w:t>
            </w:r>
          </w:p>
        </w:tc>
        <w:tc>
          <w:tcPr>
            <w:tcW w:w="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42,365</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(5,236)</w:t>
            </w:r>
          </w:p>
        </w:tc>
        <w:tc>
          <w:tcPr>
            <w:tcW w:w="1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47,601</w:t>
            </w: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Unrealized loss on</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short-term</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investments</w:t>
            </w: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(4,428)</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(9,562)</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20" w:type="dxa"/>
            <w:vAlign w:val="bottom"/>
          </w:tcPr>
          <w:p>
            <w:pPr>
              <w:spacing w:after="0" w:line="198" w:lineRule="exact"/>
              <w:rPr>
                <w:sz w:val="20"/>
                <w:szCs w:val="20"/>
                <w:color w:val="auto"/>
              </w:rPr>
            </w:pPr>
            <w:r>
              <w:rPr>
                <w:rFonts w:ascii="Arial" w:cs="Arial" w:eastAsia="Arial" w:hAnsi="Arial"/>
                <w:sz w:val="18"/>
                <w:szCs w:val="18"/>
                <w:b w:val="1"/>
                <w:bCs w:val="1"/>
                <w:color w:val="auto"/>
              </w:rPr>
              <w:t>Net income (loss)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Arial" w:cs="Arial" w:eastAsia="Arial" w:hAnsi="Arial"/>
                <w:sz w:val="18"/>
                <w:szCs w:val="18"/>
                <w:b w:val="1"/>
                <w:bCs w:val="1"/>
                <w:color w:val="auto"/>
              </w:rPr>
              <w:t>attributable to ACM</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tcPr>
          <w:p>
            <w:pPr>
              <w:ind w:left="180"/>
              <w:spacing w:after="0"/>
              <w:rPr>
                <w:sz w:val="20"/>
                <w:szCs w:val="20"/>
                <w:color w:val="auto"/>
              </w:rPr>
            </w:pPr>
            <w:r>
              <w:rPr>
                <w:rFonts w:ascii="Arial" w:cs="Arial" w:eastAsia="Arial" w:hAnsi="Arial"/>
                <w:sz w:val="18"/>
                <w:szCs w:val="18"/>
                <w:b w:val="1"/>
                <w:bCs w:val="1"/>
                <w:color w:val="auto"/>
              </w:rPr>
              <w:t>Research, Inc.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59,649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(14,666)</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78,743</w:t>
            </w:r>
          </w:p>
        </w:tc>
        <w:tc>
          <w:tcPr>
            <w:tcW w:w="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27,454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(5,236)</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(9,562)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42,252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EPS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0.99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0.46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340"/>
              <w:spacing w:after="0"/>
              <w:rPr>
                <w:sz w:val="20"/>
                <w:szCs w:val="20"/>
                <w:color w:val="auto"/>
              </w:rPr>
            </w:pPr>
            <w:r>
              <w:rPr>
                <w:rFonts w:ascii="Arial" w:cs="Arial" w:eastAsia="Arial" w:hAnsi="Arial"/>
                <w:sz w:val="18"/>
                <w:szCs w:val="18"/>
                <w:color w:val="auto"/>
              </w:rPr>
              <w:t>Diluted EPS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0.90</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0.41</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0.64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27" w:gutter="0" w:footer="0" w:header="0"/>
          <w:type w:val="continuous"/>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2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2023-11-07T06:45:02Z</dcterms:created>
  <dcterms:modified xsi:type="dcterms:W3CDTF">2023-11-07T06:45:02Z</dcterms:modified>
</cp:coreProperties>
</file>