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598170</wp:posOffset>
            </wp:positionH>
            <wp:positionV relativeFrom="page">
              <wp:posOffset>808990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833755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October 28, 2026</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ACM Research, Inc.</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60" w:lineRule="exact"/>
        <w:rPr>
          <w:sz w:val="24"/>
          <w:szCs w:val="24"/>
          <w:color w:val="auto"/>
        </w:rPr>
      </w:pPr>
    </w:p>
    <w:tbl>
      <w:tblPr>
        <w:tblLayout w:type="fixed"/>
        <w:tblInd w:w="300" w:type="dxa"/>
        <w:tblCellMar>
          <w:top w:w="0" w:type="dxa"/>
          <w:left w:w="0" w:type="dxa"/>
          <w:bottom w:w="0" w:type="dxa"/>
          <w:right w:w="0" w:type="dxa"/>
        </w:tblCellMar>
      </w:tblPr>
      <w:tr>
        <w:trPr>
          <w:trHeight w:val="227"/>
        </w:trPr>
        <w:tc>
          <w:tcPr>
            <w:tcW w:w="4140" w:type="dxa"/>
            <w:vAlign w:val="bottom"/>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60" w:type="dxa"/>
            <w:vAlign w:val="bottom"/>
          </w:tcPr>
          <w:p>
            <w:pPr>
              <w:jc w:val="right"/>
              <w:ind w:right="1234"/>
              <w:spacing w:after="0"/>
              <w:rPr>
                <w:sz w:val="20"/>
                <w:szCs w:val="20"/>
                <w:color w:val="auto"/>
              </w:rPr>
            </w:pPr>
            <w:r>
              <w:rPr>
                <w:rFonts w:ascii="Times New Roman" w:cs="Times New Roman" w:eastAsia="Times New Roman" w:hAnsi="Times New Roman"/>
                <w:sz w:val="17"/>
                <w:szCs w:val="17"/>
                <w:b w:val="1"/>
                <w:bCs w:val="1"/>
                <w:color w:val="auto"/>
              </w:rPr>
              <w:t>001-38273</w:t>
            </w:r>
          </w:p>
        </w:tc>
        <w:tc>
          <w:tcPr>
            <w:tcW w:w="324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94-3290283</w:t>
            </w:r>
          </w:p>
        </w:tc>
      </w:tr>
      <w:tr>
        <w:trPr>
          <w:trHeight w:val="258"/>
        </w:trPr>
        <w:tc>
          <w:tcPr>
            <w:tcW w:w="4140" w:type="dxa"/>
            <w:vAlign w:val="bottom"/>
          </w:tcPr>
          <w:p>
            <w:pPr>
              <w:jc w:val="center"/>
              <w:ind w:right="914"/>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tc>
        <w:tc>
          <w:tcPr>
            <w:tcW w:w="2860" w:type="dxa"/>
            <w:vAlign w:val="bottom"/>
          </w:tcPr>
          <w:p>
            <w:pPr>
              <w:jc w:val="center"/>
              <w:ind w:right="414"/>
              <w:spacing w:after="0"/>
              <w:rPr>
                <w:sz w:val="20"/>
                <w:szCs w:val="20"/>
                <w:color w:val="auto"/>
              </w:rPr>
            </w:pPr>
            <w:r>
              <w:rPr>
                <w:rFonts w:ascii="Times New Roman" w:cs="Times New Roman" w:eastAsia="Times New Roman" w:hAnsi="Times New Roman"/>
                <w:sz w:val="17"/>
                <w:szCs w:val="17"/>
                <w:i w:val="1"/>
                <w:iCs w:val="1"/>
                <w:color w:val="auto"/>
              </w:rPr>
              <w:t>(Commission File Number)</w:t>
            </w:r>
          </w:p>
        </w:tc>
        <w:tc>
          <w:tcPr>
            <w:tcW w:w="3240" w:type="dxa"/>
            <w:vAlign w:val="bottom"/>
          </w:tcPr>
          <w:p>
            <w:pPr>
              <w:ind w:left="90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tc>
      </w:tr>
      <w:tr>
        <w:trPr>
          <w:trHeight w:val="559"/>
        </w:trPr>
        <w:tc>
          <w:tcPr>
            <w:tcW w:w="4140" w:type="dxa"/>
            <w:vAlign w:val="bottom"/>
          </w:tcPr>
          <w:p>
            <w:pPr>
              <w:jc w:val="center"/>
              <w:ind w:left="794"/>
              <w:spacing w:after="0"/>
              <w:rPr>
                <w:sz w:val="20"/>
                <w:szCs w:val="20"/>
                <w:color w:val="auto"/>
              </w:rPr>
            </w:pPr>
            <w:r>
              <w:rPr>
                <w:rFonts w:ascii="Times New Roman" w:cs="Times New Roman" w:eastAsia="Times New Roman" w:hAnsi="Times New Roman"/>
                <w:sz w:val="17"/>
                <w:szCs w:val="17"/>
                <w:b w:val="1"/>
                <w:bCs w:val="1"/>
                <w:color w:val="auto"/>
              </w:rPr>
              <w:t>42307 Osgood Road, Suite I</w:t>
            </w:r>
          </w:p>
        </w:tc>
        <w:tc>
          <w:tcPr>
            <w:tcW w:w="28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0"/>
        </w:trPr>
        <w:tc>
          <w:tcPr>
            <w:tcW w:w="4140" w:type="dxa"/>
            <w:vAlign w:val="bottom"/>
          </w:tcPr>
          <w:p>
            <w:pPr>
              <w:jc w:val="center"/>
              <w:ind w:left="814"/>
              <w:spacing w:after="0"/>
              <w:rPr>
                <w:sz w:val="20"/>
                <w:szCs w:val="20"/>
                <w:color w:val="auto"/>
              </w:rPr>
            </w:pPr>
            <w:r>
              <w:rPr>
                <w:rFonts w:ascii="Times New Roman" w:cs="Times New Roman" w:eastAsia="Times New Roman" w:hAnsi="Times New Roman"/>
                <w:sz w:val="17"/>
                <w:szCs w:val="17"/>
                <w:b w:val="1"/>
                <w:bCs w:val="1"/>
                <w:color w:val="auto"/>
              </w:rPr>
              <w:t>Fremont, California</w:t>
            </w:r>
          </w:p>
        </w:tc>
        <w:tc>
          <w:tcPr>
            <w:tcW w:w="2860" w:type="dxa"/>
            <w:vAlign w:val="bottom"/>
          </w:tcPr>
          <w:p>
            <w:pPr>
              <w:spacing w:after="0"/>
              <w:rPr>
                <w:sz w:val="20"/>
                <w:szCs w:val="20"/>
                <w:color w:val="auto"/>
              </w:rPr>
            </w:pPr>
          </w:p>
        </w:tc>
        <w:tc>
          <w:tcPr>
            <w:tcW w:w="3240" w:type="dxa"/>
            <w:vAlign w:val="bottom"/>
          </w:tcPr>
          <w:p>
            <w:pPr>
              <w:ind w:left="920"/>
              <w:spacing w:after="0"/>
              <w:rPr>
                <w:sz w:val="20"/>
                <w:szCs w:val="20"/>
                <w:color w:val="auto"/>
              </w:rPr>
            </w:pPr>
            <w:r>
              <w:rPr>
                <w:rFonts w:ascii="Times New Roman" w:cs="Times New Roman" w:eastAsia="Times New Roman" w:hAnsi="Times New Roman"/>
                <w:sz w:val="17"/>
                <w:szCs w:val="17"/>
                <w:b w:val="1"/>
                <w:bCs w:val="1"/>
                <w:color w:val="auto"/>
              </w:rPr>
              <w:t>94539</w:t>
            </w:r>
          </w:p>
        </w:tc>
      </w:tr>
      <w:tr>
        <w:trPr>
          <w:trHeight w:val="258"/>
        </w:trPr>
        <w:tc>
          <w:tcPr>
            <w:tcW w:w="4140" w:type="dxa"/>
            <w:vAlign w:val="bottom"/>
          </w:tcPr>
          <w:p>
            <w:pPr>
              <w:jc w:val="center"/>
              <w:ind w:left="794"/>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tc>
        <w:tc>
          <w:tcPr>
            <w:tcW w:w="2860" w:type="dxa"/>
            <w:vAlign w:val="bottom"/>
          </w:tcPr>
          <w:p>
            <w:pPr>
              <w:spacing w:after="0"/>
              <w:rPr>
                <w:sz w:val="22"/>
                <w:szCs w:val="22"/>
                <w:color w:val="auto"/>
              </w:rPr>
            </w:pPr>
          </w:p>
        </w:tc>
        <w:tc>
          <w:tcPr>
            <w:tcW w:w="3240" w:type="dxa"/>
            <w:vAlign w:val="bottom"/>
          </w:tcPr>
          <w:p>
            <w:pPr>
              <w:ind w:left="760"/>
              <w:spacing w:after="0"/>
              <w:rPr>
                <w:sz w:val="20"/>
                <w:szCs w:val="20"/>
                <w:color w:val="auto"/>
              </w:rPr>
            </w:pPr>
            <w:r>
              <w:rPr>
                <w:rFonts w:ascii="Times New Roman" w:cs="Times New Roman" w:eastAsia="Times New Roman" w:hAnsi="Times New Roman"/>
                <w:sz w:val="17"/>
                <w:szCs w:val="17"/>
                <w:i w:val="1"/>
                <w:iCs w:val="1"/>
                <w:color w:val="auto"/>
              </w:rPr>
              <w:t>(Zip Code)</w:t>
            </w:r>
          </w:p>
        </w:tc>
      </w:tr>
    </w:tbl>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(510) 445-3700</w:t>
      </w:r>
    </w:p>
    <w:p>
      <w:pPr>
        <w:spacing w:after="0" w:line="22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9" w:lineRule="exact"/>
        <w:rPr>
          <w:sz w:val="24"/>
          <w:szCs w:val="24"/>
          <w:color w:val="auto"/>
        </w:rPr>
      </w:pPr>
    </w:p>
    <w:p>
      <w:pPr>
        <w:ind w:left="440" w:hanging="420"/>
        <w:spacing w:after="0"/>
        <w:tabs>
          <w:tab w:leader="none" w:pos="4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62" w:lineRule="exact"/>
        <w:rPr>
          <w:rFonts w:ascii="Wingdings" w:cs="Wingdings" w:eastAsia="Wingdings" w:hAnsi="Wingdings"/>
          <w:sz w:val="17"/>
          <w:szCs w:val="17"/>
          <w:b w:val="1"/>
          <w:bCs w:val="1"/>
          <w:color w:val="auto"/>
        </w:rPr>
      </w:pPr>
    </w:p>
    <w:p>
      <w:pPr>
        <w:ind w:left="440" w:hanging="420"/>
        <w:spacing w:after="0"/>
        <w:tabs>
          <w:tab w:leader="none" w:pos="4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62" w:lineRule="exact"/>
        <w:rPr>
          <w:rFonts w:ascii="Wingdings" w:cs="Wingdings" w:eastAsia="Wingdings" w:hAnsi="Wingdings"/>
          <w:sz w:val="17"/>
          <w:szCs w:val="17"/>
          <w:b w:val="1"/>
          <w:bCs w:val="1"/>
          <w:color w:val="auto"/>
        </w:rPr>
      </w:pPr>
    </w:p>
    <w:p>
      <w:pPr>
        <w:ind w:left="440" w:hanging="420"/>
        <w:spacing w:after="0"/>
        <w:tabs>
          <w:tab w:leader="none" w:pos="4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62" w:lineRule="exact"/>
        <w:rPr>
          <w:rFonts w:ascii="Wingdings" w:cs="Wingdings" w:eastAsia="Wingdings" w:hAnsi="Wingdings"/>
          <w:sz w:val="17"/>
          <w:szCs w:val="17"/>
          <w:b w:val="1"/>
          <w:bCs w:val="1"/>
          <w:color w:val="auto"/>
        </w:rPr>
      </w:pPr>
    </w:p>
    <w:p>
      <w:pPr>
        <w:ind w:left="440" w:hanging="420"/>
        <w:spacing w:after="0"/>
        <w:tabs>
          <w:tab w:leader="none" w:pos="4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495"/>
        </w:trPr>
        <w:tc>
          <w:tcPr>
            <w:tcW w:w="36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654"/>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1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Class A Common Stock, par value $0.0001 per</w:t>
            </w:r>
          </w:p>
        </w:tc>
        <w:tc>
          <w:tcPr>
            <w:tcW w:w="304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rPr>
              <w:t>ACMR</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293"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7"/>
          <w:szCs w:val="17"/>
          <w:b w:val="1"/>
          <w:bCs w:val="1"/>
          <w:color w:val="auto"/>
        </w:rPr>
        <w:t>o</w:t>
      </w:r>
    </w:p>
    <w:p>
      <w:pPr>
        <w:spacing w:after="0" w:line="151"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781685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163830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October 28, 2026, we issued a press release entitled “ACM Research Announces Preliminary Unaudited Revenue and Shipments for the Third Quarter 2026.” The full text of the press release is furnished as Exhibit 99.1 hereto and is incorporated herein by reference.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8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15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(d)</w:t>
        <w:tab/>
        <w:t>Exhibits.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40" w:type="dxa"/>
            <w:vAlign w:val="bottom"/>
            <w:tcBorders>
              <w:bottom w:val="single" w:sz="8" w:color="auto"/>
            </w:tcBorders>
          </w:tcPr>
          <w:p>
            <w:pPr>
              <w:spacing w:after="0" w:line="20" w:lineRule="exact"/>
              <w:rPr>
                <w:sz w:val="1"/>
                <w:szCs w:val="1"/>
                <w:color w:val="auto"/>
              </w:rPr>
            </w:pPr>
          </w:p>
        </w:tc>
      </w:tr>
      <w:tr>
        <w:trPr>
          <w:trHeight w:val="302"/>
        </w:trPr>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Press Release of ACM Research, Inc. dated October 28, 2026</w:t>
            </w:r>
          </w:p>
        </w:tc>
      </w:tr>
      <w:tr>
        <w:trPr>
          <w:trHeight w:val="316"/>
        </w:trPr>
        <w:tc>
          <w:tcPr>
            <w:tcW w:w="280" w:type="dxa"/>
            <w:vAlign w:val="bottom"/>
          </w:tcPr>
          <w:p>
            <w:pPr>
              <w:spacing w:after="0"/>
              <w:rPr>
                <w:sz w:val="24"/>
                <w:szCs w:val="24"/>
                <w:color w:val="auto"/>
              </w:rPr>
            </w:pPr>
          </w:p>
        </w:tc>
        <w:tc>
          <w:tcPr>
            <w:tcW w:w="3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(embedded within the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ACM RESEARCH, INC.</w:t>
      </w:r>
    </w:p>
    <w:p>
      <w:pPr>
        <w:spacing w:after="0" w:line="375" w:lineRule="exact"/>
        <w:rPr>
          <w:sz w:val="20"/>
          <w:szCs w:val="20"/>
          <w:color w:val="auto"/>
        </w:rPr>
      </w:pPr>
    </w:p>
    <w:p>
      <w:pPr>
        <w:ind w:left="4020"/>
        <w:spacing w:after="0"/>
        <w:tabs>
          <w:tab w:leader="none" w:pos="4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200"/>
        <w:spacing w:after="0" w:line="221" w:lineRule="auto"/>
        <w:rPr>
          <w:sz w:val="20"/>
          <w:szCs w:val="20"/>
          <w:color w:val="auto"/>
        </w:rPr>
      </w:pPr>
      <w:r>
        <w:rPr>
          <w:rFonts w:ascii="Times New Roman" w:cs="Times New Roman" w:eastAsia="Times New Roman" w:hAnsi="Times New Roman"/>
          <w:sz w:val="17"/>
          <w:szCs w:val="17"/>
          <w:color w:val="auto"/>
        </w:rPr>
        <w:t>Mark McKechnie</w:t>
      </w:r>
    </w:p>
    <w:p>
      <w:pPr>
        <w:ind w:left="402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October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4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3364865</wp:posOffset>
            </wp:positionH>
            <wp:positionV relativeFrom="page">
              <wp:posOffset>588010</wp:posOffset>
            </wp:positionV>
            <wp:extent cx="826770" cy="515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26770" cy="5156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ACM Research Announces Preliminary Unaudited Revenue and Shipments for the Third Quarter 2026</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Coincides with Release of ACM Shanghai Third Quarter 2026 Results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FREMONT, Calif., Oct 28, 2026 (GLOBE NEWSWIRE) – ACM Research, Inc. (“ACM”) (NASDAQ: ACMR), a leading supplier of wafer and panel processing solutions for semiconductor and advanced packaging applications, today announces expectations for preliminary unaudited revenue and total shipments for the third quarter of 2026. Today’s release coincides with the as-scheduled release of unaudited financial results by ACM Research (Shanghai), Inc., ACM’s principal operating subsidiary (“ACM Shanghai”), to the Shanghai Stock Exchange website [</w:t>
      </w:r>
      <w:r>
        <w:rPr>
          <w:rFonts w:ascii="Times New Roman" w:cs="Times New Roman" w:eastAsia="Times New Roman" w:hAnsi="Times New Roman"/>
          <w:sz w:val="19"/>
          <w:szCs w:val="19"/>
          <w:u w:val="single" w:color="auto"/>
          <w:color w:val="0000FF"/>
        </w:rPr>
        <w:t>link to China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Disclosure</w:t>
      </w:r>
      <w:r>
        <w:rPr>
          <w:rFonts w:ascii="Times New Roman" w:cs="Times New Roman" w:eastAsia="Times New Roman" w:hAnsi="Times New Roman"/>
          <w:sz w:val="19"/>
          <w:szCs w:val="19"/>
          <w:color w:val="000000"/>
        </w:rPr>
        <w:t>].</w:t>
      </w:r>
    </w:p>
    <w:p>
      <w:pPr>
        <w:spacing w:after="0" w:line="154"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9"/>
          <w:szCs w:val="19"/>
          <w:color w:val="auto"/>
        </w:rPr>
        <w:t>ACM will discuss its full financial results for the third quarter 2026 and its revenue outlook for the remainder of the year on its earnings call on Thursday, November 5, 2026, at 8 a.m. Eastern Time (9 p.m. China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ACM announces the following:</w:t>
      </w:r>
    </w:p>
    <w:p>
      <w:pPr>
        <w:spacing w:after="0" w:line="207" w:lineRule="exact"/>
        <w:rPr>
          <w:sz w:val="20"/>
          <w:szCs w:val="20"/>
          <w:color w:val="auto"/>
        </w:rPr>
      </w:pPr>
    </w:p>
    <w:p>
      <w:pPr>
        <w:ind w:left="620" w:right="380" w:hanging="307"/>
        <w:spacing w:after="0" w:line="261" w:lineRule="auto"/>
        <w:tabs>
          <w:tab w:leader="none" w:pos="609"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preliminary unaudited revenue for the third quarter of 2026 is expected to be in the range of $360 million to $365 million, which would represent year-to-year growth of 34% to 36%.</w:t>
      </w:r>
    </w:p>
    <w:p>
      <w:pPr>
        <w:ind w:left="620" w:right="200" w:hanging="307"/>
        <w:spacing w:after="0" w:line="268" w:lineRule="auto"/>
        <w:tabs>
          <w:tab w:leader="none" w:pos="609"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preliminary total shipments are expected to be in the range of $335 million to $340 million, which would represent year-to-year growth of 27% to 29%.</w:t>
      </w:r>
    </w:p>
    <w:p>
      <w:pPr>
        <w:spacing w:after="0" w:line="143" w:lineRule="exact"/>
        <w:rPr>
          <w:sz w:val="20"/>
          <w:szCs w:val="20"/>
          <w:color w:val="auto"/>
        </w:rPr>
      </w:pPr>
    </w:p>
    <w:p>
      <w:pPr>
        <w:ind w:right="860"/>
        <w:spacing w:after="0" w:line="283" w:lineRule="auto"/>
        <w:rPr>
          <w:sz w:val="20"/>
          <w:szCs w:val="20"/>
          <w:color w:val="auto"/>
        </w:rPr>
      </w:pPr>
      <w:r>
        <w:rPr>
          <w:rFonts w:ascii="Times New Roman" w:cs="Times New Roman" w:eastAsia="Times New Roman" w:hAnsi="Times New Roman"/>
          <w:sz w:val="19"/>
          <w:szCs w:val="19"/>
          <w:color w:val="auto"/>
        </w:rPr>
        <w:t>Actual unaudited third quarter 2026 results are subject to the completion of ACM’s quarter end closing procedures and review by ACM’s independent registered public accounting firm.</w:t>
      </w:r>
    </w:p>
    <w:p>
      <w:pPr>
        <w:spacing w:after="0" w:line="1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As of June 30, 2026, ACM owned a 73.2% equity interest in ACM Shanghai, and a substantial majority of ACM’s consolidated revenue and net income is contributed by ACM Shanghai. The stand-alone financial results of ACM Shanghai are reported in RMB as prepared in accordance with Chinese generally accepted accounting principles,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9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ACM Research, Inc.</w:t>
      </w:r>
    </w:p>
    <w:p>
      <w:pPr>
        <w:spacing w:after="0" w:line="21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9"/>
          <w:szCs w:val="19"/>
          <w:color w:val="auto"/>
        </w:rPr>
        <w:t>ACM develops, manufactures and sells semiconductor process equipment spanning cleaning, electroplating, stress-free polishing, vertical furnace processes, track, PECVD, and wafer- and panel-level packaging tools, enabling advanced and</w:t>
      </w:r>
    </w:p>
    <w:p>
      <w:pPr>
        <w:sectPr>
          <w:pgSz w:w="11900" w:h="16838" w:orient="portrait"/>
          <w:cols w:equalWidth="0" w:num="1">
            <w:col w:w="11240"/>
          </w:cols>
          <w:pgMar w:left="320" w:top="1440" w:right="339" w:bottom="1440" w:gutter="0" w:footer="0" w:header="0"/>
        </w:sectPr>
      </w:pPr>
    </w:p>
    <w:bookmarkStart w:id="4" w:name="page5"/>
    <w:bookmarkEnd w:id="4"/>
    <w:p>
      <w:pPr>
        <w:jc w:val="both"/>
        <w:ind w:right="60"/>
        <w:spacing w:after="0" w:line="269" w:lineRule="auto"/>
        <w:rPr>
          <w:sz w:val="20"/>
          <w:szCs w:val="20"/>
          <w:color w:val="auto"/>
        </w:rPr>
      </w:pPr>
      <w:r>
        <w:rPr>
          <w:rFonts w:ascii="Times New Roman" w:cs="Times New Roman" w:eastAsia="Times New Roman" w:hAnsi="Times New Roman"/>
          <w:sz w:val="19"/>
          <w:szCs w:val="19"/>
          <w:color w:val="auto"/>
        </w:rPr>
        <w:t xml:space="preserve">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9"/>
          <w:szCs w:val="19"/>
          <w:u w:val="single" w:color="auto"/>
          <w:color w:val="0000FF"/>
        </w:rPr>
        <w:t>www.acmr.com</w:t>
      </w:r>
      <w:r>
        <w:rPr>
          <w:rFonts w:ascii="Times New Roman" w:cs="Times New Roman" w:eastAsia="Times New Roman" w:hAnsi="Times New Roman"/>
          <w:sz w:val="19"/>
          <w:szCs w:val="19"/>
          <w:color w:val="000000"/>
        </w:rPr>
        <w:t>.</w:t>
      </w:r>
    </w:p>
    <w:p>
      <w:pPr>
        <w:spacing w:after="0" w:line="142" w:lineRule="exact"/>
        <w:rPr>
          <w:sz w:val="20"/>
          <w:szCs w:val="20"/>
          <w:color w:val="auto"/>
        </w:rPr>
      </w:pPr>
    </w:p>
    <w:p>
      <w:pPr>
        <w:ind w:firstLine="3"/>
        <w:spacing w:after="0" w:line="262" w:lineRule="auto"/>
        <w:tabs>
          <w:tab w:leader="none" w:pos="191"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44" w:lineRule="exact"/>
        <w:rPr>
          <w:sz w:val="20"/>
          <w:szCs w:val="20"/>
          <w:color w:val="auto"/>
        </w:rPr>
      </w:pPr>
    </w:p>
    <w:p>
      <w:pPr>
        <w:jc w:val="center"/>
        <w:ind w:right="7300"/>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32" w:lineRule="exact"/>
        <w:rPr>
          <w:sz w:val="20"/>
          <w:szCs w:val="20"/>
          <w:color w:val="auto"/>
        </w:rPr>
      </w:pPr>
    </w:p>
    <w:p>
      <w:pPr>
        <w:ind w:left="320"/>
        <w:spacing w:after="0"/>
        <w:tabs>
          <w:tab w:leader="none" w:pos="2020" w:val="left"/>
        </w:tabs>
        <w:rPr>
          <w:sz w:val="20"/>
          <w:szCs w:val="20"/>
          <w:color w:val="auto"/>
        </w:rPr>
      </w:pPr>
      <w:r>
        <w:rPr>
          <w:rFonts w:ascii="Times New Roman" w:cs="Times New Roman" w:eastAsia="Times New Roman" w:hAnsi="Times New Roman"/>
          <w:sz w:val="19"/>
          <w:szCs w:val="19"/>
          <w:u w:val="single" w:color="auto"/>
          <w:color w:val="auto"/>
        </w:rPr>
        <w:t>In the United States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The Blueshirt Group</w:t>
      </w:r>
    </w:p>
    <w:p>
      <w:pPr>
        <w:spacing w:after="0" w:line="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Steven C. Pelayo, CFA</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+1 (360) 808-5154</w:t>
      </w:r>
    </w:p>
    <w:p>
      <w:pPr>
        <w:spacing w:after="0" w:line="1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i w:val="1"/>
          <w:iCs w:val="1"/>
          <w:color w:val="auto"/>
        </w:rPr>
        <w:t>steven@blueshirtgroup.co</w:t>
      </w:r>
    </w:p>
    <w:p>
      <w:pPr>
        <w:spacing w:after="0" w:line="91"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9"/>
          <w:szCs w:val="19"/>
          <w:u w:val="single" w:color="auto"/>
          <w:color w:val="auto"/>
        </w:rPr>
        <w:t>In China</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The Blueshirt Group Asia</w:t>
      </w:r>
    </w:p>
    <w:p>
      <w:pPr>
        <w:spacing w:after="0" w:line="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Gary Dvorchak, CFA</w:t>
      </w:r>
    </w:p>
    <w:p>
      <w:pPr>
        <w:spacing w:after="0" w:line="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+86 (138) 1079-1480</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i w:val="1"/>
          <w:iCs w:val="1"/>
          <w:color w:val="auto"/>
        </w:rPr>
        <w:t>gary@blueshirtgroup.co</w:t>
      </w:r>
    </w:p>
    <w:sectPr>
      <w:pgSz w:w="11900" w:h="16838" w:orient="portrait"/>
      <w:cols w:equalWidth="0" w:num="1">
        <w:col w:w="11240"/>
      </w:cols>
      <w:pgMar w:left="320" w:top="9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2026-10-28T07:13:57Z</dcterms:created>
  <dcterms:modified xsi:type="dcterms:W3CDTF">2026-10-28T07:13:57Z</dcterms:modified>
</cp:coreProperties>
</file>