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1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4</w:t>
            </w:r>
          </w:p>
        </w:tc>
        <w:tc>
          <w:tcPr>
            <w:tcW w:w="6200" w:type="dxa"/>
            <w:vAlign w:val="bottom"/>
            <w:gridSpan w:val="20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  <w:vMerge w:val="restart"/>
          </w:tcPr>
          <w:p>
            <w:pPr>
              <w:jc w:val="center"/>
              <w:ind w:right="3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6200" w:type="dxa"/>
            <w:vAlign w:val="bottom"/>
            <w:gridSpan w:val="20"/>
            <w:vMerge w:val="restart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0" w:type="dxa"/>
            <w:vAlign w:val="bottom"/>
            <w:gridSpan w:val="2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5620" w:type="dxa"/>
            <w:vAlign w:val="bottom"/>
            <w:gridSpan w:val="19"/>
            <w:vMerge w:val="restart"/>
          </w:tcPr>
          <w:p>
            <w:pPr>
              <w:jc w:val="center"/>
              <w:ind w:lef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2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Instruction 1(b).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2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20" w:type="dxa"/>
            <w:vAlign w:val="bottom"/>
            <w:gridSpan w:val="1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Dun Haiping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ACM Research,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ACMR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jc w:val="center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ind w:left="2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42307 OSGOOD ROAD, SUITE I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4"/>
          </w:tcPr>
          <w:p>
            <w:pPr>
              <w:ind w:left="26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2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  <w:w w:val="99"/>
              </w:rPr>
              <w:t>Rule 10b5-1(c) Transaction Indication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to indicate that a transaction was made pursuant to a contract, instruction or written plan that is intended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0" w:type="dxa"/>
            <w:vAlign w:val="bottom"/>
            <w:gridSpan w:val="2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40" w:type="dxa"/>
            <w:vAlign w:val="bottom"/>
            <w:gridSpan w:val="1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satisfy the affirmative defense conditions of Rule 10b5-1(c). See Instruction 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37,500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926,616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05/22/2023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1,928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9.73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924,688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37,500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11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05/22/2023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37,500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200,001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-9525</wp:posOffset>
            </wp:positionH>
            <wp:positionV relativeFrom="paragraph">
              <wp:posOffset>-6149340</wp:posOffset>
            </wp:positionV>
            <wp:extent cx="7045960" cy="6162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2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40" w:right="160" w:firstLine="4"/>
        <w:spacing w:after="0" w:line="242" w:lineRule="auto"/>
        <w:tabs>
          <w:tab w:leader="none" w:pos="17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May 22, 2023, the reporting person exercised, by net exercise, a previously issued stock option to purchase 37,500 shares of Class A Common Stock of the Issuer. The reporting person paid the exercise price on a cashless basis, resulting in the Issuer withholding 1,928 shares of Class A Common Stock for payment of the exercise price, based on the closing price of the Issuer's Class A Common Stock on May 19, 2023 of $9.73, and issuing to the reporting person the remaining 35,572 shares of Class A Common Stock.</w:t>
      </w:r>
    </w:p>
    <w:p>
      <w:pPr>
        <w:spacing w:after="0" w:line="3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 and exercisable.</w:t>
      </w:r>
    </w:p>
    <w:p>
      <w:pPr>
        <w:ind w:left="658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Mark McKechnie,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05/24/2023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-27940</wp:posOffset>
            </wp:positionV>
            <wp:extent cx="1359535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-19050</wp:posOffset>
            </wp:positionV>
            <wp:extent cx="104521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5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5581015</wp:posOffset>
            </wp:positionH>
            <wp:positionV relativeFrom="paragraph">
              <wp:posOffset>-85725</wp:posOffset>
            </wp:positionV>
            <wp:extent cx="49149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721581" TargetMode="External"/><Relationship Id="rId9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2023-05-24T17:40:35Z</dcterms:created>
  <dcterms:modified xsi:type="dcterms:W3CDTF">2023-05-24T17:40:35Z</dcterms:modified>
</cp:coreProperties>
</file>