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7,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564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4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w:t>
            </w:r>
          </w:p>
        </w:tc>
        <w:tc>
          <w:tcPr>
            <w:tcW w:w="34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2" w:lineRule="exact"/>
        <w:rPr>
          <w:sz w:val="24"/>
          <w:szCs w:val="24"/>
          <w:color w:val="auto"/>
        </w:rPr>
      </w:pPr>
    </w:p>
    <w:p>
      <w:pPr>
        <w:spacing w:after="0" w:line="207" w:lineRule="exact"/>
        <w:tabs>
          <w:tab w:leader="none" w:pos="3040" w:val="left"/>
        </w:tabs>
        <w:rPr>
          <w:sz w:val="20"/>
          <w:szCs w:val="20"/>
          <w:color w:val="auto"/>
        </w:rPr>
      </w:pPr>
      <w:r>
        <w:rPr>
          <w:rFonts w:ascii="Times New Roman" w:cs="Times New Roman" w:eastAsia="Times New Roman" w:hAnsi="Times New Roman"/>
          <w:sz w:val="18"/>
          <w:szCs w:val="18"/>
          <w:color w:val="auto"/>
        </w:rPr>
        <w:t>Securities Exchange Act of 1934:</w:t>
      </w:r>
      <w:r>
        <w:rPr>
          <w:sz w:val="20"/>
          <w:szCs w:val="20"/>
          <w:color w:val="auto"/>
        </w:rPr>
        <w:tab/>
      </w: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7, 2024, we issued a press release announcing financial results for the third quarter of 2024. The full text of the press release is furnished as Exhibit 99.1 hereto and is incorporated herein by reference</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ACM Research, Inc. dated November 7, 2024</w:t>
      </w:r>
    </w:p>
    <w:p>
      <w:pPr>
        <w:spacing w:after="0" w:line="22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156845</wp:posOffset>
            </wp:positionV>
            <wp:extent cx="71120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2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Third Quarter 2024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FREMONT, Calif., Nov 07, 2024 (Globe Newswire) – ACM Research, Inc. (“ACM”) (NASDAQ: ACMR), a leading supplier of wafer processing solutions for semiconductor and advanced wafer-level packaging applications, today reported financial results for its third quarter ended September 30, 2024.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 am pleased to report another strong quarter for ACM, with record revenue and shipments, good profitability, and positive cash flow from operations,” said ACM’s President and Chief Executive Officer, Dr. David Wang. “We believe our results demonstrate ACM’s role as an innovator, delivering world-class tools that drive value for our customers and strengthen our position in the global market. Tahoe is gaining momentum with multiple logic and memory customers in production. This tool now delivers the same advanced cleaning performance as single-wafer tools, and at the same time up to 75% reduction of sulfuric acid use. We also believe the unique approach of our new panel products – including the Ultra ECP ap-p Horizontal Plating tool, the Ultra C vac-p Flux Cleaning tool, and the Ultra C bev-p Bevel Etching Tool – position ACM to become a significant contributor to the global adoption of AI chip manufacturing.”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Wang continued, “Looking ahead, we anticipate continued growth of our business in mainland China through market share gains and new product ramps. We have begun initial operations at our Lingang facility, and we remain committed to support major customers in the US, Europe, and Southeast Asia. Our near-term outlook has improved, and as a result, we have raised our 2024 revenue outlook.”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203,976</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168,569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203,976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168,569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44,184</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33,173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56,065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43,754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30,904</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25,679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42,372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37,579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0.62</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0.57</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558,647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387,402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558,647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387,402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107,009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72,465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147,801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87,131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72,547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59,649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114,490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78,743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r>
    </w:tbl>
    <w:p>
      <w:pPr>
        <w:spacing w:after="0" w:line="179" w:lineRule="exact"/>
        <w:rPr>
          <w:sz w:val="20"/>
          <w:szCs w:val="20"/>
          <w:color w:val="auto"/>
        </w:rPr>
      </w:pPr>
    </w:p>
    <w:p>
      <w:pPr>
        <w:ind w:left="340" w:right="26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gain (loss) on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has raised its revenue guidance range for fiscal year 2024 to a range of $725 million to $745 million from the prior range of $695 million to $735 million.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25" w:lineRule="exact"/>
        <w:rPr>
          <w:sz w:val="20"/>
          <w:szCs w:val="20"/>
          <w:color w:val="auto"/>
        </w:rPr>
      </w:pPr>
    </w:p>
    <w:p>
      <w:pPr>
        <w:ind w:left="340" w:right="12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third quarter of 2024 were $261 million, up 23% from the third quarter of 2023. Total shipments include deliveries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revenue in the quarter and deliveries of first tool systems awaiting customer acceptance for potential revenue in future quarters.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Major Performance Breakthrough for Flagship Ultra C Tahoe Cleaning Tool</w:t>
      </w:r>
      <w:r>
        <w:rPr>
          <w:rFonts w:ascii="Times New Roman" w:cs="Times New Roman" w:eastAsia="Times New Roman" w:hAnsi="Times New Roman"/>
          <w:sz w:val="18"/>
          <w:szCs w:val="18"/>
          <w:color w:val="auto"/>
        </w:rPr>
        <w:t>. The upgraded Ultra C Tahoe now achieves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standalone single-wafer cleaning tools on low-to-medium temperature sulfuric peroxide mix (SPM) processes. The hybrid architecture delivers enhanced cleaning performance, high throughput, and process flexibility, with an up to 75% reduction in chemical consumption. The upgraded Ultra C Tahoe is now in production at several high-volume customer facilities in mainland China. Additional logic and memory customers are evaluating the tool, and we expect to deliver additional units through the end 2024.</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Launched Ultra C bev-p Panel Bevel Etching Tool for Panel-Level Packaging Applications. </w:t>
      </w:r>
      <w:r>
        <w:rPr>
          <w:rFonts w:ascii="Times New Roman" w:cs="Times New Roman" w:eastAsia="Times New Roman" w:hAnsi="Times New Roman"/>
          <w:sz w:val="18"/>
          <w:szCs w:val="18"/>
          <w:color w:val="auto"/>
        </w:rPr>
        <w:t>The new tool is specifically designed for bevel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etching and cleaning in copper-related processes and is capable of handling both the front and back side etching within a single system. This capability enhances process efficiency and product reliability.</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Received Orders for Wafer-Level Packaging Tools from U.S. Customer and R&amp;D Center. </w:t>
      </w:r>
      <w:r>
        <w:rPr>
          <w:rFonts w:ascii="Times New Roman" w:cs="Times New Roman" w:eastAsia="Times New Roman" w:hAnsi="Times New Roman"/>
          <w:sz w:val="18"/>
          <w:szCs w:val="18"/>
          <w:color w:val="auto"/>
        </w:rPr>
        <w:t>ACM has received purchase orders for four wafer-level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packaging tools, including two from a U.S.-based customer and two from a U.S.-based research and development (R&amp;D) center. The four tools support a range of advanced packaging processes and are scheduled for delivery in the first half of 2025.</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Completed Purchase of Commercial Facility in Oregon. </w:t>
      </w:r>
      <w:r>
        <w:rPr>
          <w:rFonts w:ascii="Times New Roman" w:cs="Times New Roman" w:eastAsia="Times New Roman" w:hAnsi="Times New Roman"/>
          <w:sz w:val="18"/>
          <w:szCs w:val="18"/>
          <w:color w:val="auto"/>
        </w:rPr>
        <w:t>On October 1, 2024, ACM completed the purchase of a 39,500 square foot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5,200 square foot functional clean room. This facility is intended to augment ACM’s current Oregon facility and further expand ACM’s R&amp;D and demonstration capability in the U.S. market.</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Opening of R&amp;D and Production Facility. </w:t>
      </w:r>
      <w:r>
        <w:rPr>
          <w:rFonts w:ascii="Times New Roman" w:cs="Times New Roman" w:eastAsia="Times New Roman" w:hAnsi="Times New Roman"/>
          <w:sz w:val="18"/>
          <w:szCs w:val="18"/>
          <w:color w:val="auto"/>
        </w:rPr>
        <w:t>On October 20, 2024, ACM Shanghai celebrated the official opening of its new R&amp;D and production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in Lingang, China.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2024 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third quarter of 2024 and comparisons are with the third quarter of 2023.</w:t>
      </w:r>
    </w:p>
    <w:p>
      <w:pPr>
        <w:spacing w:after="0" w:line="223" w:lineRule="exact"/>
        <w:rPr>
          <w:sz w:val="20"/>
          <w:szCs w:val="20"/>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$204.0 million, up 21%, reflecting higher sales of single wafer cleaning, Tahoe and semi-critical cleaning equipment and ECP (front-end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packaging), furnace and other technologies, partly offset by lower sales of advanced packaging (excluding ECP), services &amp; spares.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51.4% versus 52.5%. Non-GAAP gross margin, which excludes stock-based compensation, was 51.6% versus 52.9%.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exceeded ACM’s long-term business model range of 40% to 45%. ACM expects gross margin to vary from period to period due to a variety of factors, such as product mix, currency impacts and sales volume.</w:t>
      </w:r>
    </w:p>
    <w:p>
      <w:pPr>
        <w:spacing w:after="0" w:line="345"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$60.7 million, an increase of 10%. Operating expenses as a percentage of revenue decreased to 29.7% from 32.8%. Non-GAAP operating expenses, which exclude the effect of stock-based compensation, were $49.2 million, up 8.5%. Non-GAAP operating expenses as a percentage of revenue decreased to 24.1% from 26.9%</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$44.2 million, compared to $33.2 million. Operating margin was 21.7% compared to 19.7%. Non-GAAP operating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excludes the effect of stock-based compensation, was $56.1 million, compared to $43.8 million. Non-GAAP operating margin, which excludes stock-based compensation, was 27.5% compared to 26.0%.</w:t>
      </w:r>
    </w:p>
    <w:p>
      <w:pPr>
        <w:spacing w:after="0" w:line="197"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gain (loss) on short-term investments </w:t>
      </w:r>
      <w:r>
        <w:rPr>
          <w:rFonts w:ascii="Times New Roman" w:cs="Times New Roman" w:eastAsia="Times New Roman" w:hAnsi="Times New Roman"/>
          <w:sz w:val="18"/>
          <w:szCs w:val="18"/>
          <w:color w:val="auto"/>
        </w:rPr>
        <w:t>was $0.4 million, compared to an unrealized gain (loss) of $(1.3) million. Unrealized gain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reflects the change in market value of the investments by ACM’s principal operating subsidiary, ACM Research (Shanghai), Inc. The value is marked-to-market quarterly and is excluded in the non-GAAP financial metrics.</w:t>
      </w:r>
    </w:p>
    <w:p>
      <w:pPr>
        <w:spacing w:after="0" w:line="19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$4.0 million, compared to $0.7 million.</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9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$30.9 million, compared to $25.7 million. Non-GAAP net income attributable to ACM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Inc., which excludes the effect of stock-based compensation and unrealized gain (loss) on short-term investments, was $42.4 million, compared to $37.6 million.</w:t>
      </w:r>
    </w:p>
    <w:p>
      <w:pPr>
        <w:spacing w:after="0" w:line="144"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$0.45, compared to $0.39.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gain (loss) on short-term investments, was $0.63, compared to $0.57.</w:t>
      </w:r>
    </w:p>
    <w:p>
      <w:pPr>
        <w:spacing w:after="0" w:line="18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plus restricted cash and short-term and long-term time deposits were $369.1 million at September 30, 2024,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$366.8 million at June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conference call to discuss results will be held on Thursday, November 7, 2024, at 8:00 a.m. Eastern Time (9:00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https://register.vevent.com/register/BIcf4dbc584cf54892966d5353590ab648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have not pre-registered may join the webcast by accessing the link at ir.acmrcsh.com/events.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auto"/>
        </w:rPr>
        <w:t>www.acmrcsh.com.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for single-wafer or batch wet cleaning, electroplating, stress-free polishing, vertical furnace processes, Track and PECVD, which are critical to advanced semiconductor device manufacturing and wafer-level packaging. ACM is committed to delivering customized, high performance, cost-effective process solutions that semiconductor manufacturers can use in numerous manufacturing steps to improve productivity and product yield. For more information, visit www.acmrcsh.com.</w:t>
      </w:r>
    </w:p>
    <w:p>
      <w:pPr>
        <w:spacing w:after="0" w:line="189" w:lineRule="exact"/>
        <w:rPr>
          <w:sz w:val="20"/>
          <w:szCs w:val="20"/>
          <w:color w:val="auto"/>
        </w:rPr>
      </w:pPr>
    </w:p>
    <w:p>
      <w:pPr>
        <w:jc w:val="both"/>
        <w:ind w:firstLine="8"/>
        <w:spacing w:after="0" w:line="266" w:lineRule="auto"/>
        <w:tabs>
          <w:tab w:leader="none" w:pos="1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346"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2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214"/>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(360)808-5154</w:t>
            </w:r>
          </w:p>
        </w:tc>
      </w:tr>
      <w:tr>
        <w:trPr>
          <w:trHeight w:val="236"/>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40" w:type="dxa"/>
            <w:vAlign w:val="bottom"/>
          </w:tcPr>
          <w:p>
            <w:pPr>
              <w:ind w:left="840"/>
              <w:spacing w:after="0"/>
              <w:rPr>
                <w:sz w:val="20"/>
                <w:szCs w:val="20"/>
                <w:color w:val="auto"/>
              </w:rPr>
            </w:pPr>
            <w:r>
              <w:rPr>
                <w:rFonts w:ascii="Times New Roman" w:cs="Times New Roman" w:eastAsia="Times New Roman" w:hAnsi="Times New Roman"/>
                <w:sz w:val="18"/>
                <w:szCs w:val="18"/>
                <w:i w:val="1"/>
                <w:iCs w:val="1"/>
                <w:color w:val="auto"/>
                <w:w w:val="98"/>
              </w:rPr>
              <w:t>steven@blueshirtgroup.co</w:t>
            </w:r>
          </w:p>
        </w:tc>
      </w:tr>
      <w:tr>
        <w:trPr>
          <w:trHeight w:val="391"/>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2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66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40" w:type="dxa"/>
            <w:vAlign w:val="bottom"/>
          </w:tcPr>
          <w:p>
            <w:pPr>
              <w:ind w:left="84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bl>
    <w:p>
      <w:pPr>
        <w:spacing w:after="0" w:line="36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30"/>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40" w:type="dxa"/>
            <w:vAlign w:val="bottom"/>
            <w:vMerge w:val="restart"/>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ind w:left="8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4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333,472</w:t>
            </w:r>
          </w:p>
        </w:tc>
        <w:tc>
          <w:tcPr>
            <w:tcW w:w="10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182,090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80,524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21,312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370,589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283,186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57,849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40,065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628,720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545,395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related party</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1,445,314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201,848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40,818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27,880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4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1,794,175</w:t>
            </w:r>
          </w:p>
        </w:tc>
        <w:tc>
          <w:tcPr>
            <w:tcW w:w="10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1,490,908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040" w:type="dxa"/>
            <w:vAlign w:val="bottom"/>
            <w:gridSpan w:val="2"/>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31,335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170,810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141,814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215,678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181,368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FIN-48 payable</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102,951</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610,035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53,952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4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725,092</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564,746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669,540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629,845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229,374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156,827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surplus reserve</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30,060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(40,815)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(49,349)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ACM Research, Inc. stockholders’ equity</w:t>
            </w:r>
          </w:p>
        </w:tc>
        <w:tc>
          <w:tcPr>
            <w:tcW w:w="2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888,166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180,917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158,772</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1,069,083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40" w:type="dxa"/>
            <w:vAlign w:val="bottom"/>
            <w:gridSpan w:val="2"/>
          </w:tcPr>
          <w:p>
            <w:pPr>
              <w:ind w:left="28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1,794,175</w:t>
            </w:r>
          </w:p>
        </w:tc>
        <w:tc>
          <w:tcPr>
            <w:tcW w:w="10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1,490,908</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8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- 6 -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0"/>
        </w:trPr>
        <w:tc>
          <w:tcPr>
            <w:tcW w:w="51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5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jc w:val="center"/>
              <w:ind w:left="47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gridSpan w:val="9"/>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 In thousands, except share and per share data)</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168,569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558,647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387,402</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80,055</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277,908</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190,263</w:t>
            </w:r>
          </w:p>
        </w:tc>
      </w:tr>
      <w:tr>
        <w:trPr>
          <w:trHeight w:val="223"/>
        </w:trPr>
        <w:tc>
          <w:tcPr>
            <w:tcW w:w="5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104,834</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280,739</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47,067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37,579</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26,151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77,723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60,244</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48,940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26,851</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55,341</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173,730</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124,674</w:t>
            </w: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44,184</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107,009</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72,465</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6,283</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from sale of short-term investments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8,569</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(5,164)</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(2,150)</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3,728</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31,712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109,875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84,789</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(11,235)</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30,994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92,163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73,554</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13,905</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25,679</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72,547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59,649</w:t>
            </w:r>
          </w:p>
        </w:tc>
      </w:tr>
      <w:tr>
        <w:trPr>
          <w:trHeight w:val="21"/>
        </w:trPr>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30,994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92,163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73,554</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10,376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(21,831)</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102,539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51,723</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21,458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11,882</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ACM Research, Inc.</w:t>
            </w: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44,919</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27,241</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81,081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39,841</w:t>
            </w:r>
          </w:p>
        </w:tc>
      </w:tr>
      <w:tr>
        <w:trPr>
          <w:trHeight w:val="20"/>
        </w:trPr>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 per common share: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r>
      <w:tr>
        <w:trPr>
          <w:trHeight w:val="21"/>
        </w:trPr>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 computing per share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62,500,903</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60,219,218</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62,017,257</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59,953,144</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66,671,526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65,450,941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66,512,143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64,834,051</w:t>
            </w:r>
          </w:p>
        </w:tc>
      </w:tr>
      <w:tr>
        <w:trPr>
          <w:trHeight w:val="557"/>
        </w:trPr>
        <w:tc>
          <w:tcPr>
            <w:tcW w:w="54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- 7 -</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 and by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40" w:type="dxa"/>
            <w:vAlign w:val="bottom"/>
          </w:tcPr>
          <w:p>
            <w:pPr>
              <w:spacing w:after="0"/>
              <w:rPr>
                <w:sz w:val="18"/>
                <w:szCs w:val="18"/>
                <w:color w:val="auto"/>
              </w:rPr>
            </w:pPr>
          </w:p>
        </w:tc>
        <w:tc>
          <w:tcPr>
            <w:tcW w:w="22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Pr>
          <w:p>
            <w:pPr>
              <w:spacing w:after="0"/>
              <w:rPr>
                <w:sz w:val="21"/>
                <w:szCs w:val="21"/>
                <w:color w:val="auto"/>
              </w:rPr>
            </w:pPr>
          </w:p>
        </w:tc>
        <w:tc>
          <w:tcPr>
            <w:tcW w:w="22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5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3"/>
          </w:tcPr>
          <w:p>
            <w:pPr>
              <w:ind w:left="380"/>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i w:val="1"/>
                <w:iCs w:val="1"/>
                <w:color w:val="auto"/>
              </w:rPr>
              <w:t>($ in thousand)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 wafer cleaning, Tahoe and semi-critical cleaning equipment</w:t>
            </w:r>
          </w:p>
        </w:tc>
        <w:tc>
          <w:tcPr>
            <w:tcW w:w="1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132,417</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423,676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281,559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ECP (front-end and packaging), furnace and other technologies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34,600</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25,508</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71,223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10,644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34,620</w:t>
            </w:r>
          </w:p>
        </w:tc>
      </w:tr>
      <w:tr>
        <w:trPr>
          <w:trHeight w:val="27"/>
        </w:trPr>
        <w:tc>
          <w:tcPr>
            <w:tcW w:w="5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203,976</w:t>
            </w:r>
          </w:p>
        </w:tc>
        <w:tc>
          <w:tcPr>
            <w:tcW w:w="2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168,569</w:t>
            </w: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558,647</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387,402</w:t>
            </w:r>
          </w:p>
        </w:tc>
      </w:tr>
      <w:tr>
        <w:trPr>
          <w:trHeight w:val="20"/>
        </w:trPr>
        <w:tc>
          <w:tcPr>
            <w:tcW w:w="5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6"/>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24"/>
                <w:szCs w:val="24"/>
                <w:color w:val="auto"/>
              </w:rPr>
            </w:pPr>
          </w:p>
        </w:tc>
        <w:tc>
          <w:tcPr>
            <w:tcW w:w="220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center"/>
              <w:ind w:left="4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5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Mainland China</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203,672</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168,302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375,528</w:t>
            </w:r>
          </w:p>
        </w:tc>
        <w:tc>
          <w:tcPr>
            <w:tcW w:w="100" w:type="dxa"/>
            <w:vAlign w:val="bottom"/>
            <w:shd w:val="clear" w:color="auto" w:fill="CCEEFF"/>
          </w:tcPr>
          <w:p>
            <w:pPr>
              <w:spacing w:after="0"/>
              <w:rPr>
                <w:sz w:val="17"/>
                <w:szCs w:val="17"/>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Other Regions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267</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11,874</w:t>
            </w: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 By Region</w:t>
            </w:r>
          </w:p>
        </w:tc>
        <w:tc>
          <w:tcPr>
            <w:tcW w:w="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203,976</w:t>
            </w: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168,569</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558,647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387,402</w:t>
            </w:r>
          </w:p>
        </w:tc>
        <w:tc>
          <w:tcPr>
            <w:tcW w:w="100" w:type="dxa"/>
            <w:vAlign w:val="bottom"/>
            <w:shd w:val="clear" w:color="auto" w:fill="CCEEFF"/>
          </w:tcPr>
          <w:p>
            <w:pPr>
              <w:spacing w:after="0"/>
              <w:rPr>
                <w:sz w:val="18"/>
                <w:szCs w:val="18"/>
                <w:color w:val="auto"/>
              </w:rPr>
            </w:pPr>
          </w:p>
        </w:tc>
      </w:tr>
      <w:tr>
        <w:trPr>
          <w:trHeight w:val="557"/>
        </w:trPr>
        <w:tc>
          <w:tcPr>
            <w:tcW w:w="51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jc w:val="right"/>
              <w:ind w:right="156"/>
              <w:spacing w:after="0"/>
              <w:rPr>
                <w:sz w:val="20"/>
                <w:szCs w:val="20"/>
                <w:color w:val="auto"/>
              </w:rPr>
            </w:pPr>
            <w:r>
              <w:rPr>
                <w:rFonts w:ascii="Times New Roman" w:cs="Times New Roman" w:eastAsia="Times New Roman" w:hAnsi="Times New Roman"/>
                <w:sz w:val="14"/>
                <w:szCs w:val="14"/>
                <w:color w:val="auto"/>
              </w:rPr>
              <w:t>- 8 -</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5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ind w:left="498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(loss) on short-term investments. The following tables reconcile gross margin, operating expenses, operating income, net income attributable to ACM Research, Inc., and basic and diluted earnings per share to the related non-GAAP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11"/>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3"/>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SBC</w:t>
            </w:r>
          </w:p>
        </w:tc>
        <w:tc>
          <w:tcPr>
            <w:tcW w:w="100" w:type="dxa"/>
            <w:vAlign w:val="bottom"/>
          </w:tcPr>
          <w:p>
            <w:pPr>
              <w:spacing w:after="0"/>
              <w:rPr>
                <w:sz w:val="9"/>
                <w:szCs w:val="9"/>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SBC</w:t>
            </w:r>
          </w:p>
        </w:tc>
        <w:tc>
          <w:tcPr>
            <w:tcW w:w="80" w:type="dxa"/>
            <w:vAlign w:val="bottom"/>
          </w:tcPr>
          <w:p>
            <w:pPr>
              <w:spacing w:after="0"/>
              <w:rPr>
                <w:sz w:val="9"/>
                <w:szCs w:val="9"/>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w:t>
            </w:r>
          </w:p>
        </w:tc>
        <w:tc>
          <w:tcPr>
            <w:tcW w:w="116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i w:val="1"/>
                <w:iCs w:val="1"/>
                <w:color w:val="auto"/>
                <w:w w:val="86"/>
              </w:rPr>
              <w:t>thousands)</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203,976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168,569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168,569</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(99,142)</w:t>
            </w: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(98,695)</w:t>
            </w: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(80,055)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(79,467)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104,834</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105,281</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(15,759)</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(13,165)</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(14,260)</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development</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(27,837)</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(24,464)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(26,151)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(3,421)</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(22,730)</w:t>
            </w:r>
          </w:p>
        </w:tc>
        <w:tc>
          <w:tcPr>
            <w:tcW w:w="0" w:type="dxa"/>
            <w:vAlign w:val="bottom"/>
          </w:tcPr>
          <w:p>
            <w:pPr>
              <w:spacing w:after="0"/>
              <w:rPr>
                <w:sz w:val="1"/>
                <w:szCs w:val="1"/>
                <w:color w:val="auto"/>
              </w:rPr>
            </w:pPr>
          </w:p>
        </w:tc>
      </w:tr>
      <w:tr>
        <w:trPr>
          <w:trHeight w:val="198"/>
        </w:trPr>
        <w:tc>
          <w:tcPr>
            <w:tcW w:w="22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(17,054)</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(11,587)</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(12,387)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(8,358)</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(60,650)</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(11,434)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(49,216)</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(55,341)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(9,993)</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(45,348)</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(loss) from</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44,184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56,065</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33,173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43,754</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(loss)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on short-term</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20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ACM</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30,904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(11,881)</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42,372</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25,679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(10,581)</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37,579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539"/>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color w:val="auto"/>
              </w:rPr>
              <w:t>- 9 -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ind w:left="5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2200" w:type="dxa"/>
        <w:tblCellMar>
          <w:top w:w="0" w:type="dxa"/>
          <w:left w:w="0" w:type="dxa"/>
          <w:bottom w:w="0" w:type="dxa"/>
          <w:right w:w="0" w:type="dxa"/>
        </w:tblCellMar>
      </w:tblPr>
      <w:tr>
        <w:trPr>
          <w:trHeight w:val="230"/>
        </w:trPr>
        <w:tc>
          <w:tcPr>
            <w:tcW w:w="10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780" w:type="dxa"/>
            <w:vAlign w:val="bottom"/>
          </w:tcPr>
          <w:p>
            <w:pPr>
              <w:spacing w:after="0"/>
              <w:rPr>
                <w:sz w:val="16"/>
                <w:szCs w:val="16"/>
                <w:color w:val="auto"/>
              </w:rPr>
            </w:pPr>
          </w:p>
        </w:tc>
        <w:tc>
          <w:tcPr>
            <w:tcW w:w="1500" w:type="dxa"/>
            <w:vAlign w:val="bottom"/>
          </w:tcPr>
          <w:p>
            <w:pPr>
              <w:jc w:val="center"/>
              <w:ind w:left="1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Other non-</w:t>
            </w:r>
          </w:p>
        </w:tc>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280" w:type="dxa"/>
            <w:vAlign w:val="bottom"/>
          </w:tcPr>
          <w:p>
            <w:pPr>
              <w:spacing w:after="0"/>
              <w:rPr>
                <w:sz w:val="16"/>
                <w:szCs w:val="16"/>
                <w:color w:val="auto"/>
              </w:rPr>
            </w:pPr>
          </w:p>
        </w:tc>
        <w:tc>
          <w:tcPr>
            <w:tcW w:w="1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780" w:type="dxa"/>
            <w:vAlign w:val="bottom"/>
          </w:tcPr>
          <w:p>
            <w:pPr>
              <w:spacing w:after="0"/>
              <w:rPr>
                <w:sz w:val="16"/>
                <w:szCs w:val="16"/>
                <w:color w:val="auto"/>
              </w:rPr>
            </w:pPr>
          </w:p>
        </w:tc>
        <w:tc>
          <w:tcPr>
            <w:tcW w:w="1500" w:type="dxa"/>
            <w:vAlign w:val="bottom"/>
          </w:tcPr>
          <w:p>
            <w:pPr>
              <w:jc w:val="center"/>
              <w:ind w:left="1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Other non-</w:t>
            </w:r>
          </w:p>
        </w:tc>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SBC</w:t>
            </w:r>
          </w:p>
        </w:tc>
        <w:tc>
          <w:tcPr>
            <w:tcW w:w="150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SBC</w:t>
            </w:r>
          </w:p>
        </w:tc>
        <w:tc>
          <w:tcPr>
            <w:tcW w:w="150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08"/>
        </w:trPr>
        <w:tc>
          <w:tcPr>
            <w:tcW w:w="1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78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78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adjustments</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0</wp:posOffset>
            </wp:positionV>
            <wp:extent cx="12769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558,647</w:t>
            </w:r>
          </w:p>
        </w:tc>
        <w:tc>
          <w:tcPr>
            <w:tcW w:w="20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(277,908)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2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280,739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development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(77,723)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(12,082)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(48,940)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(18,045)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2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(173,730)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(38,772)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107,009</w:t>
            </w:r>
          </w:p>
        </w:tc>
        <w:tc>
          <w:tcPr>
            <w:tcW w:w="20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(40,792)</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on short-term</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160" w:type="dxa"/>
            <w:vAlign w:val="bottom"/>
          </w:tcPr>
          <w:p>
            <w:pPr>
              <w:spacing w:after="0"/>
              <w:rPr>
                <w:sz w:val="16"/>
                <w:szCs w:val="16"/>
                <w:color w:val="auto"/>
              </w:rPr>
            </w:pPr>
          </w:p>
        </w:tc>
        <w:tc>
          <w:tcPr>
            <w:tcW w:w="2140" w:type="dxa"/>
            <w:vAlign w:val="bottom"/>
            <w:gridSpan w:val="7"/>
          </w:tcPr>
          <w:p>
            <w:pPr>
              <w:jc w:val="right"/>
              <w:ind w:right="760"/>
              <w:spacing w:after="0" w:line="185"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558,647</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387,402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387,402</w:t>
            </w:r>
          </w:p>
        </w:tc>
      </w:tr>
      <w:tr>
        <w:trPr>
          <w:trHeight w:val="241"/>
        </w:trPr>
        <w:tc>
          <w:tcPr>
            <w:tcW w:w="160" w:type="dxa"/>
            <w:vAlign w:val="bottom"/>
          </w:tcPr>
          <w:p>
            <w:pPr>
              <w:spacing w:after="0"/>
              <w:rPr>
                <w:sz w:val="20"/>
                <w:szCs w:val="20"/>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(275,888)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(190,263)</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w:t>
            </w:r>
          </w:p>
        </w:tc>
        <w:tc>
          <w:tcPr>
            <w:tcW w:w="2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(189,425)</w:t>
            </w:r>
          </w:p>
        </w:tc>
      </w:tr>
      <w:tr>
        <w:trPr>
          <w:trHeight w:val="198"/>
        </w:trPr>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282,759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197,139</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(838)</w:t>
            </w: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197,977</w:t>
            </w:r>
          </w:p>
        </w:tc>
        <w:tc>
          <w:tcPr>
            <w:tcW w:w="14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432"/>
        </w:trPr>
        <w:tc>
          <w:tcPr>
            <w:tcW w:w="16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(38,422)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(37,579)</w:t>
            </w: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(3,405)</w:t>
            </w:r>
          </w:p>
        </w:tc>
        <w:tc>
          <w:tcPr>
            <w:tcW w:w="2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(34,174)</w:t>
            </w:r>
          </w:p>
        </w:tc>
      </w:tr>
      <w:tr>
        <w:trPr>
          <w:trHeight w:val="432"/>
        </w:trPr>
        <w:tc>
          <w:tcPr>
            <w:tcW w:w="16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(65,641)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(60,244)</w:t>
            </w: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w:t>
            </w:r>
          </w:p>
        </w:tc>
        <w:tc>
          <w:tcPr>
            <w:tcW w:w="2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(55,413)</w:t>
            </w:r>
          </w:p>
        </w:tc>
      </w:tr>
      <w:tr>
        <w:trPr>
          <w:trHeight w:val="432"/>
        </w:trPr>
        <w:tc>
          <w:tcPr>
            <w:tcW w:w="16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(30,895)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(26,851)</w:t>
            </w: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(5,592)</w:t>
            </w:r>
          </w:p>
        </w:tc>
        <w:tc>
          <w:tcPr>
            <w:tcW w:w="2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(21,259)</w:t>
            </w:r>
          </w:p>
        </w:tc>
      </w:tr>
      <w:tr>
        <w:trPr>
          <w:trHeight w:val="27"/>
        </w:trPr>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32"/>
        </w:trPr>
        <w:tc>
          <w:tcPr>
            <w:tcW w:w="16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(134,958)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(124,674)</w:t>
            </w: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(13,828)</w:t>
            </w:r>
          </w:p>
        </w:tc>
        <w:tc>
          <w:tcPr>
            <w:tcW w:w="2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(110,846)</w:t>
            </w: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147,801</w:t>
            </w:r>
          </w:p>
        </w:tc>
        <w:tc>
          <w:tcPr>
            <w:tcW w:w="20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72,465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(14,666)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87,131</w:t>
            </w:r>
          </w:p>
        </w:tc>
      </w:tr>
      <w:tr>
        <w:trPr>
          <w:trHeight w:val="648"/>
        </w:trPr>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(4,428)</w:t>
            </w:r>
          </w:p>
        </w:tc>
        <w:tc>
          <w:tcPr>
            <w:tcW w:w="2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-2365375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-2073910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-1799590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-1525270</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-959485</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-410845</wp:posOffset>
            </wp:positionV>
            <wp:extent cx="713232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60" w:space="160"/>
            <w:col w:w="56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2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ACM</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Inc.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72,547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(40,792)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114,490</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59,649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(14,666)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(4,428)</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78,743</w:t>
            </w:r>
          </w:p>
        </w:tc>
      </w:tr>
      <w:tr>
        <w:trPr>
          <w:trHeight w:val="21"/>
        </w:trPr>
        <w:tc>
          <w:tcPr>
            <w:tcW w:w="2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r>
      <w:tr>
        <w:trPr>
          <w:trHeight w:val="579"/>
        </w:trPr>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- 10 -</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4"/>
        </w:trPr>
        <w:tc>
          <w:tcPr>
            <w:tcW w:w="2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2024-11-07T05:40:59Z</dcterms:created>
  <dcterms:modified xsi:type="dcterms:W3CDTF">2024-11-07T05:40:59Z</dcterms:modified>
</cp:coreProperties>
</file>