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6,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9"/>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8"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6, 2022, we issued a press release announcing financial results for the first quarter of 2022. The full text of the press release is furnished as Exhibit 99.01 hereto and is incorporated herein by reference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860" w:type="dxa"/>
            <w:vAlign w:val="bottom"/>
            <w:tcBorders>
              <w:top w:val="single" w:sz="8" w:color="auto"/>
            </w:tcBorders>
            <w:gridSpan w:val="3"/>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01</w:t>
            </w:r>
          </w:p>
        </w:tc>
        <w:tc>
          <w:tcPr>
            <w:tcW w:w="300" w:type="dxa"/>
            <w:vAlign w:val="bottom"/>
          </w:tcPr>
          <w:p>
            <w:pPr>
              <w:spacing w:after="0"/>
              <w:rPr>
                <w:sz w:val="15"/>
                <w:szCs w:val="15"/>
                <w:color w:val="auto"/>
              </w:rPr>
            </w:pPr>
          </w:p>
        </w:tc>
        <w:tc>
          <w:tcPr>
            <w:tcW w:w="100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of ACM Research, Inc. dated May 6, 2022</w:t>
            </w:r>
          </w:p>
        </w:tc>
      </w:tr>
      <w:tr>
        <w:trPr>
          <w:trHeight w:val="237"/>
        </w:trPr>
        <w:tc>
          <w:tcPr>
            <w:tcW w:w="240" w:type="dxa"/>
            <w:vAlign w:val="bottom"/>
          </w:tcPr>
          <w:p>
            <w:pPr>
              <w:spacing w:after="0"/>
              <w:rPr>
                <w:sz w:val="20"/>
                <w:szCs w:val="20"/>
                <w:color w:val="auto"/>
              </w:rPr>
            </w:pPr>
          </w:p>
        </w:tc>
        <w:tc>
          <w:tcPr>
            <w:tcW w:w="4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XBRL document)</w:t>
            </w:r>
          </w:p>
        </w:tc>
      </w:tr>
      <w:tr>
        <w:trPr>
          <w:trHeight w:val="584"/>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jc w:val="right"/>
              <w:ind w:right="5495"/>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2022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19685</wp:posOffset>
            </wp:positionV>
            <wp:extent cx="71120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First Quarter 2022 Results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FREMONT, California, May 6, 2022 (Globe Newswire) – ACM Research, Inc. (“ACM” or the “Company”) (NASDAQ: ACMR), a leading supplier of wafer processing solutions for semiconductor and advanced wafer-level packaging applications, today reported financial results for its first fiscal quarter ended March 31, 2022.</w:t>
      </w:r>
    </w:p>
    <w:p>
      <w:pPr>
        <w:spacing w:after="0" w:line="17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“As we announced on April 7 and April 27, our results for the first quarter of 2022 were significantly impacted by the COVID-19 related restrictions in Shanghai, which limited employee access and logistics activities of our facilities in Pudong,” said Dr. David Wang, ACM’s President and Chief Executive Officer. “The lockdown impacted ACM’s ability to ship finished products to customers and the pace of our production, even with some employees continuing to work in our factories. Although restrictions are still impacting operations early in the second quarter, demand for ACM’s tools remains strong. As a result of ACM having been added to the Shanghai government’s “White List” of essential businesses, we have begun to increase the level of our operational activities.”</w:t>
      </w:r>
    </w:p>
    <w:p>
      <w:pPr>
        <w:spacing w:after="0" w:line="187"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“We have partly offset the effects of the lockdown, as our Shanghai R&amp;D and management teams have been working from home and our operations in other regions, including our South Korea R&amp;D and production facilities, have remained open,” Dr. Wang continued. “With a diversified supply chain, we are hopeful that the lifting of logistics bottlenecks to and from our Shanghai facilities will allow for a timely return to normal production levels.”</w:t>
      </w:r>
    </w:p>
    <w:p>
      <w:pPr>
        <w:spacing w:after="0" w:line="15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Dr. Wang concluded, “Looking beyond this unprecedented lockdown, we are planning for solid growth in 2022 from our core cleaning products, the ongoing product cycle for our electrochemical plating tools, and the initial ramp of our furnace products. We are committed to gaining additional share of the $8 billion market addressed by our current products, and we remain on track to double our addressable market opportunity with the upcoming introduction of two new product categories. We will continue to invest in new product development and additional production capacity and to support ongoing tool evaluations with major semiconductor manufacturers.”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42,186</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43,732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42,186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43,732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(9,306)</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(5,786)</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5,470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r>
    </w:tbl>
    <w:p>
      <w:pPr>
        <w:ind w:left="340" w:right="260" w:hanging="332"/>
        <w:spacing w:after="0" w:line="276"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EPS, also exclude unrealized loss on trading securities.</w:t>
      </w:r>
    </w:p>
    <w:p>
      <w:pPr>
        <w:spacing w:after="0" w:line="169"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adjusted to reflect the three-for-one stock split effected in the form of a stock dividend in March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includes an impact of $86,000 in the first quarter of 2022 from dilutive shares of ACM Research (Shanghai),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is maintaining its revenue guidance range of $365 million to $405 million for fiscal year 2022. This expectation assumes, among other factors, stability with respect to the global COVID-19 pandemic and US-China trade policy, and a timely return to scale of ACM’s production and shipping operations in Shanghai. The range of ACM’s 2022 outlook reflects, among other things, various spending scenarios for the production ramps of key customers, the absence of unexpected disruptions in ACM’s supply chain, and the timing of acceptances for first tools under evaluation in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jc w:val="both"/>
        <w:ind w:left="340" w:right="38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first quarter of 2022 were $67 million, versus $74 million in the first quarter of 2021. Total shipments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deliveries for revenue in the quarter and deliveries of first tool systems awaiting customer acceptance for potential revenue in future quarters. The lockdown resulted in ACM’s having to defer shipment of 13 tools that had been scheduled to ship during the first quarter of 2022.</w:t>
      </w:r>
    </w:p>
    <w:p>
      <w:pPr>
        <w:spacing w:after="0" w:line="170" w:lineRule="exact"/>
        <w:rPr>
          <w:rFonts w:ascii="Times New Roman" w:cs="Times New Roman" w:eastAsia="Times New Roman" w:hAnsi="Times New Roman"/>
          <w:sz w:val="18"/>
          <w:szCs w:val="18"/>
          <w:color w:val="auto"/>
        </w:rPr>
      </w:pPr>
    </w:p>
    <w:p>
      <w:pPr>
        <w:ind w:left="340" w:right="20" w:hanging="332"/>
        <w:spacing w:after="0" w:line="291" w:lineRule="auto"/>
        <w:tabs>
          <w:tab w:leader="none" w:pos="3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Mass Production for 18 Chamber, 300mm Ultra C VI Single-Wafer Cleaning Tool. </w:t>
      </w:r>
      <w:r>
        <w:rPr>
          <w:rFonts w:ascii="Times New Roman" w:cs="Times New Roman" w:eastAsia="Times New Roman" w:hAnsi="Times New Roman"/>
          <w:sz w:val="17"/>
          <w:szCs w:val="17"/>
          <w:color w:val="auto"/>
        </w:rPr>
        <w:t>In April 2022, ACM announced that its 18 chamber, 300mm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Ultra C VI single wafer cleaning tool had been qualified by a customer and successfully moved to mass production in ACM’s factory. First introduced to the market in the second quarter of 2020, the tool has also been qualified for mass production by a mainstream memory chip manufacturer in China.</w:t>
      </w:r>
    </w:p>
    <w:p>
      <w:pPr>
        <w:spacing w:after="0" w:line="152" w:lineRule="exact"/>
        <w:rPr>
          <w:rFonts w:ascii="Times New Roman" w:cs="Times New Roman" w:eastAsia="Times New Roman" w:hAnsi="Times New Roman"/>
          <w:sz w:val="17"/>
          <w:szCs w:val="17"/>
          <w:color w:val="auto"/>
        </w:rPr>
      </w:pPr>
    </w:p>
    <w:p>
      <w:pPr>
        <w:ind w:left="340" w:right="1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Completion of 3-for-1 Stock Split Effected in Form of a Stock Dividend. </w:t>
      </w:r>
      <w:r>
        <w:rPr>
          <w:rFonts w:ascii="Times New Roman" w:cs="Times New Roman" w:eastAsia="Times New Roman" w:hAnsi="Times New Roman"/>
          <w:sz w:val="18"/>
          <w:szCs w:val="18"/>
          <w:color w:val="auto"/>
        </w:rPr>
        <w:t>In March 2022, ACM completed a 3-for-1 stock split of ACM’s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Class B common stock in the form of a stock dividend.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first quarter of 2022 and comparisons are with the first quarter of 2021.</w:t>
      </w:r>
    </w:p>
    <w:p>
      <w:pPr>
        <w:spacing w:after="0" w:line="223" w:lineRule="exact"/>
        <w:rPr>
          <w:sz w:val="20"/>
          <w:szCs w:val="20"/>
          <w:color w:val="auto"/>
        </w:rPr>
      </w:pPr>
    </w:p>
    <w:p>
      <w:pPr>
        <w:ind w:left="340" w:right="46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$42.2 million, down 3.5%, reflecting lower revenue from single wafer wet cleaning tools, advanced packaging and other back-end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equipment as the result ofCOVID-19 restrictions in Shanghai. Revenue from both repeat shipments and customer acceptances was negatively impacted by the Shanghai lockdown.</w:t>
      </w:r>
    </w:p>
    <w:p>
      <w:pPr>
        <w:spacing w:after="0" w:line="170" w:lineRule="exact"/>
        <w:rPr>
          <w:rFonts w:ascii="Times New Roman" w:cs="Times New Roman" w:eastAsia="Times New Roman" w:hAnsi="Times New Roman"/>
          <w:sz w:val="18"/>
          <w:szCs w:val="18"/>
          <w:color w:val="auto"/>
        </w:rPr>
      </w:pPr>
    </w:p>
    <w:p>
      <w:pPr>
        <w:ind w:left="340" w:right="18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46.7%, up from 41.3%. Non-GAAP gross margin, which excludes stock-based compensation, was 46.9%, up from 41.4%.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the range of 40% to 45% reflected in the Company’s long-term business model. The Company expects gross margin to vary from period to period due to a variety of factors, such as sales volume and product mix.</w:t>
      </w:r>
    </w:p>
    <w:p>
      <w:pPr>
        <w:spacing w:after="0" w:line="170" w:lineRule="exact"/>
        <w:rPr>
          <w:rFonts w:ascii="Times New Roman" w:cs="Times New Roman" w:eastAsia="Times New Roman" w:hAnsi="Times New Roman"/>
          <w:sz w:val="18"/>
          <w:szCs w:val="18"/>
          <w:color w:val="auto"/>
        </w:rPr>
      </w:pPr>
    </w:p>
    <w:p>
      <w:pPr>
        <w:ind w:left="340" w:right="10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$29.0 million, an increase of 98.6%. Non-GAAP operating expenses, which exclude the effect of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were $27.7 million, up 106.1%. Non-GAAP operating expenses as a percent of revenue increased to 65.7% from 30.8%. The increase in operating expenses was due primarily to higher research and development spending, including increased spending on new products and costs incurred for development tools.</w:t>
      </w:r>
    </w:p>
    <w:p>
      <w:pPr>
        <w:spacing w:after="0" w:line="176" w:lineRule="exact"/>
        <w:rPr>
          <w:rFonts w:ascii="Times New Roman" w:cs="Times New Roman" w:eastAsia="Times New Roman" w:hAnsi="Times New Roman"/>
          <w:sz w:val="18"/>
          <w:szCs w:val="18"/>
          <w:color w:val="auto"/>
        </w:rPr>
      </w:pPr>
    </w:p>
    <w:p>
      <w:pPr>
        <w:ind w:left="340" w:right="8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was $9.3 million, up from $3.5 million. Non-GAAP operating loss, which excludes the effect of stock-based compensation, was $7.9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up from $4.7 million.</w:t>
      </w:r>
    </w:p>
    <w:p>
      <w:pPr>
        <w:spacing w:after="0" w:line="154" w:lineRule="exact"/>
        <w:rPr>
          <w:rFonts w:ascii="Times New Roman" w:cs="Times New Roman" w:eastAsia="Times New Roman" w:hAnsi="Times New Roman"/>
          <w:sz w:val="18"/>
          <w:szCs w:val="18"/>
          <w:color w:val="auto"/>
        </w:rPr>
      </w:pPr>
    </w:p>
    <w:p>
      <w:pPr>
        <w:ind w:left="340" w:right="32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trading securities </w:t>
      </w:r>
      <w:r>
        <w:rPr>
          <w:rFonts w:ascii="Times New Roman" w:cs="Times New Roman" w:eastAsia="Times New Roman" w:hAnsi="Times New Roman"/>
          <w:sz w:val="18"/>
          <w:szCs w:val="18"/>
          <w:color w:val="auto"/>
        </w:rPr>
        <w:t>was $3.9 million. The loss reflects the change in market value of the indirect investment by ACM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(Shanghai), Inc. in STAR Market IPO shares of Semiconductor Manufacturing International Corporation (SMIC). The value is marked-to-market quarterly and is excluded from non-GAAP results.</w:t>
      </w:r>
    </w:p>
    <w:p>
      <w:pPr>
        <w:spacing w:after="0" w:line="170" w:lineRule="exact"/>
        <w:rPr>
          <w:rFonts w:ascii="Times New Roman" w:cs="Times New Roman" w:eastAsia="Times New Roman" w:hAnsi="Times New Roman"/>
          <w:sz w:val="18"/>
          <w:szCs w:val="18"/>
          <w:color w:val="auto"/>
        </w:rPr>
      </w:pPr>
    </w:p>
    <w:p>
      <w:pPr>
        <w:ind w:left="34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was $4.0 million, compared to $2.8 million. The income tax benefit for the period ending March 31, 2022 primarily resulted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tax effect of the operating loss together with a significant increase in ACM’s effective income tax rate. As a result of a change in Section 174 of the U.S. Internal Revenue Code of 1986 that became effective on January 1, 2022, the effective tax rate for 2022 has increased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primarily due to a new requirement to capitalize and amortize previously deductible research and experimental expenses. The income tax benefit for the period ended March 31, 2021 resulted from discrete tax benefits associated with stock-based compensation, and a lower effective tax rate prior to the change in Section 174.</w:t>
      </w:r>
    </w:p>
    <w:p>
      <w:pPr>
        <w:spacing w:after="0" w:line="182" w:lineRule="exact"/>
        <w:rPr>
          <w:rFonts w:ascii="Times New Roman" w:cs="Times New Roman" w:eastAsia="Times New Roman" w:hAnsi="Times New Roman"/>
          <w:sz w:val="18"/>
          <w:szCs w:val="18"/>
          <w:color w:val="auto"/>
        </w:rPr>
      </w:pPr>
    </w:p>
    <w:p>
      <w:pPr>
        <w:ind w:left="340" w:right="2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attributable to ACM Research, Inc. </w:t>
      </w:r>
      <w:r>
        <w:rPr>
          <w:rFonts w:ascii="Times New Roman" w:cs="Times New Roman" w:eastAsia="Times New Roman" w:hAnsi="Times New Roman"/>
          <w:sz w:val="18"/>
          <w:szCs w:val="18"/>
          <w:color w:val="auto"/>
        </w:rPr>
        <w:t>was $5.8 million, compared to net income of $5.5 million. Non-GAAP net loss attributable to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Inc., which excludes the effect of stock-based compensation and unrealized loss on trading securities, was $0.6 million, as compared to non-GAAP net income of $7.7 million.</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jc w:val="both"/>
        <w:ind w:left="340" w:right="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per diluted share attributable to ACM Research, Inc. </w:t>
      </w:r>
      <w:r>
        <w:rPr>
          <w:rFonts w:ascii="Times New Roman" w:cs="Times New Roman" w:eastAsia="Times New Roman" w:hAnsi="Times New Roman"/>
          <w:sz w:val="18"/>
          <w:szCs w:val="18"/>
          <w:color w:val="auto"/>
        </w:rPr>
        <w:t>was $0.09, compared to net income per diluted share of $0.08. Non-GAAP net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diluted share, which excludes the effect of stock-based compensation and unrealized loss on trading securities, was $0.01, compared to non-GAAP net income per diluted share of $0.12.</w:t>
      </w:r>
    </w:p>
    <w:p>
      <w:pPr>
        <w:spacing w:after="0" w:line="170" w:lineRule="exact"/>
        <w:rPr>
          <w:rFonts w:ascii="Times New Roman" w:cs="Times New Roman" w:eastAsia="Times New Roman" w:hAnsi="Times New Roman"/>
          <w:sz w:val="18"/>
          <w:szCs w:val="18"/>
          <w:color w:val="auto"/>
        </w:rPr>
      </w:pPr>
    </w:p>
    <w:p>
      <w:pPr>
        <w:ind w:left="340" w:righ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$380.3 million at March 31, 2022, versus $563.1 million at December 31, 2021. Cash and cash equivalents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and long-term time deposits were $533.1 million at March 31, 2022, versus $563.1 million at December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A conference call to discuss results will be held on Friday, May 6, 2022, at 8:00 a.m. Eastern Time (8:00 p.m. China Time). Dial-in details for the call are as follows. Please reference conference ID </w:t>
      </w:r>
      <w:r>
        <w:rPr>
          <w:rFonts w:ascii="Times New Roman" w:cs="Times New Roman" w:eastAsia="Times New Roman" w:hAnsi="Times New Roman"/>
          <w:sz w:val="18"/>
          <w:szCs w:val="18"/>
          <w:b w:val="1"/>
          <w:bCs w:val="1"/>
          <w:color w:val="auto"/>
        </w:rPr>
        <w:t>4392303</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3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Phone Number</w:t>
            </w:r>
          </w:p>
        </w:tc>
        <w:tc>
          <w:tcPr>
            <w:tcW w:w="25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Toll-Free Number</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 (661) 567-1217</w:t>
            </w:r>
          </w:p>
        </w:tc>
        <w:tc>
          <w:tcPr>
            <w:tcW w:w="252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+1 (833) 562-0137</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3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+852 5819 4851</w:t>
            </w:r>
          </w:p>
        </w:tc>
        <w:tc>
          <w:tcPr>
            <w:tcW w:w="25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+852 8009 66253</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3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+86 8008700169</w:t>
            </w:r>
          </w:p>
        </w:tc>
        <w:tc>
          <w:tcPr>
            <w:tcW w:w="252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3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+86 4006828609</w:t>
            </w:r>
          </w:p>
        </w:tc>
        <w:tc>
          <w:tcPr>
            <w:tcW w:w="25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recording of the webcast will be available on the investor page of the ACM website at www.acmrcsh.com for one week following the call.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ACM presents non-GAAP gross margin, operating expenses, operating income, net income (loss)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EPS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Non-GAAP to GAAP Financial Measures.”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the second, third and fourth paragraphs of this press release and under the heading “Outlook” above are not historical facts and may be forward-looking statements within the meaning of the Private Securities Litigation Reform Act of 1995. Forward-looking statements include statements regarding the intent, belief and current expectations with respect to: the extent and effect of the Shanghai COVID-19 lockdown; the demand for ACM’s tools, including specifically in fiscal year 2022; the expansion in 2022 of ACM’s product offering, production capacity and base of major customers; and the timing and ability of ACM to secure orders from new customers. Those statement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volatile global economic, market, industry and other conditions could result in sharply lower demand for products containing semiconductors and for the Company's products and in disruption of capital and credit markets;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undertakes no obligation to publicly update these forward-looking statements to reflect events or circumstances that occur after the date hereof or to reflect any change in its expectations regarding these forward-looking statements or the occurrence of unanticipated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180" w:lineRule="exact"/>
        <w:rPr>
          <w:sz w:val="20"/>
          <w:szCs w:val="20"/>
          <w:color w:val="auto"/>
        </w:rPr>
      </w:pPr>
    </w:p>
    <w:p>
      <w:pPr>
        <w:ind w:right="300" w:firstLine="8"/>
        <w:spacing w:after="0" w:line="266" w:lineRule="auto"/>
        <w:tabs>
          <w:tab w:leader="none" w:pos="1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i w:val="1"/>
                <w:iCs w:val="1"/>
                <w:color w:val="auto"/>
                <w:w w:val="97"/>
              </w:rPr>
              <w:t>yujia@blueshirtgroup.com</w:t>
            </w:r>
          </w:p>
        </w:tc>
      </w:tr>
      <w:tr>
        <w:trPr>
          <w:trHeight w:val="391"/>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64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40" w:type="dxa"/>
            <w:vAlign w:val="bottom"/>
          </w:tcPr>
          <w:p>
            <w:pPr>
              <w:ind w:left="920"/>
              <w:spacing w:after="0"/>
              <w:rPr>
                <w:sz w:val="20"/>
                <w:szCs w:val="20"/>
                <w:color w:val="auto"/>
              </w:rPr>
            </w:pPr>
            <w:r>
              <w:rPr>
                <w:rFonts w:ascii="Times New Roman" w:cs="Times New Roman" w:eastAsia="Times New Roman" w:hAnsi="Times New Roman"/>
                <w:sz w:val="18"/>
                <w:szCs w:val="18"/>
                <w:i w:val="1"/>
                <w:iCs w:val="1"/>
                <w:color w:val="auto"/>
                <w:w w:val="99"/>
              </w:rPr>
              <w:t>gary@blueshirtgroup.com</w:t>
            </w:r>
          </w:p>
        </w:tc>
      </w:tr>
    </w:tbl>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
        </w:trPr>
        <w:tc>
          <w:tcPr>
            <w:tcW w:w="8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8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88"/>
              </w:rPr>
              <w:t>(Unaudited)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w:t>
            </w:r>
          </w:p>
        </w:tc>
      </w:tr>
      <w:tr>
        <w:trPr>
          <w:trHeight w:val="236"/>
        </w:trPr>
        <w:tc>
          <w:tcPr>
            <w:tcW w:w="8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and per share data)</w:t>
            </w:r>
          </w:p>
        </w:tc>
      </w:tr>
      <w:tr>
        <w:trPr>
          <w:trHeight w:val="216"/>
        </w:trPr>
        <w:tc>
          <w:tcPr>
            <w:tcW w:w="828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563,067</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29,498</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$0 as of March 31, 2022 and December 31, 2021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105,553</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recoverable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18,979</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218,116</w:t>
            </w: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16,639</w:t>
            </w: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952,934</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14,042</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9,667</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4,182</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13,166</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12,694</w:t>
            </w:r>
          </w:p>
        </w:tc>
      </w:tr>
      <w:tr>
        <w:trPr>
          <w:trHeight w:val="223"/>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1,052,179</w:t>
            </w:r>
          </w:p>
        </w:tc>
      </w:tr>
      <w:tr>
        <w:trPr>
          <w:trHeight w:val="20"/>
        </w:trPr>
        <w:tc>
          <w:tcPr>
            <w:tcW w:w="8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9,591</w:t>
            </w: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2,410</w:t>
            </w:r>
          </w:p>
        </w:tc>
      </w:tr>
      <w:tr>
        <w:trPr>
          <w:trHeight w:val="216"/>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101,350</w:t>
            </w: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52,824</w:t>
            </w: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3,180</w:t>
            </w: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FIN-48 payable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31,735</w:t>
            </w:r>
          </w:p>
        </w:tc>
      </w:tr>
      <w:tr>
        <w:trPr>
          <w:trHeight w:val="223"/>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205,939</w:t>
            </w:r>
          </w:p>
        </w:tc>
      </w:tr>
      <w:tr>
        <w:trPr>
          <w:trHeight w:val="21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borrowings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22,957</w:t>
            </w: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2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8,447</w:t>
            </w:r>
          </w:p>
        </w:tc>
      </w:tr>
      <w:tr>
        <w:trPr>
          <w:trHeight w:val="223"/>
        </w:trPr>
        <w:tc>
          <w:tcPr>
            <w:tcW w:w="8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(1) – Class A, par value $0.0001: 150,000,000 shares authorized as of March 31, 2022 and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54,035,280 shares issued and outstanding as of March 31, 2022 and 53,608,929 shares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2021</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8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(1) – Class B, par value $0.0001: 5,307,816 shares authorized as of March 31, 2022 and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5,086,812 shares issued and outstanding as of March 31, 2022 and 5,087,814 shares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2021</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595,045</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surplus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72,044</w:t>
            </w: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9,109</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ACM Research, Inc. stockholders’ equity</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676,204</w:t>
            </w:r>
          </w:p>
        </w:tc>
        <w:tc>
          <w:tcPr>
            <w:tcW w:w="100" w:type="dxa"/>
            <w:vAlign w:val="bottom"/>
            <w:shd w:val="clear" w:color="auto" w:fill="CCEEFF"/>
          </w:tcPr>
          <w:p>
            <w:pPr>
              <w:spacing w:after="0"/>
              <w:rPr>
                <w:sz w:val="18"/>
                <w:szCs w:val="18"/>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135,461</w:t>
            </w:r>
          </w:p>
        </w:tc>
      </w:tr>
      <w:tr>
        <w:trPr>
          <w:trHeight w:val="223"/>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808,774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1,087,372</w:t>
            </w:r>
          </w:p>
        </w:tc>
        <w:tc>
          <w:tcPr>
            <w:tcW w:w="12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1,052,179</w:t>
            </w:r>
          </w:p>
        </w:tc>
      </w:tr>
      <w:tr>
        <w:trPr>
          <w:trHeight w:val="20"/>
        </w:trPr>
        <w:tc>
          <w:tcPr>
            <w:tcW w:w="8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Prior period results have been adjusted to reflect the three-for-one stock split effected in the form of a stock dividend in March 2022.</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7"/>
          </w:tcPr>
          <w:p>
            <w:pPr>
              <w:jc w:val="center"/>
              <w:ind w:right="32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16"/>
        </w:trPr>
        <w:tc>
          <w:tcPr>
            <w:tcW w:w="8680" w:type="dxa"/>
            <w:vAlign w:val="bottom"/>
          </w:tcPr>
          <w:p>
            <w:pPr>
              <w:spacing w:after="0"/>
              <w:rPr>
                <w:sz w:val="18"/>
                <w:szCs w:val="18"/>
                <w:color w:val="auto"/>
              </w:rPr>
            </w:pPr>
          </w:p>
        </w:tc>
        <w:tc>
          <w:tcPr>
            <w:tcW w:w="256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 In thousands, except share and</w:t>
            </w:r>
          </w:p>
        </w:tc>
      </w:tr>
      <w:tr>
        <w:trPr>
          <w:trHeight w:val="236"/>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9"/>
              </w:rPr>
              <w:t>per share data)</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43,732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25,687</w:t>
            </w: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19,686</w:t>
            </w:r>
          </w:p>
        </w:tc>
        <w:tc>
          <w:tcPr>
            <w:tcW w:w="1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17,346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5,504</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2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28,992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14,595</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(9,306)</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trading securities</w:t>
            </w:r>
          </w:p>
        </w:tc>
        <w:tc>
          <w:tcPr>
            <w:tcW w:w="20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(3,858)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(loss) in net income (loss) of affiliates</w:t>
            </w:r>
          </w:p>
        </w:tc>
        <w:tc>
          <w:tcPr>
            <w:tcW w:w="20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(7,443)</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(1,657)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ACM Research,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5,822</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(4,989)</w:t>
            </w:r>
          </w:p>
        </w:tc>
        <w:tc>
          <w:tcPr>
            <w:tcW w:w="20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0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ACM Research,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20" w:type="dxa"/>
            <w:vAlign w:val="bottom"/>
            <w:tcBorders>
              <w:bottom w:val="single" w:sz="8" w:color="CCEEFF"/>
            </w:tcBorders>
            <w:gridSpan w:val="3"/>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ACM Research, Inc. per common share (1):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gridSpan w:val="3"/>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2"/>
                <w:szCs w:val="22"/>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 (1):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58,827,390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56,360,610</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65,950,922</w:t>
            </w:r>
          </w:p>
        </w:tc>
        <w:tc>
          <w:tcPr>
            <w:tcW w:w="40" w:type="dxa"/>
            <w:vAlign w:val="bottom"/>
            <w:tcBorders>
              <w:top w:val="single" w:sz="8" w:color="auto"/>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65,604,840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Prior period results have been adjusted to reflect the three-for-one stock split effected in the form of a stock dividend in March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 by Equipment Type and by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spacing w:after="0"/>
              <w:rPr>
                <w:sz w:val="21"/>
                <w:szCs w:val="21"/>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D0D0D"/>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D0D0D"/>
              </w:rPr>
              <w:t>26,033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D0D0D"/>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32,413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D0D0D"/>
              </w:rPr>
              <w:t>12,248</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0D0D0D"/>
              </w:rPr>
              <w:t>5,550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3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D0D0D"/>
              </w:rPr>
              <w:t>3,905</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5,769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3740" w:type="dxa"/>
            <w:vAlign w:val="bottom"/>
            <w:gridSpan w:val="2"/>
          </w:tcPr>
          <w:p>
            <w:pPr>
              <w:ind w:left="3500"/>
              <w:spacing w:after="0"/>
              <w:rPr>
                <w:sz w:val="20"/>
                <w:szCs w:val="20"/>
                <w:color w:val="auto"/>
              </w:rPr>
            </w:pPr>
            <w:r>
              <w:rPr>
                <w:rFonts w:ascii="Times New Roman" w:cs="Times New Roman" w:eastAsia="Times New Roman" w:hAnsi="Times New Roman"/>
                <w:sz w:val="18"/>
                <w:szCs w:val="18"/>
                <w:b w:val="1"/>
                <w:bCs w:val="1"/>
                <w:color w:val="0D0D0D"/>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0D0D0D"/>
              </w:rPr>
              <w:t>42,186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0D0D0D"/>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D0D0D"/>
              </w:rPr>
              <w:t>43,732</w:t>
            </w:r>
          </w:p>
        </w:tc>
        <w:tc>
          <w:tcPr>
            <w:tcW w:w="80" w:type="dxa"/>
            <w:vAlign w:val="bottom"/>
          </w:tcPr>
          <w:p>
            <w:pPr>
              <w:spacing w:after="0"/>
              <w:rPr>
                <w:sz w:val="18"/>
                <w:szCs w:val="18"/>
                <w:color w:val="auto"/>
              </w:rPr>
            </w:pPr>
          </w:p>
        </w:tc>
      </w:tr>
      <w:tr>
        <w:trPr>
          <w:trHeight w:val="21"/>
        </w:trPr>
        <w:tc>
          <w:tcPr>
            <w:tcW w:w="5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18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Wet cleaning and other front-end processing tools</w:t>
            </w:r>
          </w:p>
        </w:tc>
        <w:tc>
          <w:tcPr>
            <w:tcW w:w="37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0D0D0D"/>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D0D0D"/>
              </w:rPr>
              <w:t>31,702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0D0D0D"/>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D0D0D"/>
              </w:rPr>
              <w:t>31,900</w:t>
            </w:r>
          </w:p>
        </w:tc>
        <w:tc>
          <w:tcPr>
            <w:tcW w:w="80" w:type="dxa"/>
            <w:vAlign w:val="bottom"/>
          </w:tcPr>
          <w:p>
            <w:pPr>
              <w:spacing w:after="0"/>
              <w:rPr>
                <w:sz w:val="18"/>
                <w:szCs w:val="18"/>
                <w:color w:val="auto"/>
              </w:rPr>
            </w:pPr>
          </w:p>
        </w:tc>
      </w:tr>
      <w:tr>
        <w:trPr>
          <w:trHeight w:val="223"/>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other processing tools, services and spares</w:t>
            </w:r>
          </w:p>
        </w:tc>
        <w:tc>
          <w:tcPr>
            <w:tcW w:w="3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D0D0D"/>
              </w:rPr>
              <w:t>10,484</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11,832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Front-end and Back-End</w:t>
            </w:r>
          </w:p>
        </w:tc>
        <w:tc>
          <w:tcPr>
            <w:tcW w:w="3740" w:type="dxa"/>
            <w:vAlign w:val="bottom"/>
            <w:gridSpan w:val="2"/>
          </w:tcPr>
          <w:p>
            <w:pPr>
              <w:ind w:left="3500"/>
              <w:spacing w:after="0"/>
              <w:rPr>
                <w:sz w:val="20"/>
                <w:szCs w:val="20"/>
                <w:color w:val="auto"/>
              </w:rPr>
            </w:pPr>
            <w:r>
              <w:rPr>
                <w:rFonts w:ascii="Times New Roman" w:cs="Times New Roman" w:eastAsia="Times New Roman" w:hAnsi="Times New Roman"/>
                <w:sz w:val="18"/>
                <w:szCs w:val="18"/>
                <w:b w:val="1"/>
                <w:bCs w:val="1"/>
                <w:color w:val="0D0D0D"/>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0D0D0D"/>
              </w:rPr>
              <w:t>42,186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0D0D0D"/>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D0D0D"/>
              </w:rPr>
              <w:t>43,732</w:t>
            </w:r>
          </w:p>
        </w:tc>
        <w:tc>
          <w:tcPr>
            <w:tcW w:w="80" w:type="dxa"/>
            <w:vAlign w:val="bottom"/>
          </w:tcPr>
          <w:p>
            <w:pPr>
              <w:spacing w:after="0"/>
              <w:rPr>
                <w:sz w:val="18"/>
                <w:szCs w:val="18"/>
                <w:color w:val="auto"/>
              </w:rPr>
            </w:pPr>
          </w:p>
        </w:tc>
      </w:tr>
      <w:tr>
        <w:trPr>
          <w:trHeight w:val="21"/>
        </w:trPr>
        <w:tc>
          <w:tcPr>
            <w:tcW w:w="5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6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9"/>
        </w:trPr>
        <w:tc>
          <w:tcPr>
            <w:tcW w:w="5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D0D0D"/>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D0D0D"/>
              </w:rPr>
              <w:t>42,130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D0D0D"/>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D0D0D"/>
              </w:rPr>
              <w:t>43,696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3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0D0D0D"/>
              </w:rPr>
              <w:t>56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D0D0D"/>
              </w:rPr>
              <w:t>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56"/>
        </w:trPr>
        <w:tc>
          <w:tcPr>
            <w:tcW w:w="518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D0D0D"/>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0D0D0D"/>
              </w:rPr>
              <w:t>42,186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0D0D0D"/>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D0D0D"/>
              </w:rPr>
              <w:t>43,732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551"/>
        </w:trPr>
        <w:tc>
          <w:tcPr>
            <w:tcW w:w="5180" w:type="dxa"/>
            <w:vAlign w:val="bottom"/>
          </w:tcPr>
          <w:p>
            <w:pPr>
              <w:spacing w:after="0"/>
              <w:rPr>
                <w:sz w:val="24"/>
                <w:szCs w:val="24"/>
                <w:color w:val="auto"/>
              </w:rPr>
            </w:pPr>
          </w:p>
        </w:tc>
        <w:tc>
          <w:tcPr>
            <w:tcW w:w="3500" w:type="dxa"/>
            <w:vAlign w:val="bottom"/>
          </w:tcPr>
          <w:p>
            <w:pPr>
              <w:jc w:val="right"/>
              <w:ind w:right="2895"/>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
        </w:trPr>
        <w:tc>
          <w:tcPr>
            <w:tcW w:w="51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non-cash change in fair value of financial liabilities and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7"/>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7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160" w:type="dxa"/>
            <w:vAlign w:val="bottom"/>
          </w:tcPr>
          <w:p>
            <w:pPr>
              <w:spacing w:after="0"/>
              <w:rPr>
                <w:sz w:val="16"/>
                <w:szCs w:val="16"/>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gridSpan w:val="2"/>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SBC</w:t>
            </w:r>
          </w:p>
        </w:tc>
        <w:tc>
          <w:tcPr>
            <w:tcW w:w="140" w:type="dxa"/>
            <w:vAlign w:val="bottom"/>
          </w:tcPr>
          <w:p>
            <w:pPr>
              <w:spacing w:after="0"/>
              <w:rPr>
                <w:sz w:val="9"/>
                <w:szCs w:val="9"/>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160" w:type="dxa"/>
            <w:vAlign w:val="bottom"/>
          </w:tcPr>
          <w:p>
            <w:pPr>
              <w:spacing w:after="0"/>
              <w:rPr>
                <w:sz w:val="9"/>
                <w:szCs w:val="9"/>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60" w:type="dxa"/>
            <w:vAlign w:val="bottom"/>
          </w:tcPr>
          <w:p>
            <w:pPr>
              <w:spacing w:after="0"/>
              <w:rPr>
                <w:sz w:val="9"/>
                <w:szCs w:val="9"/>
                <w:color w:val="auto"/>
              </w:rPr>
            </w:pP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80" w:type="dxa"/>
            <w:vAlign w:val="bottom"/>
          </w:tcPr>
          <w:p>
            <w:pPr>
              <w:spacing w:after="0"/>
              <w:rPr>
                <w:sz w:val="9"/>
                <w:szCs w:val="9"/>
                <w:color w:val="auto"/>
              </w:rPr>
            </w:pPr>
          </w:p>
        </w:tc>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115"/>
        </w:trPr>
        <w:tc>
          <w:tcPr>
            <w:tcW w:w="4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43,732</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(22,500)</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(22,387)</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19,686</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19,799</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18,045</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16"/>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(17,346)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16"/>
        </w:trPr>
        <w:tc>
          <w:tcPr>
            <w:tcW w:w="42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7"/>
        </w:trPr>
        <w:tc>
          <w:tcPr>
            <w:tcW w:w="4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(1,374)</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trading securities</w:t>
            </w: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ACM Research, Inc.</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(1,374)</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(3,858)</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34"/>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520" w:right="1420" w:hanging="5512"/>
        <w:spacing w:after="0" w:line="532" w:lineRule="auto"/>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adjusted to reflect the three-for-one stock split effected in the form of a stock dividend in March 2022.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2022-05-06T05:45:20Z</dcterms:created>
  <dcterms:modified xsi:type="dcterms:W3CDTF">2022-05-06T05:45:20Z</dcterms:modified>
</cp:coreProperties>
</file>