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00108J109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Guangda LIU</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Shanghai Science and Technology Venture Capital (Group) Co.,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Floor 16-17, #118 Rongke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District, Shanghai, People’s Republic of China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+86 021 2230 2882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Science and Technology Investment Group Co.,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Floor 16-17, #118 Rongke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Pudong District, Shanghai, People’s Republic of China 201203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firstLine="635"/>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4" w:lineRule="exact"/>
        <w:rPr>
          <w:sz w:val="24"/>
          <w:szCs w:val="24"/>
          <w:color w:val="auto"/>
        </w:rPr>
      </w:pPr>
    </w:p>
    <w:p>
      <w:pPr>
        <w:ind w:firstLine="635"/>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9 Pages)</w:t>
      </w:r>
    </w:p>
    <w:p>
      <w:pPr>
        <w:spacing w:after="0" w:line="211" w:lineRule="exact"/>
        <w:rPr>
          <w:sz w:val="24"/>
          <w:szCs w:val="24"/>
          <w:color w:val="auto"/>
        </w:rPr>
      </w:pPr>
    </w:p>
    <w:p>
      <w:pPr>
        <w:ind w:right="20" w:firstLine="8"/>
        <w:spacing w:after="0" w:line="277" w:lineRule="auto"/>
        <w:tabs>
          <w:tab w:leader="none" w:pos="1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8"/>
          <w:szCs w:val="18"/>
          <w:u w:val="single" w:color="auto"/>
          <w:color w:val="auto"/>
        </w:rPr>
        <w:t>00108J109</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1590"/>
                    </a:xfrm>
                    <a:prstGeom prst="rect">
                      <a:avLst/>
                    </a:prstGeom>
                    <a:noFill/>
                  </pic:spPr>
                </pic:pic>
              </a:graphicData>
            </a:graphic>
          </wp:anchor>
        </w:drawing>
      </w:r>
    </w:p>
    <w:p>
      <w:pPr>
        <w:spacing w:after="0" w:line="285" w:lineRule="exact"/>
        <w:rPr>
          <w:sz w:val="20"/>
          <w:szCs w:val="20"/>
          <w:color w:val="auto"/>
        </w:rPr>
      </w:pPr>
    </w:p>
    <w:p>
      <w:pPr>
        <w:ind w:left="1560" w:hanging="838"/>
        <w:spacing w:after="0"/>
        <w:tabs>
          <w:tab w:leader="none" w:pos="15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Shanghai Science and Technology Venture Capital (Group) Co., Ltd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5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rPr>
              <w:t>2</w:t>
            </w:r>
          </w:p>
        </w:tc>
        <w:tc>
          <w:tcPr>
            <w:tcW w:w="8620" w:type="dxa"/>
            <w:vAlign w:val="bottom"/>
            <w:gridSpan w:val="2"/>
          </w:tcPr>
          <w:p>
            <w:pPr>
              <w:ind w:left="4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1100" w:type="dxa"/>
            <w:vAlign w:val="bottom"/>
          </w:tcPr>
          <w:p>
            <w:pPr>
              <w:jc w:val="center"/>
              <w:ind w:left="153"/>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00" w:type="dxa"/>
            <w:vAlign w:val="bottom"/>
          </w:tcPr>
          <w:p>
            <w:pPr>
              <w:jc w:val="center"/>
              <w:ind w:left="153"/>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SOURCE OF FUNDS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100" w:type="dxa"/>
            <w:vAlign w:val="bottom"/>
          </w:tcPr>
          <w:p>
            <w:pPr>
              <w:jc w:val="center"/>
              <w:ind w:left="13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People’s Republic of China</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2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20" w:type="dxa"/>
            <w:vAlign w:val="bottom"/>
            <w:tcBorders>
              <w:left w:val="single" w:sz="8" w:color="auto"/>
              <w:right w:val="single" w:sz="8" w:color="auto"/>
            </w:tcBorders>
            <w:vMerge w:val="continue"/>
          </w:tcPr>
          <w:p>
            <w:pPr>
              <w:spacing w:after="0"/>
              <w:rPr>
                <w:sz w:val="13"/>
                <w:szCs w:val="13"/>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20" w:type="dxa"/>
            <w:vAlign w:val="bottom"/>
            <w:tcBorders>
              <w:right w:val="single" w:sz="8" w:color="auto"/>
            </w:tcBorders>
            <w:vMerge w:val="continue"/>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OWNED BY</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3,438,510 (1)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20" w:type="dxa"/>
            <w:vAlign w:val="bottom"/>
            <w:tcBorders>
              <w:right w:val="single" w:sz="8" w:color="auto"/>
            </w:tcBorders>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2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20" w:type="dxa"/>
            <w:vAlign w:val="bottom"/>
            <w:tcBorders>
              <w:right w:val="single" w:sz="8" w:color="auto"/>
            </w:tcBorders>
            <w:vMerge w:val="continue"/>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20" w:type="dxa"/>
            <w:vAlign w:val="bottom"/>
            <w:tcBorders>
              <w:right w:val="single" w:sz="8" w:color="auto"/>
            </w:tcBorders>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3,438,510 (1)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3,438,510 (1)</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00" w:type="dxa"/>
            <w:vAlign w:val="bottom"/>
          </w:tcPr>
          <w:p>
            <w:pPr>
              <w:jc w:val="center"/>
              <w:ind w:left="9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6.3% (1)</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180" w:hanging="331"/>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Shanghai Science and Technology Venture Capital (Group) Co., Ltd (“SHSTVC”) may be deemed to beneficially own the 3,358,728 shares held by Shanghai Pudong Science and Technology Investment Group Co., Ltd. (“PDSTVC”) as a result of its rights under the Coordination Agreement (as defined in Item 6 of the Schedule 13D amended hereby); however, the shares held by PDSTVC are not included in the number of shares reported as beneficially owned by SHSTVC in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Arial" w:cs="Arial" w:eastAsia="Arial" w:hAnsi="Arial"/>
          <w:sz w:val="18"/>
          <w:szCs w:val="18"/>
          <w:u w:val="single" w:color="auto"/>
          <w:color w:val="auto"/>
        </w:rPr>
        <w:t>00108J109</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34225" cy="637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6371590"/>
                    </a:xfrm>
                    <a:prstGeom prst="rect">
                      <a:avLst/>
                    </a:prstGeom>
                    <a:noFill/>
                  </pic:spPr>
                </pic:pic>
              </a:graphicData>
            </a:graphic>
          </wp:anchor>
        </w:drawing>
      </w:r>
    </w:p>
    <w:p>
      <w:pPr>
        <w:spacing w:after="0" w:line="285" w:lineRule="exact"/>
        <w:rPr>
          <w:sz w:val="20"/>
          <w:szCs w:val="20"/>
          <w:color w:val="auto"/>
        </w:rPr>
      </w:pPr>
    </w:p>
    <w:p>
      <w:pPr>
        <w:ind w:left="1560" w:hanging="838"/>
        <w:spacing w:after="0"/>
        <w:tabs>
          <w:tab w:leader="none" w:pos="1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Shanghai Pudong Science and Technology Investment Group Co., Ltd.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5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74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20" w:type="dxa"/>
            <w:vAlign w:val="bottom"/>
            <w:tcBorders>
              <w:left w:val="single" w:sz="8" w:color="auto"/>
              <w:right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rPr>
              <w:t>2</w:t>
            </w:r>
          </w:p>
        </w:tc>
        <w:tc>
          <w:tcPr>
            <w:tcW w:w="8620" w:type="dxa"/>
            <w:vAlign w:val="bottom"/>
            <w:gridSpan w:val="2"/>
          </w:tcPr>
          <w:p>
            <w:pPr>
              <w:ind w:left="40"/>
              <w:spacing w:after="0" w:line="146" w:lineRule="exact"/>
              <w:rPr>
                <w:sz w:val="20"/>
                <w:szCs w:val="20"/>
                <w:color w:val="auto"/>
              </w:rPr>
            </w:pPr>
            <w:r>
              <w:rPr>
                <w:rFonts w:ascii="Arial" w:cs="Arial" w:eastAsia="Arial" w:hAnsi="Arial"/>
                <w:sz w:val="16"/>
                <w:szCs w:val="16"/>
                <w:color w:val="auto"/>
              </w:rPr>
              <w:t>CHECK THE APPROPRIATE BOX IF A MEMBER OF A GROUP*</w:t>
            </w:r>
          </w:p>
        </w:tc>
        <w:tc>
          <w:tcPr>
            <w:tcW w:w="1100" w:type="dxa"/>
            <w:vAlign w:val="bottom"/>
          </w:tcPr>
          <w:p>
            <w:pPr>
              <w:jc w:val="center"/>
              <w:ind w:left="153"/>
              <w:spacing w:after="0" w:line="146"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100" w:type="dxa"/>
            <w:vAlign w:val="bottom"/>
          </w:tcPr>
          <w:p>
            <w:pPr>
              <w:jc w:val="center"/>
              <w:ind w:left="153"/>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SOURCE OF FUNDS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100" w:type="dxa"/>
            <w:vAlign w:val="bottom"/>
          </w:tcPr>
          <w:p>
            <w:pPr>
              <w:jc w:val="center"/>
              <w:ind w:left="13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People’s Republic of China</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20" w:type="dxa"/>
            <w:vAlign w:val="bottom"/>
            <w:tcBorders>
              <w:bottom w:val="single" w:sz="8" w:color="auto"/>
              <w:right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20" w:type="dxa"/>
            <w:vAlign w:val="bottom"/>
            <w:tcBorders>
              <w:left w:val="single" w:sz="8" w:color="auto"/>
              <w:right w:val="single" w:sz="8" w:color="auto"/>
            </w:tcBorders>
            <w:vMerge w:val="continue"/>
          </w:tcPr>
          <w:p>
            <w:pPr>
              <w:spacing w:after="0"/>
              <w:rPr>
                <w:sz w:val="13"/>
                <w:szCs w:val="13"/>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20" w:type="dxa"/>
            <w:vAlign w:val="bottom"/>
            <w:tcBorders>
              <w:right w:val="single" w:sz="8" w:color="auto"/>
            </w:tcBorders>
            <w:vMerge w:val="continue"/>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20" w:type="dxa"/>
            <w:vAlign w:val="bottom"/>
            <w:tcBorders>
              <w:left w:val="single" w:sz="8" w:color="auto"/>
              <w:right w:val="single" w:sz="8" w:color="auto"/>
            </w:tcBorders>
            <w:vMerge w:val="continue"/>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OWNED BY</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3,358,728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20" w:type="dxa"/>
            <w:vAlign w:val="bottom"/>
            <w:tcBorders>
              <w:right w:val="single" w:sz="8" w:color="auto"/>
            </w:tcBorders>
          </w:tcPr>
          <w:p>
            <w:pPr>
              <w:spacing w:after="0"/>
              <w:rPr>
                <w:sz w:val="7"/>
                <w:szCs w:val="7"/>
                <w:color w:val="auto"/>
              </w:rPr>
            </w:pPr>
          </w:p>
        </w:tc>
        <w:tc>
          <w:tcPr>
            <w:tcW w:w="74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2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20" w:type="dxa"/>
            <w:vAlign w:val="bottom"/>
            <w:tcBorders>
              <w:right w:val="single" w:sz="8" w:color="auto"/>
            </w:tcBorders>
            <w:vMerge w:val="continue"/>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2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20" w:type="dxa"/>
            <w:vAlign w:val="bottom"/>
            <w:tcBorders>
              <w:right w:val="single" w:sz="8" w:color="auto"/>
            </w:tcBorders>
          </w:tcPr>
          <w:p>
            <w:pPr>
              <w:spacing w:after="0"/>
              <w:rPr>
                <w:sz w:val="18"/>
                <w:szCs w:val="18"/>
                <w:color w:val="auto"/>
              </w:rPr>
            </w:pPr>
          </w:p>
        </w:tc>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2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20" w:type="dxa"/>
            <w:vAlign w:val="bottom"/>
            <w:tcBorders>
              <w:right w:val="single" w:sz="8" w:color="auto"/>
            </w:tcBorders>
          </w:tcPr>
          <w:p>
            <w:pPr>
              <w:spacing w:after="0"/>
              <w:rPr>
                <w:sz w:val="13"/>
                <w:szCs w:val="13"/>
                <w:color w:val="auto"/>
              </w:rPr>
            </w:pPr>
          </w:p>
        </w:tc>
        <w:tc>
          <w:tcPr>
            <w:tcW w:w="74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spacing w:after="0"/>
              <w:rPr>
                <w:sz w:val="20"/>
                <w:szCs w:val="20"/>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7400" w:type="dxa"/>
            <w:vAlign w:val="bottom"/>
          </w:tcPr>
          <w:p>
            <w:pPr>
              <w:ind w:left="20"/>
              <w:spacing w:after="0"/>
              <w:rPr>
                <w:sz w:val="20"/>
                <w:szCs w:val="20"/>
                <w:color w:val="auto"/>
              </w:rPr>
            </w:pPr>
            <w:r>
              <w:rPr>
                <w:rFonts w:ascii="Arial" w:cs="Arial" w:eastAsia="Arial" w:hAnsi="Arial"/>
                <w:sz w:val="18"/>
                <w:szCs w:val="18"/>
                <w:color w:val="auto"/>
              </w:rPr>
              <w:t>3,358,728</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3,358,728</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00" w:type="dxa"/>
            <w:vAlign w:val="bottom"/>
          </w:tcPr>
          <w:p>
            <w:pPr>
              <w:jc w:val="center"/>
              <w:ind w:left="9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6.1%</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TYPE OF REPORTING PERSON</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Arial" w:cs="Arial" w:eastAsia="Arial" w:hAnsi="Arial"/>
                <w:sz w:val="18"/>
                <w:szCs w:val="18"/>
                <w:color w:val="auto"/>
              </w:rPr>
              <w:t>OO</w:t>
            </w:r>
          </w:p>
        </w:tc>
        <w:tc>
          <w:tcPr>
            <w:tcW w:w="7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1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0" w:right="3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to Schedule 13D amends the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filed by Shanghai Science and Technology Venture Capital (Group) Co., Ltd (“</w:t>
      </w:r>
      <w:r>
        <w:rPr>
          <w:rFonts w:ascii="Arial" w:cs="Arial" w:eastAsia="Arial" w:hAnsi="Arial"/>
          <w:sz w:val="18"/>
          <w:szCs w:val="18"/>
          <w:u w:val="single" w:color="auto"/>
          <w:color w:val="auto"/>
        </w:rPr>
        <w:t>SHSTVC</w:t>
      </w:r>
      <w:r>
        <w:rPr>
          <w:rFonts w:ascii="Arial" w:cs="Arial" w:eastAsia="Arial" w:hAnsi="Arial"/>
          <w:sz w:val="18"/>
          <w:szCs w:val="18"/>
          <w:color w:val="auto"/>
        </w:rPr>
        <w:t>”) and Shanghai Pudong Science and Technology Investment Group Co., Ltd. (“</w:t>
      </w:r>
      <w:r>
        <w:rPr>
          <w:rFonts w:ascii="Arial" w:cs="Arial" w:eastAsia="Arial" w:hAnsi="Arial"/>
          <w:sz w:val="18"/>
          <w:szCs w:val="18"/>
          <w:u w:val="single" w:color="auto"/>
          <w:color w:val="auto"/>
        </w:rPr>
        <w:t>PDSTVC</w:t>
      </w:r>
      <w:r>
        <w:rPr>
          <w:rFonts w:ascii="Arial" w:cs="Arial" w:eastAsia="Arial" w:hAnsi="Arial"/>
          <w:sz w:val="18"/>
          <w:szCs w:val="18"/>
          <w:color w:val="auto"/>
        </w:rPr>
        <w:t>” and, together with SHSTVC,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with respect to the Class A common stock of ACM Research, Inc. Capitalized terms used but not otherwise defined in this Amendment have the meanings ascribed to them in the Schedule 13D.</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i w:val="1"/>
          <w:iCs w:val="1"/>
          <w:color w:val="auto"/>
        </w:rPr>
        <w:t>Item 4.</w:t>
      </w:r>
      <w:r>
        <w:rPr>
          <w:sz w:val="20"/>
          <w:szCs w:val="20"/>
          <w:color w:val="auto"/>
        </w:rPr>
        <w:tab/>
      </w:r>
      <w:r>
        <w:rPr>
          <w:rFonts w:ascii="Arial" w:cs="Arial" w:eastAsia="Arial" w:hAnsi="Arial"/>
          <w:sz w:val="16"/>
          <w:szCs w:val="16"/>
          <w:i w:val="1"/>
          <w:iCs w:val="1"/>
          <w:color w:val="auto"/>
        </w:rPr>
        <w:t>Purpose of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penultimate paragraph of Item 4 of the Schedule 13D is hereby amended and restated in its entirety to read as follows: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Xiao Xing, an employee of an affiliate of PDSTVC, serves on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Xiao Xing replaced Yinan Xiang (a former member of the Board) who was nominated to the Board as SHSTVC’s designee pursuant to a voting agreement that is no longer in effect. At the time of such replacement SHSTVC did not have, and SHSTVC does not currently have, a contractual right to designate or nominate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18,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SHANGHAI SCIENCE AND TECHNOLOGY VENTURE CAPITAL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(GROUP) CO., 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Guangda Liu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Guangda Liu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Representative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SHANGHAI PUDONG SCIENCE AND TECHNOLOGY INVESTMENT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(GROUP) CO., LTD.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Guangda Liu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Guangda Liu</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Representative</w:t>
      </w:r>
    </w:p>
    <w:sectPr>
      <w:pgSz w:w="11900" w:h="16838" w:orient="portrait"/>
      <w:cols w:equalWidth="0" w:num="1">
        <w:col w:w="11240"/>
      </w:cols>
      <w:pgMar w:left="32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2023-07-18T07:55:54Z</dcterms:created>
  <dcterms:modified xsi:type="dcterms:W3CDTF">2023-07-18T07:55:54Z</dcterms:modified>
</cp:coreProperties>
</file>