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24, 2025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24, 2025, we issued a press release entitled “ACM Research’s Operating Subsidiary ACM Research (Shanghai) Announces Issuance Report on Private Offering of Ordinary Shares.” The full text of the press release is furnished as Exhibit 99.1 hereto and is incorporated herein by reference.</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0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of ACM Research, Inc. dated September 24, 2025</w:t>
            </w:r>
          </w:p>
        </w:tc>
      </w:t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20" w:hanging="922"/>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29"/>
          <w:szCs w:val="29"/>
          <w:b w:val="1"/>
          <w:bCs w:val="1"/>
          <w:color w:val="auto"/>
        </w:rPr>
        <w:t>ACM Research’s Operating Subsidiary ACM Research (Shanghai) Announces Issuance Report on Private Offering of Ordinary Shares</w:t>
      </w:r>
    </w:p>
    <w:p>
      <w:pPr>
        <w:spacing w:after="0" w:line="44"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22"/>
          <w:szCs w:val="22"/>
          <w:b w:val="1"/>
          <w:bCs w:val="1"/>
          <w:color w:val="auto"/>
        </w:rPr>
        <w:t xml:space="preserve">Fremont, Calif., September 24, 2025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ACM Research,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(“ACM”) (NASDAQ: ACMR), a leading supplier of wafer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panel processing solutions for semiconductor and advanced packaging applications, today announced that its operating subsidiary, ACM Research (Shanghai), Inc. (“ACM Shanghai”), has issued its report on the private offering of ordinary shares (the “Private Offering”) on the Shanghai Stock Exchange website [link to China Disclosure], in accordance with applicable regulations of the STAR Market and the China Securities Regulatory Commission.</w:t>
      </w:r>
    </w:p>
    <w:p>
      <w:pPr>
        <w:spacing w:after="0" w:line="20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22"/>
          <w:szCs w:val="22"/>
          <w:color w:val="auto"/>
        </w:rPr>
        <w:t>ACM Shanghai issued 38,601,326 ordinary shares at RMB 116.11 per share, raising gross proceeds of RMB 4.5 billion (approx. US$630 million) and net proceeds of RMB 4.4 billion (approx. US$624 million) after deducting offering-related expenses. The proceeds are intended to be used for research and development, capital expenditures and working capital.</w:t>
      </w:r>
    </w:p>
    <w:p>
      <w:pPr>
        <w:spacing w:after="0" w:line="215"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22"/>
          <w:szCs w:val="22"/>
          <w:color w:val="auto"/>
        </w:rPr>
        <w:t>The Private Offering was allocated to 17 qualified investors, all of whom subscribed entirely in cash. The newly issued shares will be registered with the China Securities Depository and Clearing Corporation and subject to the six-month lock-up period before becoming eligible for trading on the STAR Market.</w:t>
      </w:r>
    </w:p>
    <w:p>
      <w:pPr>
        <w:spacing w:after="0" w:line="202"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22"/>
          <w:szCs w:val="22"/>
          <w:color w:val="auto"/>
        </w:rPr>
        <w:t>Following the Private Offering, ACM estimates its equity interest in ACM Shanghai will decrease to approximately 74.5% from 81.1% before the offering. ACM will remain the controlling shareholder of ACM Shanghai.</w:t>
      </w:r>
    </w:p>
    <w:p>
      <w:pPr>
        <w:spacing w:after="0" w:line="172" w:lineRule="exact"/>
        <w:rPr>
          <w:sz w:val="20"/>
          <w:szCs w:val="20"/>
          <w:color w:val="auto"/>
        </w:rPr>
      </w:pPr>
    </w:p>
    <w:p>
      <w:pPr>
        <w:ind w:right="600"/>
        <w:spacing w:after="0" w:line="296" w:lineRule="auto"/>
        <w:rPr>
          <w:sz w:val="20"/>
          <w:szCs w:val="20"/>
          <w:color w:val="auto"/>
        </w:rPr>
      </w:pPr>
      <w:r>
        <w:rPr>
          <w:rFonts w:ascii="Times New Roman" w:cs="Times New Roman" w:eastAsia="Times New Roman" w:hAnsi="Times New Roman"/>
          <w:sz w:val="22"/>
          <w:szCs w:val="22"/>
          <w:color w:val="auto"/>
        </w:rPr>
        <w:t>All USD amounts above are for reference only and are translated using the September 23, 2025 Wall Street Journal closing exchange rate.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9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2"/>
          <w:szCs w:val="22"/>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1602181259.2</w:t>
      </w:r>
    </w:p>
    <w:p>
      <w:pPr>
        <w:sectPr>
          <w:pgSz w:w="11900" w:h="16838" w:orient="portrait"/>
          <w:cols w:equalWidth="0" w:num="1">
            <w:col w:w="11240"/>
          </w:cols>
          <w:pgMar w:left="320" w:top="12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22"/>
          <w:szCs w:val="22"/>
          <w:color w:val="auto"/>
        </w:rPr>
        <w:t>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ACM Research, Inc.</w:t>
      </w:r>
    </w:p>
    <w:p>
      <w:pPr>
        <w:spacing w:after="0" w:line="2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 xml:space="preserve">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22"/>
          <w:szCs w:val="22"/>
          <w:u w:val="single" w:color="auto"/>
          <w:color w:val="auto"/>
        </w:rPr>
        <w:t>www.acmr.com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8"/>
        <w:spacing w:after="0" w:line="257" w:lineRule="auto"/>
        <w:tabs>
          <w:tab w:leader="none" w:pos="2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ACM Research, Inc. ACM Research logo is trademark of ACM Research, Inc. For convenience, these trademarks appear in this press release without ™ symbols, but that practice does not mean ACM will not assert, to the fullest extent under applicable law, its rights to such trademarks. All other trademarks are the property of their respective owners.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55555"/>
        </w:rPr>
        <w:t>For investor and media inquiries, please contact:</w:t>
      </w:r>
    </w:p>
    <w:p>
      <w:pPr>
        <w:spacing w:after="0" w:line="349"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the United States:</w:t>
            </w: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The Blueshirt Group</w:t>
            </w:r>
          </w:p>
        </w:tc>
      </w:tr>
      <w:tr>
        <w:trPr>
          <w:trHeight w:val="277"/>
        </w:trPr>
        <w:tc>
          <w:tcPr>
            <w:tcW w:w="7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Steven C. Pelayo, CFA</w:t>
            </w:r>
          </w:p>
        </w:tc>
      </w:tr>
      <w:tr>
        <w:trPr>
          <w:trHeight w:val="253"/>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(360) 808-5154</w:t>
            </w:r>
          </w:p>
        </w:tc>
      </w:tr>
      <w:tr>
        <w:trPr>
          <w:trHeight w:val="28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w w:val="96"/>
              </w:rPr>
              <w:t>steven@blueshirtgroup.co</w:t>
            </w:r>
          </w:p>
        </w:tc>
      </w:tr>
      <w:tr>
        <w:trPr>
          <w:trHeight w:val="582"/>
        </w:trPr>
        <w:tc>
          <w:tcPr>
            <w:tcW w:w="2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China:</w:t>
            </w: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The Blueshirt Group Asia</w:t>
            </w:r>
          </w:p>
        </w:tc>
      </w:tr>
      <w:tr>
        <w:trPr>
          <w:trHeight w:val="273"/>
        </w:trPr>
        <w:tc>
          <w:tcPr>
            <w:tcW w:w="760" w:type="dxa"/>
            <w:vAlign w:val="bottom"/>
            <w:tcBorders>
              <w:top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Gary Dvorchak, CFA</w:t>
            </w:r>
          </w:p>
        </w:tc>
      </w:tr>
      <w:tr>
        <w:trPr>
          <w:trHeight w:val="28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rPr>
              <w:t>gary@blueshirtgroup.co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1602181259.2</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2025-09-24T07:17:34Z</dcterms:created>
  <dcterms:modified xsi:type="dcterms:W3CDTF">2025-09-24T07:17:34Z</dcterms:modified>
</cp:coreProperties>
</file>