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5, 2022</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2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820" w:space="720"/>
            <w:col w:w="3100"/>
          </w:cols>
          <w:pgMar w:left="320" w:top="529"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66"/>
        </w:trPr>
        <w:tc>
          <w:tcPr>
            <w:tcW w:w="55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10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20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2022, we issued a press release announcing financial results for the second quarter of 2022. The full text of the press release is furnished as Exhibit 99.01 hereto and is incorporated herein by reference</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7"/>
          <w:szCs w:val="17"/>
          <w:color w:val="auto"/>
        </w:rPr>
        <w:t>Press Release of ACM Research, Inc. dated August 5, 2022</w:t>
      </w:r>
    </w:p>
    <w:p>
      <w:pPr>
        <w:spacing w:after="0" w:line="27"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Second Quarter 2022 Results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FREMONT, Calif., Aug. 05, 2022 (Globe Newswire) – ACM Research, Inc. (“ACM,” and with its subsidiaries, the “Company”) (NASDAQ: ACMR), a leading supplier of wafer processing solutions for semiconductor and advanced wafer-level packaging applications, today reported financial results for its second fiscal quarter ended June 30, 2022.</w:t>
      </w:r>
    </w:p>
    <w:p>
      <w:pPr>
        <w:spacing w:after="0" w:line="147" w:lineRule="exact"/>
        <w:rPr>
          <w:sz w:val="20"/>
          <w:szCs w:val="20"/>
          <w:color w:val="auto"/>
        </w:rPr>
      </w:pPr>
    </w:p>
    <w:p>
      <w:pPr>
        <w:ind w:right="440"/>
        <w:spacing w:after="0" w:line="226" w:lineRule="exact"/>
        <w:rPr>
          <w:sz w:val="20"/>
          <w:szCs w:val="20"/>
          <w:color w:val="auto"/>
        </w:rPr>
      </w:pPr>
      <w:r>
        <w:rPr>
          <w:rFonts w:ascii="Times New Roman" w:cs="Times New Roman" w:eastAsia="Times New Roman" w:hAnsi="Times New Roman"/>
          <w:sz w:val="18"/>
          <w:szCs w:val="18"/>
          <w:color w:val="auto"/>
        </w:rPr>
        <w:t>“Our second quarter results represent a solid recovery following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related restrictions in Shanghai that affected the first quarter. We are pleased with our revenue and profitability as our facilities gradually returned to a more normal operational status,” said Dr. David Wang, ACM’s President and Chief Executive Officer. “We were approved to reopen our Chuansha manufacturing facility under a closed loop production process in late April, and as of July 1, our operations in Shanghai have largely returned to normal. My sincere thanks go out to our employees, business partners, and customers for their dedication as we manage our way through the COVID pandemic.”</w:t>
      </w:r>
    </w:p>
    <w:p>
      <w:pPr>
        <w:spacing w:after="0" w:line="19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Dr. Wang continued, “For the first half of the year, revenue grew by 50%, with good growth from our cleaning tools and incremental contribution from our ECP products. We continue to see strong demand from our China-based customers, increasing market share with our cleaning tools and with new products. I am happy to report that we recently delivered two Ultra C SAPS V 12-chamber cleaning tools to our U.S.-based customer, including an evaluation tool late in the second quarter and a production tool in mid-July. We believe a successful evaluation could lead to larger business opportunities with this and other major customers.”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“Demand for our tools remains strong, and we have good visibility for the remainder of the year. We continue to expect solid growth in the second half of 2022 and beyond from our core cleaning products, the ramp of our ECP tools, and increased shipments of our furnace products. We are committed to gaining additional share of the $8 billion market addressed by our current product offerings, and we continue to believe we remain on track to double our addressable market opportunity with the upcoming introduction of two new product categories.”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104,395</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53,864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104,395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53,864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20,035</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22,004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12,236</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14,628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146,581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97,596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146,581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97,596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14,072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12,037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14,074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r>
      <w:tr>
        <w:trPr>
          <w:trHeight w:val="380"/>
        </w:trPr>
        <w:tc>
          <w:tcPr>
            <w:tcW w:w="5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4" w:name="page5"/>
    <w:bookmarkEnd w:id="4"/>
    <w:p>
      <w:pPr>
        <w:ind w:left="340" w:right="240" w:hanging="332"/>
        <w:spacing w:after="0" w:line="289"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EPS, also exclude unrealized loss on trading securities.</w:t>
      </w:r>
    </w:p>
    <w:p>
      <w:pPr>
        <w:spacing w:after="0" w:line="157"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adjusted to reflect the three-for-one stock split effected in the form of a stock dividend in March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maintaining its revenue guidance range of $365 million to $405 million for fiscal year 2022. This expectation assumes, among other factors, stability with respect to the global COVID-19 pandemic and US-China trade policy, and the continued expansion of the Company’s production and shipping operations in Shanghai. The range of the Company’s 2022 outlook reflects, among other things, various spending scenarios for the production ramps of key customers, the absence of unexpected disruptions in the Company’s supply chain, and the timing of acceptances for first tools under evaluation in the field.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second quarter of 2022 were $112 million, versus $82 million in the second quarter of 2021. Shipments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2022 included $24 million of tools that could not be delivered in the first quarter of 2022 due to the COVID-19-related restrictions in Shanghai. Total shipments include deliveries for revenue in the quarter and deliveries of first tool systems awaiting customer acceptance for potential revenue in future quarters.</w:t>
      </w:r>
    </w:p>
    <w:p>
      <w:pPr>
        <w:spacing w:after="0" w:line="176" w:lineRule="exact"/>
        <w:rPr>
          <w:rFonts w:ascii="Times New Roman" w:cs="Times New Roman" w:eastAsia="Times New Roman" w:hAnsi="Times New Roman"/>
          <w:sz w:val="18"/>
          <w:szCs w:val="18"/>
          <w:color w:val="auto"/>
        </w:rPr>
      </w:pPr>
    </w:p>
    <w:p>
      <w:pPr>
        <w:ind w:left="340" w:right="18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Shipped Evaluation and Production Tools to U.S. Customer. </w:t>
      </w:r>
      <w:r>
        <w:rPr>
          <w:rFonts w:ascii="Times New Roman" w:cs="Times New Roman" w:eastAsia="Times New Roman" w:hAnsi="Times New Roman"/>
          <w:sz w:val="18"/>
          <w:szCs w:val="18"/>
          <w:color w:val="auto"/>
        </w:rPr>
        <w:t>Delivered first Ultra C SAPS V 12-chamber cleaning tool for evaluation in June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shipped another tool in mid-July. ACM has expanded its U.S. services team to provide direct on-site support for the evaluation.</w:t>
      </w:r>
    </w:p>
    <w:p>
      <w:pPr>
        <w:spacing w:after="0" w:line="154" w:lineRule="exact"/>
        <w:rPr>
          <w:rFonts w:ascii="Times New Roman" w:cs="Times New Roman" w:eastAsia="Times New Roman" w:hAnsi="Times New Roman"/>
          <w:sz w:val="18"/>
          <w:szCs w:val="18"/>
          <w:color w:val="auto"/>
        </w:rPr>
      </w:pPr>
    </w:p>
    <w:p>
      <w:pPr>
        <w:ind w:left="340" w:right="18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Traction with China Operations of Semiconductor Manufacturers. </w:t>
      </w:r>
      <w:r>
        <w:rPr>
          <w:rFonts w:ascii="Times New Roman" w:cs="Times New Roman" w:eastAsia="Times New Roman" w:hAnsi="Times New Roman"/>
          <w:sz w:val="18"/>
          <w:szCs w:val="18"/>
          <w:color w:val="auto"/>
        </w:rPr>
        <w:t>During the first half of 2022, the Company delivered an Ultra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SAPS V 12-chamber cleaning tool for evaluation to the China fab of a global semiconductor manufacturer for evaluation, an Ultra ECP map copper plating tool for evaluation to a regional Asia-based semiconductor manufacturer, and delivered an additional PR stripper tool and received additional orders from the China-based advanced packaging facility of a global Integrated Device Manufacturer, (IDM).</w:t>
      </w:r>
    </w:p>
    <w:p>
      <w:pPr>
        <w:spacing w:after="0" w:line="176" w:lineRule="exact"/>
        <w:rPr>
          <w:rFonts w:ascii="Times New Roman" w:cs="Times New Roman" w:eastAsia="Times New Roman" w:hAnsi="Times New Roman"/>
          <w:sz w:val="18"/>
          <w:szCs w:val="18"/>
          <w:color w:val="auto"/>
        </w:rPr>
      </w:pPr>
    </w:p>
    <w:p>
      <w:pPr>
        <w:ind w:left="340" w:right="6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Introduction of New Post-CMP Cleaning Tool for Silicon and SiC Wafer Substrate Manufacturing. </w:t>
      </w:r>
      <w:r>
        <w:rPr>
          <w:rFonts w:ascii="Times New Roman" w:cs="Times New Roman" w:eastAsia="Times New Roman" w:hAnsi="Times New Roman"/>
          <w:sz w:val="18"/>
          <w:szCs w:val="18"/>
          <w:color w:val="auto"/>
        </w:rPr>
        <w:t>In July 2022, the Company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introduction of its new post-CMP cleaning tool. This is the Company’s first tool of its kind, serving as a cleaning step following the chemical mechanical planarization (CMP) process used to manufacture high quality substrates. It is available in 6- and 8- inch configurations for silicon carbide (SiC), and 8- and 12- inch configurations for silicon wafer manufacturing. The tool is available in wet-in dry-out (WIDO) and dry-in dry out (DIDO) configurations, with 2-, 4- and 6-chamber options to achieve maximum throughput of up to 60 wafers per hour (WPH).</w:t>
      </w:r>
    </w:p>
    <w:p>
      <w:pPr>
        <w:spacing w:after="0" w:line="179" w:lineRule="exact"/>
        <w:rPr>
          <w:rFonts w:ascii="Times New Roman" w:cs="Times New Roman" w:eastAsia="Times New Roman" w:hAnsi="Times New Roman"/>
          <w:sz w:val="18"/>
          <w:szCs w:val="18"/>
          <w:color w:val="auto"/>
        </w:rPr>
      </w:pPr>
    </w:p>
    <w:p>
      <w:pPr>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Appointment of Armanino LLP as Auditor for 2022. </w:t>
      </w:r>
      <w:r>
        <w:rPr>
          <w:rFonts w:ascii="Times New Roman" w:cs="Times New Roman" w:eastAsia="Times New Roman" w:hAnsi="Times New Roman"/>
          <w:sz w:val="18"/>
          <w:szCs w:val="18"/>
          <w:color w:val="auto"/>
        </w:rPr>
        <w:t>ACM announced that Armanino LLP has been appointed as ACM’s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to audit ACM’s consolidated financial statements and internal controls over financial reporting for the fiscal year ending December 31, 2022. Following completion of the 2022 audit of ACM’s consolidated financial statements and internal controls over financial reporting, ACM anticipates it will no longer be subject to delisting guidelines under the U.S. Holding Foreign Companies Accountable Act (HFCAA).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second quarter of 2022 and comparisons are with the second quarter of 2021.</w:t>
      </w:r>
    </w:p>
    <w:p>
      <w:pPr>
        <w:spacing w:after="0" w:line="223" w:lineRule="exact"/>
        <w:rPr>
          <w:sz w:val="20"/>
          <w:szCs w:val="20"/>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$104.4 million, up 93.8%, reflecting an increase in revenue from single wafer wet cleaning tools, new products groups, particularly ECP,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Furnace and other technologies category. Revenue in the second quarter included $12.9 million of repeat shipments of tools that could not be delivered in the first quarter due to COVID-19-related restrictions in Shanghai.</w:t>
      </w:r>
    </w:p>
    <w:p>
      <w:pPr>
        <w:spacing w:after="0" w:line="170" w:lineRule="exact"/>
        <w:rPr>
          <w:rFonts w:ascii="Times New Roman" w:cs="Times New Roman" w:eastAsia="Times New Roman" w:hAnsi="Times New Roman"/>
          <w:sz w:val="18"/>
          <w:szCs w:val="18"/>
          <w:color w:val="auto"/>
        </w:rPr>
      </w:pPr>
    </w:p>
    <w:p>
      <w:pPr>
        <w:jc w:val="both"/>
        <w:ind w:left="340" w:right="20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42.3%, up from 40.2%. Non-GAAP gross margin, which excludes stock-based compensation, was 42.4%, up from 40.5%.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within the range of 40% to 45% reflected in the Company’s long-term business model. The Company expects gross margin to vary from period to period due to a variety of factors, such as sales volume and product mix.</w:t>
      </w:r>
    </w:p>
    <w:p>
      <w:pPr>
        <w:spacing w:after="0" w:line="345"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ind w:left="340" w:right="1060" w:hanging="332"/>
        <w:spacing w:after="0" w:line="317"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Operating expenses </w:t>
      </w:r>
      <w:r>
        <w:rPr>
          <w:rFonts w:ascii="Times New Roman" w:cs="Times New Roman" w:eastAsia="Times New Roman" w:hAnsi="Times New Roman"/>
          <w:sz w:val="17"/>
          <w:szCs w:val="17"/>
          <w:color w:val="auto"/>
        </w:rPr>
        <w:t>were $24.1 million, an increase of 39.0%. Non-GAAP operating expenses, which exclude the effect of stock-based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were $22.3 million, up 38.3%. Non-GAAP operating expenses as a percent of revenue decreased to 21.4% from 29.9%.</w:t>
      </w:r>
    </w:p>
    <w:p>
      <w:pPr>
        <w:spacing w:after="0" w:line="131" w:lineRule="exact"/>
        <w:rPr>
          <w:rFonts w:ascii="Times New Roman" w:cs="Times New Roman" w:eastAsia="Times New Roman" w:hAnsi="Times New Roman"/>
          <w:sz w:val="17"/>
          <w:szCs w:val="17"/>
          <w:color w:val="auto"/>
        </w:rPr>
      </w:pPr>
    </w:p>
    <w:p>
      <w:pPr>
        <w:ind w:left="340" w:right="18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$20.0 million, up from $4.3 million. Non-GAAP operating income, which excludes the effect of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$22.0 million, up from $5.7 million.</w:t>
      </w:r>
    </w:p>
    <w:p>
      <w:pPr>
        <w:spacing w:after="0" w:line="154" w:lineRule="exact"/>
        <w:rPr>
          <w:rFonts w:ascii="Times New Roman" w:cs="Times New Roman" w:eastAsia="Times New Roman" w:hAnsi="Times New Roman"/>
          <w:sz w:val="18"/>
          <w:szCs w:val="18"/>
          <w:color w:val="auto"/>
        </w:rPr>
      </w:pPr>
    </w:p>
    <w:p>
      <w:pPr>
        <w:ind w:left="340" w:right="16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trading securities </w:t>
      </w:r>
      <w:r>
        <w:rPr>
          <w:rFonts w:ascii="Times New Roman" w:cs="Times New Roman" w:eastAsia="Times New Roman" w:hAnsi="Times New Roman"/>
          <w:sz w:val="18"/>
          <w:szCs w:val="18"/>
          <w:color w:val="auto"/>
        </w:rPr>
        <w:t>was $0.4 million. The loss reflects the change in market value of the indirect investment by ACM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(Shanghai), Inc. in the STAR Market IPO shares of Semiconductor Manufacturing International Corporation (SMIC). The value is marked-to-market quarterly and is excluded from non-GAAP results.</w:t>
      </w:r>
    </w:p>
    <w:p>
      <w:pPr>
        <w:spacing w:after="0" w:line="170" w:lineRule="exact"/>
        <w:rPr>
          <w:rFonts w:ascii="Times New Roman" w:cs="Times New Roman" w:eastAsia="Times New Roman" w:hAnsi="Times New Roman"/>
          <w:sz w:val="18"/>
          <w:szCs w:val="18"/>
          <w:color w:val="auto"/>
        </w:rPr>
      </w:pPr>
    </w:p>
    <w:p>
      <w:pPr>
        <w:ind w:left="340" w:right="1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$7.7 million, compared to $15,000. The income tax expense for the period ending June 30, 2022 primarily resulted from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Company’s full year effective income tax rate. As a result of a change in Section 174 of the U.S. Internal Revenue Code of 1986 that became effective on January 1, 2022, the effective tax rate for 2022 has increased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primarily due to a new requirement to capitalize and amortize previously deductible research and experimental expenses.</w:t>
      </w:r>
    </w:p>
    <w:p>
      <w:pPr>
        <w:spacing w:after="0" w:line="176" w:lineRule="exact"/>
        <w:rPr>
          <w:rFonts w:ascii="Times New Roman" w:cs="Times New Roman" w:eastAsia="Times New Roman" w:hAnsi="Times New Roman"/>
          <w:sz w:val="18"/>
          <w:szCs w:val="18"/>
          <w:color w:val="auto"/>
        </w:rPr>
      </w:pPr>
    </w:p>
    <w:p>
      <w:pPr>
        <w:jc w:val="both"/>
        <w:ind w:left="340" w:right="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$12.2 million, compared to net income of $6.6 million. Non-GAAP net income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Research, Inc., which excludes the effect of stock-based compensation and unrealized loss on trading securities, was $14.6 million, as compared to non-GAAP net income of $4.1 million.</w:t>
      </w:r>
    </w:p>
    <w:p>
      <w:pPr>
        <w:spacing w:after="0" w:line="170"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$0.18, compared to $0.10.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trading securities, was $0.22, compared to $0.06.</w:t>
      </w:r>
    </w:p>
    <w:p>
      <w:pPr>
        <w:spacing w:after="0" w:line="154" w:lineRule="exact"/>
        <w:rPr>
          <w:rFonts w:ascii="Times New Roman" w:cs="Times New Roman" w:eastAsia="Times New Roman" w:hAnsi="Times New Roman"/>
          <w:sz w:val="18"/>
          <w:szCs w:val="18"/>
          <w:color w:val="auto"/>
        </w:rPr>
      </w:pPr>
    </w:p>
    <w:p>
      <w:pPr>
        <w:ind w:left="340" w:right="2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$323.7 million at June 30, 2022, versus $380.3 million at March 31, 2022. Cash and cash equivalents plus,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and deposits were $468.9 million at June 30, 2022, versus $533.1 million at March 31, 2022. The decrease in cash and cash equivalents for the three months ended June 30, 2022 is primarily attributable to cash used in operations of $33.6 million, and a $23.5 million decrease due to the effect of exchange rate changes on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Friday, August 5, 2022,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https://register.vevent.com/register/BI9e0689dabde64d0e98f41480ab995283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Non-GAAP to GAAP Financial Measures.”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ind w:right="220"/>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the third and fourth paragraphs of this press release, under the heading “Outlook” and in the bullet “Appointment of Armanino LLP as Auditor for 2022” under the heading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extent and effect of the Shanghai COVID-19 lockdown; the demand for the Company’s tools, including specifically in fiscal year 2022; the expansion in 2022 of the Company’s product offering, production capacity and base of major customers; the timing and ability of the Company to secure orders from new customers, including in the United States; and views of U.S. and other regulators with respect to the Company’s compliance with HFCAA. Those statements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Armanino LLP’s ability to provide an audit report with respect to ACM’s consolidated 2022 financial statements and internal controls over financial reporting; the Company may be unable to obtain the qualification and acceptance of its delivered tools when anticipated or at all, which would delay or preclude the Company’s recognition of revenue from the sale of those tools; suppliers may not be able to meet the Company’s demands on a timely basis; the Company’s technologies and tools may not gain market acceptance; the Company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the Company due to its substantial non-U.S. customer and supplier base and its substantial non-U.S. manufacturing operations. ACM cannot guarantee any future results, levels of activity, performance or achievements. The Company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0" w:lineRule="exact"/>
        <w:rPr>
          <w:sz w:val="20"/>
          <w:szCs w:val="20"/>
          <w:color w:val="auto"/>
        </w:rPr>
      </w:pPr>
    </w:p>
    <w:p>
      <w:pPr>
        <w:ind w:right="280" w:firstLine="8"/>
        <w:spacing w:after="0" w:line="266" w:lineRule="auto"/>
        <w:tabs>
          <w:tab w:leader="none" w:pos="1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w w:val="97"/>
              </w:rPr>
              <w:t>yujia@blueshirtgroup.com</w:t>
            </w:r>
          </w:p>
        </w:tc>
      </w:tr>
      <w:tr>
        <w:trPr>
          <w:trHeight w:val="391"/>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w w:val="99"/>
              </w:rPr>
              <w:t>gary@blueshirtgroup.com</w:t>
            </w:r>
          </w:p>
        </w:tc>
      </w:tr>
    </w:tbl>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8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   December 31, 2021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88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4"/>
          </w:tcPr>
          <w:p>
            <w:pPr>
              <w:jc w:val="center"/>
              <w:ind w:left="63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27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(In thousands, except for par value)</w:t>
            </w:r>
          </w:p>
        </w:tc>
        <w:tc>
          <w:tcPr>
            <w:tcW w:w="0" w:type="dxa"/>
            <w:vAlign w:val="bottom"/>
          </w:tcPr>
          <w:p>
            <w:pPr>
              <w:spacing w:after="0"/>
              <w:rPr>
                <w:sz w:val="1"/>
                <w:szCs w:val="1"/>
                <w:color w:val="auto"/>
              </w:rPr>
            </w:pPr>
          </w:p>
        </w:tc>
      </w:tr>
      <w:tr>
        <w:trPr>
          <w:trHeight w:val="198"/>
        </w:trPr>
        <w:tc>
          <w:tcPr>
            <w:tcW w:w="8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29,498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218,116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14,256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900,628</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93,451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52,824</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FIN-48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2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 Class 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Class B</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surplus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(22,633)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787,145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811,665</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1,071,524</w:t>
            </w:r>
          </w:p>
        </w:tc>
        <w:tc>
          <w:tcPr>
            <w:tcW w:w="120" w:type="dxa"/>
            <w:vAlign w:val="bottom"/>
          </w:tcPr>
          <w:p>
            <w:pPr>
              <w:spacing w:after="0"/>
              <w:rPr>
                <w:sz w:val="18"/>
                <w:szCs w:val="18"/>
                <w:color w:val="auto"/>
              </w:rPr>
            </w:pPr>
          </w:p>
        </w:tc>
        <w:tc>
          <w:tcPr>
            <w:tcW w:w="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 June 31,</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left="6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22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w:t>
            </w:r>
          </w:p>
        </w:tc>
      </w:tr>
      <w:tr>
        <w:trPr>
          <w:trHeight w:val="236"/>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per share data)</w:t>
            </w: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per share data)</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97,596</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32,184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82,738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57,871</w:t>
            </w: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24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63,843</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7,410</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53,114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trading securities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(7,679)</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13,156</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(40,372)</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(37,918)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and</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59,177,643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57,370,977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59,003,484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56,868,585</w:t>
            </w:r>
          </w:p>
        </w:tc>
      </w:tr>
      <w:tr>
        <w:trPr>
          <w:trHeight w:val="257"/>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65,478,677</w:t>
            </w:r>
          </w:p>
        </w:tc>
        <w:tc>
          <w:tcPr>
            <w:tcW w:w="24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65,423,232</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65,772,973</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65,038,584</w:t>
            </w:r>
          </w:p>
        </w:tc>
        <w:tc>
          <w:tcPr>
            <w:tcW w:w="100" w:type="dxa"/>
            <w:vAlign w:val="bottom"/>
            <w:shd w:val="clear" w:color="auto" w:fill="CCEEFF"/>
          </w:tcPr>
          <w:p>
            <w:pPr>
              <w:spacing w:after="0"/>
              <w:rPr>
                <w:sz w:val="22"/>
                <w:szCs w:val="22"/>
                <w:color w:val="auto"/>
              </w:rPr>
            </w:pPr>
          </w:p>
        </w:tc>
      </w:tr>
      <w:tr>
        <w:trPr>
          <w:trHeight w:val="550"/>
        </w:trPr>
        <w:tc>
          <w:tcPr>
            <w:tcW w:w="5980" w:type="dxa"/>
            <w:vAlign w:val="bottom"/>
            <w:tcBorders>
              <w:top w:val="single" w:sz="8" w:color="CCEEFF"/>
            </w:tcBorders>
          </w:tcPr>
          <w:p>
            <w:pPr>
              <w:ind w:left="5500"/>
              <w:spacing w:after="0"/>
              <w:rPr>
                <w:sz w:val="20"/>
                <w:szCs w:val="20"/>
                <w:color w:val="auto"/>
              </w:rPr>
            </w:pPr>
            <w:r>
              <w:rPr>
                <w:rFonts w:ascii="Times New Roman" w:cs="Times New Roman" w:eastAsia="Times New Roman" w:hAnsi="Times New Roman"/>
                <w:sz w:val="14"/>
                <w:szCs w:val="14"/>
                <w:color w:val="auto"/>
              </w:rPr>
              <w:t>- 6 -</w:t>
            </w: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by Equipment Type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72,583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0D0D0D"/>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45,461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98,616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D0D0D"/>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77,874</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0D0D0D"/>
              </w:rPr>
              <w:t>20,500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32,748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D0D0D"/>
              </w:rPr>
              <w:t>5,550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11,312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8,403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15,217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D0D0D"/>
              </w:rPr>
              <w:t>14,172</w:t>
            </w: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D0D0D"/>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rPr>
              <w:t>104,395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0D0D0D"/>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53,864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146,581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0D0D0D"/>
              </w:rPr>
              <w:t>97,596</w:t>
            </w:r>
          </w:p>
        </w:tc>
      </w:tr>
      <w:tr>
        <w:trPr>
          <w:trHeight w:val="21"/>
        </w:trPr>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Wet cleaning and other front-end processing tools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D0D0D"/>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0D0D0D"/>
              </w:rPr>
              <w:t>79,553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D0D0D"/>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45,974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0D0D0D"/>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111,254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D0D0D"/>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D0D0D"/>
              </w:rPr>
              <w:t>77,874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other processing tools, services and spares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0D0D0D"/>
              </w:rPr>
              <w:t>24,842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7,890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35,327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D0D0D"/>
              </w:rPr>
              <w:t>19,722</w:t>
            </w: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Front-end and Back-End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D0D0D"/>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rPr>
              <w:t>104,395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0D0D0D"/>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53,864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146,581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0D0D0D"/>
              </w:rPr>
              <w:t>97,596</w:t>
            </w:r>
          </w:p>
        </w:tc>
      </w:tr>
      <w:tr>
        <w:trPr>
          <w:trHeight w:val="27"/>
        </w:trPr>
        <w:tc>
          <w:tcPr>
            <w:tcW w:w="5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66"/>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4"/>
                <w:szCs w:val="24"/>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6"/>
        </w:trPr>
        <w:tc>
          <w:tcPr>
            <w:tcW w:w="5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D0D0D"/>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100,275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D0D0D"/>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53,736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0D0D0D"/>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D0D0D"/>
              </w:rPr>
              <w:t>142,405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D0D0D"/>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D0D0D"/>
              </w:rPr>
              <w:t>97,432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4,120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128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D0D0D"/>
              </w:rPr>
              <w:t>4,176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D0D0D"/>
              </w:rPr>
              <w:t>164</w:t>
            </w: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D0D0D"/>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rPr>
              <w:t>104,395</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0D0D0D"/>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53,864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D0D0D"/>
              </w:rPr>
              <w:t>146,581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0D0D0D"/>
              </w:rPr>
              <w:t>97,596</w:t>
            </w:r>
          </w:p>
        </w:tc>
      </w:tr>
      <w:tr>
        <w:trPr>
          <w:trHeight w:val="557"/>
        </w:trPr>
        <w:tc>
          <w:tcPr>
            <w:tcW w:w="5160" w:type="dxa"/>
            <w:vAlign w:val="bottom"/>
          </w:tcPr>
          <w:p>
            <w:pPr>
              <w:spacing w:after="0"/>
              <w:rPr>
                <w:sz w:val="24"/>
                <w:szCs w:val="24"/>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- 7 -</w:t>
            </w: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1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5"/>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9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SBC</w:t>
            </w:r>
          </w:p>
        </w:tc>
        <w:tc>
          <w:tcPr>
            <w:tcW w:w="180" w:type="dxa"/>
            <w:vAlign w:val="bottom"/>
            <w:gridSpan w:val="2"/>
          </w:tcPr>
          <w:p>
            <w:pPr>
              <w:spacing w:after="0"/>
              <w:rPr>
                <w:sz w:val="20"/>
                <w:szCs w:val="20"/>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10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SBC</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3"/>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108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w w:val="83"/>
              </w:rPr>
              <w:t>thousands)</w:t>
            </w:r>
          </w:p>
        </w:tc>
        <w:tc>
          <w:tcPr>
            <w:tcW w:w="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104,395</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53,864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44,297</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gain (loss) 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trading securities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 ACM Research, Inc.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14,628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6,567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Other non-</w:t>
            </w:r>
          </w:p>
        </w:tc>
        <w:tc>
          <w:tcPr>
            <w:tcW w:w="100" w:type="dxa"/>
            <w:vAlign w:val="bottom"/>
          </w:tcPr>
          <w:p>
            <w:pPr>
              <w:spacing w:after="0"/>
              <w:rPr>
                <w:sz w:val="16"/>
                <w:szCs w:val="16"/>
                <w:color w:val="auto"/>
              </w:rPr>
            </w:pPr>
          </w:p>
        </w:tc>
        <w:tc>
          <w:tcPr>
            <w:tcW w:w="8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5"/>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SBC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gridSpan w:val="3"/>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(In</w:t>
            </w:r>
          </w:p>
        </w:tc>
        <w:tc>
          <w:tcPr>
            <w:tcW w:w="9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w w:val="75"/>
              </w:rPr>
              <w:t>thousands)</w:t>
            </w: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96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9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146,581</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146,581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97,596</w:t>
            </w:r>
          </w:p>
        </w:tc>
        <w:tc>
          <w:tcPr>
            <w:tcW w:w="0" w:type="dxa"/>
            <w:vAlign w:val="bottom"/>
          </w:tcPr>
          <w:p>
            <w:pPr>
              <w:spacing w:after="0"/>
              <w:rPr>
                <w:sz w:val="1"/>
                <w:szCs w:val="1"/>
                <w:color w:val="auto"/>
              </w:rPr>
            </w:pPr>
          </w:p>
        </w:tc>
      </w:tr>
      <w:tr>
        <w:trPr>
          <w:trHeight w:val="22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(82,485)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(57,690)</w:t>
            </w: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(10,114)</w:t>
            </w:r>
          </w:p>
        </w:tc>
        <w:tc>
          <w:tcPr>
            <w:tcW w:w="0" w:type="dxa"/>
            <w:vAlign w:val="bottom"/>
          </w:tcPr>
          <w:p>
            <w:pPr>
              <w:spacing w:after="0"/>
              <w:rPr>
                <w:sz w:val="1"/>
                <w:szCs w:val="1"/>
                <w:color w:val="auto"/>
              </w:rPr>
            </w:pPr>
          </w:p>
        </w:tc>
      </w:tr>
      <w:tr>
        <w:trPr>
          <w:trHeight w:val="216"/>
        </w:trPr>
        <w:tc>
          <w:tcPr>
            <w:tcW w:w="2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(27,646)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(12,929)</w:t>
            </w:r>
          </w:p>
        </w:tc>
        <w:tc>
          <w:tcPr>
            <w:tcW w:w="0" w:type="dxa"/>
            <w:vAlign w:val="bottom"/>
          </w:tcPr>
          <w:p>
            <w:pPr>
              <w:spacing w:after="0"/>
              <w:rPr>
                <w:sz w:val="1"/>
                <w:szCs w:val="1"/>
                <w:color w:val="auto"/>
              </w:rPr>
            </w:pPr>
          </w:p>
        </w:tc>
      </w:tr>
      <w:tr>
        <w:trPr>
          <w:trHeight w:val="216"/>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(6,537)</w:t>
            </w:r>
          </w:p>
        </w:tc>
        <w:tc>
          <w:tcPr>
            <w:tcW w:w="0" w:type="dxa"/>
            <w:vAlign w:val="bottom"/>
          </w:tcPr>
          <w:p>
            <w:pPr>
              <w:spacing w:after="0"/>
              <w:rPr>
                <w:sz w:val="1"/>
                <w:szCs w:val="1"/>
                <w:color w:val="auto"/>
              </w:rPr>
            </w:pPr>
          </w:p>
        </w:tc>
      </w:tr>
      <w:tr>
        <w:trPr>
          <w:trHeight w:val="27"/>
        </w:trPr>
        <w:tc>
          <w:tcPr>
            <w:tcW w:w="28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10,326</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gain (loss) on</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trading securities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8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ACM Research, Inc.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6,450</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14,074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2,736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11,846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579"/>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2022-08-05T05:48:10Z</dcterms:created>
  <dcterms:modified xsi:type="dcterms:W3CDTF">2022-08-05T05:48:10Z</dcterms:modified>
</cp:coreProperties>
</file>