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4"/>
          <w:szCs w:val="24"/>
          <w:color w:val="auto"/>
        </w:rPr>
      </w:pPr>
    </w:p>
    <w:p>
      <w:pPr>
        <w:ind w:left="9400"/>
        <w:spacing w:after="0"/>
        <w:rPr>
          <w:sz w:val="20"/>
          <w:szCs w:val="20"/>
          <w:color w:val="auto"/>
        </w:rPr>
      </w:pPr>
      <w:r>
        <w:rPr>
          <w:rFonts w:ascii="Arial" w:cs="Arial" w:eastAsia="Arial" w:hAnsi="Arial"/>
          <w:sz w:val="16"/>
          <w:szCs w:val="16"/>
          <w:b w:val="1"/>
          <w:bCs w:val="1"/>
          <w:color w:val="auto"/>
        </w:rPr>
        <w:t>Pursuant to Rule 424(b)(4)</w:t>
      </w:r>
    </w:p>
    <w:p>
      <w:pPr>
        <w:spacing w:after="0" w:line="43"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333-220451</w:t>
      </w:r>
    </w:p>
    <w:p>
      <w:pPr>
        <w:spacing w:after="0" w:line="20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2,000,000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3156585</wp:posOffset>
            </wp:positionH>
            <wp:positionV relativeFrom="paragraph">
              <wp:posOffset>149225</wp:posOffset>
            </wp:positionV>
            <wp:extent cx="951865" cy="596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1865" cy="5962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219710</wp:posOffset>
            </wp:positionV>
            <wp:extent cx="15233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This is the initial public offering of shares of Class A common stock of ACM Research, Inc. We are selling 2,000,000 shares of Class A common stock. The initial public offering price of shares of Class A common stock is $5.60 per share. The Class A common stock has been approved for trading on the Nasdaq Global Market under the symbol “ACMR.”</w:t>
      </w:r>
    </w:p>
    <w:p>
      <w:pPr>
        <w:spacing w:after="0" w:line="159" w:lineRule="exact"/>
        <w:rPr>
          <w:sz w:val="24"/>
          <w:szCs w:val="24"/>
          <w:color w:val="auto"/>
        </w:rPr>
      </w:pPr>
    </w:p>
    <w:p>
      <w:pPr>
        <w:ind w:right="140" w:firstLine="457"/>
        <w:spacing w:after="0" w:line="288" w:lineRule="auto"/>
        <w:rPr>
          <w:sz w:val="20"/>
          <w:szCs w:val="20"/>
          <w:color w:val="auto"/>
        </w:rPr>
      </w:pPr>
      <w:r>
        <w:rPr>
          <w:rFonts w:ascii="Arial" w:cs="Arial" w:eastAsia="Arial" w:hAnsi="Arial"/>
          <w:sz w:val="16"/>
          <w:szCs w:val="16"/>
          <w:color w:val="auto"/>
        </w:rPr>
        <w:t>We have two classes of common stock, Class A and Class B. Each share of Class A common stock is entitled to one vote. Each share of Class B common stock is entitled to twenty votes and is convertible at any time into one share of Class A common stock. The rights attributable to each class of common stock are otherwise identical. Immediately following this offering and the concurrent private placement described below, holders of Class B common stock will have 79.1% of the voting power of our outstanding capital stock and holders of Class A common stock will have the remaining 20.9%.</w:t>
      </w:r>
    </w:p>
    <w:p>
      <w:pPr>
        <w:spacing w:after="0" w:line="147" w:lineRule="exact"/>
        <w:rPr>
          <w:sz w:val="24"/>
          <w:szCs w:val="24"/>
          <w:color w:val="auto"/>
        </w:rPr>
      </w:pPr>
    </w:p>
    <w:p>
      <w:pPr>
        <w:ind w:right="620" w:firstLine="457"/>
        <w:spacing w:after="0" w:line="320"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will be subject to reduced public company reporting requirements. See “Prospectus Summary—Our Company—Implications of Being an Emerging Growth Company” on page 6.</w:t>
      </w:r>
    </w:p>
    <w:p>
      <w:pPr>
        <w:spacing w:after="0" w:line="99" w:lineRule="exact"/>
        <w:rPr>
          <w:sz w:val="24"/>
          <w:szCs w:val="24"/>
          <w:color w:val="auto"/>
        </w:rPr>
      </w:pPr>
    </w:p>
    <w:p>
      <w:pPr>
        <w:ind w:left="4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Class A common stock involves a high degree of risk. See “</w:t>
      </w:r>
      <w:hyperlink w:anchor="page14">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12.</w:t>
      </w:r>
    </w:p>
    <w:p>
      <w:pPr>
        <w:spacing w:after="0" w:line="207"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jc w:val="right"/>
              <w:ind w:right="85"/>
              <w:spacing w:after="0"/>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jc w:val="right"/>
              <w:ind w:right="5"/>
              <w:spacing w:after="0"/>
              <w:rPr>
                <w:sz w:val="20"/>
                <w:szCs w:val="20"/>
                <w:color w:val="auto"/>
              </w:rPr>
            </w:pPr>
            <w:r>
              <w:rPr>
                <w:rFonts w:ascii="Arial" w:cs="Arial" w:eastAsia="Arial" w:hAnsi="Arial"/>
                <w:sz w:val="14"/>
                <w:szCs w:val="14"/>
                <w:b w:val="1"/>
                <w:bCs w:val="1"/>
                <w:color w:val="auto"/>
              </w:rPr>
              <w:t>Share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Initial public offering price</w:t>
            </w:r>
          </w:p>
        </w:tc>
        <w:tc>
          <w:tcPr>
            <w:tcW w:w="1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$ 5.600</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11,200,000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7"/>
                <w:szCs w:val="17"/>
                <w:b w:val="1"/>
                <w:bCs w:val="1"/>
                <w:color w:val="auto"/>
              </w:rPr>
              <w:t>Underwriting discounts and commissions(1)</w:t>
            </w:r>
          </w:p>
        </w:tc>
        <w:tc>
          <w:tcPr>
            <w:tcW w:w="2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$ 0.392</w:t>
            </w:r>
          </w:p>
        </w:tc>
        <w:tc>
          <w:tcPr>
            <w:tcW w:w="7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784,000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Proceeds to us, before expenses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$ 5.208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10,416,000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8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4" w:lineRule="exact"/>
        <w:rPr>
          <w:sz w:val="24"/>
          <w:szCs w:val="24"/>
          <w:color w:val="auto"/>
        </w:rPr>
      </w:pPr>
    </w:p>
    <w:p>
      <w:pPr>
        <w:ind w:left="340" w:right="20" w:hanging="336"/>
        <w:spacing w:after="0" w:line="315"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Does not include a warrant that is issuable by us to the underwriters for the purchase of 80,000 shares of Class A common stock at a price per share equal to $6.16 or certain out-of-pocket expenses of the underwriters that are reimbursable by us. See “Underwriting” beginning on page 141 for additional disclosure regarding underwriter discounts, commissions and estimated offering expenses.</w:t>
      </w:r>
    </w:p>
    <w:p>
      <w:pPr>
        <w:spacing w:after="0" w:line="126" w:lineRule="exact"/>
        <w:rPr>
          <w:sz w:val="24"/>
          <w:szCs w:val="24"/>
          <w:color w:val="auto"/>
        </w:rPr>
      </w:pPr>
    </w:p>
    <w:p>
      <w:pPr>
        <w:ind w:right="20" w:firstLine="457"/>
        <w:spacing w:after="0" w:line="262" w:lineRule="auto"/>
        <w:rPr>
          <w:sz w:val="20"/>
          <w:szCs w:val="20"/>
          <w:color w:val="auto"/>
        </w:rPr>
      </w:pPr>
      <w:r>
        <w:rPr>
          <w:rFonts w:ascii="Arial" w:cs="Arial" w:eastAsia="Arial" w:hAnsi="Arial"/>
          <w:sz w:val="17"/>
          <w:szCs w:val="17"/>
          <w:color w:val="auto"/>
        </w:rPr>
        <w:t>We have entered into agreements pursuant to which we expect to issue and sell, in a concurrent private placement, 833,334 shares of Class A common stock to Xinxin (Hongkong) Capital Co., Limited, a subsidiary of Sino IC Capital Co., Ltd., and 500,000 shares of Class A common stock to Victorious Way Limited, a subsidiary of China Everbright Limited. These shares are to be sold, subject to limitations described under “Concurrent Private Placement” on page 41, at a price of $5.60 per share, and we will pay a 3.5% placement fee to the firms who are also serving as underwriters of this offering. We expect the closing of the concurrent private placement to occur immediately after the closing of the offering made hereby, but the closing of this offering is not contingent on the closing of the concurrent private placement.</w:t>
      </w:r>
    </w:p>
    <w:p>
      <w:pPr>
        <w:spacing w:after="0" w:line="154" w:lineRule="exact"/>
        <w:rPr>
          <w:sz w:val="24"/>
          <w:szCs w:val="24"/>
          <w:color w:val="auto"/>
        </w:rPr>
      </w:pPr>
    </w:p>
    <w:p>
      <w:pPr>
        <w:jc w:val="both"/>
        <w:ind w:right="340" w:firstLine="457"/>
        <w:spacing w:after="0" w:line="271" w:lineRule="auto"/>
        <w:rPr>
          <w:sz w:val="20"/>
          <w:szCs w:val="20"/>
          <w:color w:val="auto"/>
        </w:rPr>
      </w:pPr>
      <w:r>
        <w:rPr>
          <w:rFonts w:ascii="Arial" w:cs="Arial" w:eastAsia="Arial" w:hAnsi="Arial"/>
          <w:sz w:val="17"/>
          <w:szCs w:val="17"/>
          <w:color w:val="auto"/>
        </w:rPr>
        <w:t>The offering is being underwritten on a firm commitment basis. We have granted the underwriters an option to buy up to an additional 300,000 shares of Class A common stock from us to cover over-allotments. The underwriters may exercise this option at any time and from time to time during the 30-day period from the date of this prospectus.</w:t>
      </w:r>
    </w:p>
    <w:p>
      <w:pPr>
        <w:spacing w:after="0" w:line="153" w:lineRule="exact"/>
        <w:rPr>
          <w:sz w:val="24"/>
          <w:szCs w:val="24"/>
          <w:color w:val="auto"/>
        </w:rPr>
      </w:pPr>
    </w:p>
    <w:p>
      <w:pPr>
        <w:ind w:right="20" w:firstLine="457"/>
        <w:spacing w:after="0" w:line="294"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17"/>
          <w:szCs w:val="17"/>
          <w:color w:val="auto"/>
        </w:rPr>
        <w:t>The underwriters expect to deliver the shares of Class A common stock to purchasers in the offering on or about November 7, 2017.</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Sole Book-Running Manager</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Roth Capital Partners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Co-Managers</w:t>
      </w:r>
    </w:p>
    <w:p>
      <w:pPr>
        <w:spacing w:after="0" w:line="111" w:lineRule="exact"/>
        <w:rPr>
          <w:sz w:val="24"/>
          <w:szCs w:val="24"/>
          <w:color w:val="auto"/>
        </w:rPr>
      </w:pPr>
    </w:p>
    <w:p>
      <w:pPr>
        <w:spacing w:after="0"/>
        <w:tabs>
          <w:tab w:leader="none" w:pos="8260" w:val="left"/>
        </w:tabs>
        <w:rPr>
          <w:sz w:val="20"/>
          <w:szCs w:val="20"/>
          <w:color w:val="auto"/>
        </w:rPr>
      </w:pPr>
      <w:r>
        <w:rPr>
          <w:rFonts w:ascii="Arial" w:cs="Arial" w:eastAsia="Arial" w:hAnsi="Arial"/>
          <w:sz w:val="28"/>
          <w:szCs w:val="28"/>
          <w:b w:val="1"/>
          <w:bCs w:val="1"/>
          <w:color w:val="auto"/>
        </w:rPr>
        <w:t>Craig-Hallum Capital Group</w:t>
      </w:r>
      <w:r>
        <w:rPr>
          <w:sz w:val="20"/>
          <w:szCs w:val="20"/>
          <w:color w:val="auto"/>
        </w:rPr>
        <w:tab/>
      </w:r>
      <w:r>
        <w:rPr>
          <w:rFonts w:ascii="Arial" w:cs="Arial" w:eastAsia="Arial" w:hAnsi="Arial"/>
          <w:sz w:val="25"/>
          <w:szCs w:val="25"/>
          <w:b w:val="1"/>
          <w:bCs w:val="1"/>
          <w:color w:val="auto"/>
        </w:rPr>
        <w:t>The Benchmark Company</w:t>
      </w:r>
    </w:p>
    <w:p>
      <w:pPr>
        <w:sectPr>
          <w:pgSz w:w="11900" w:h="16838" w:orient="portrait"/>
          <w:cols w:equalWidth="0" w:num="1">
            <w:col w:w="11420"/>
          </w:cols>
          <w:pgMar w:left="240" w:top="226" w:right="239" w:bottom="1440" w:gutter="0" w:footer="0" w:header="0"/>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is November 2, 2017</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7"/>
            <w:vMerge w:val="restart"/>
          </w:tcPr>
          <w:p>
            <w:pPr>
              <w:spacing w:after="0"/>
              <w:rPr>
                <w:rFonts w:ascii="Arial" w:cs="Arial" w:eastAsia="Arial" w:hAnsi="Arial"/>
                <w:sz w:val="17"/>
                <w:szCs w:val="17"/>
                <w:color w:val="0000EE"/>
                <w:w w:val="89"/>
              </w:rPr>
            </w:pPr>
            <w:hyperlink w:anchor="page3">
              <w:r>
                <w:rPr>
                  <w:rFonts w:ascii="Arial" w:cs="Arial" w:eastAsia="Arial" w:hAnsi="Arial"/>
                  <w:sz w:val="17"/>
                  <w:szCs w:val="17"/>
                  <w:color w:val="0000EE"/>
                  <w:w w:val="89"/>
                </w:rPr>
                <w:t>Prospectus Summary</w:t>
              </w:r>
            </w:hyperlink>
          </w:p>
        </w:tc>
        <w:tc>
          <w:tcPr>
            <w:tcW w:w="3680" w:type="dxa"/>
            <w:vAlign w:val="bottom"/>
            <w:gridSpan w:val="7"/>
            <w:vMerge w:val="restart"/>
          </w:tcPr>
          <w:p>
            <w:pPr>
              <w:spacing w:after="0"/>
              <w:rPr>
                <w:sz w:val="14"/>
                <w:szCs w:val="14"/>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4"/>
                <w:szCs w:val="14"/>
                <w:color w:val="auto"/>
                <w:w w:val="73"/>
              </w:rPr>
              <w:t>Page</w:t>
            </w:r>
          </w:p>
        </w:tc>
        <w:tc>
          <w:tcPr>
            <w:tcW w:w="920" w:type="dxa"/>
            <w:vAlign w:val="bottom"/>
            <w:gridSpan w:val="2"/>
            <w:vMerge w:val="restart"/>
          </w:tcPr>
          <w:p>
            <w:pPr>
              <w:spacing w:after="0"/>
              <w:rPr>
                <w:rFonts w:ascii="Arial" w:cs="Arial" w:eastAsia="Arial" w:hAnsi="Arial"/>
                <w:sz w:val="17"/>
                <w:szCs w:val="17"/>
                <w:color w:val="0000EE"/>
                <w:w w:val="88"/>
              </w:rPr>
            </w:pPr>
            <w:hyperlink w:anchor="page108">
              <w:r>
                <w:rPr>
                  <w:rFonts w:ascii="Arial" w:cs="Arial" w:eastAsia="Arial" w:hAnsi="Arial"/>
                  <w:sz w:val="17"/>
                  <w:szCs w:val="17"/>
                  <w:color w:val="0000EE"/>
                  <w:w w:val="88"/>
                </w:rPr>
                <w:t>Management</w:t>
              </w:r>
            </w:hyperlink>
          </w:p>
        </w:tc>
        <w:tc>
          <w:tcPr>
            <w:tcW w:w="4300" w:type="dxa"/>
            <w:vAlign w:val="bottom"/>
            <w:gridSpan w:val="10"/>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4"/>
        </w:trPr>
        <w:tc>
          <w:tcPr>
            <w:tcW w:w="1480" w:type="dxa"/>
            <w:vAlign w:val="bottom"/>
            <w:tcBorders>
              <w:bottom w:val="single" w:sz="8" w:color="0000EE"/>
            </w:tcBorders>
            <w:gridSpan w:val="7"/>
            <w:vMerge w:val="continue"/>
          </w:tcPr>
          <w:p>
            <w:pPr>
              <w:spacing w:after="0"/>
              <w:rPr>
                <w:sz w:val="12"/>
                <w:szCs w:val="12"/>
                <w:color w:val="auto"/>
              </w:rPr>
            </w:pPr>
          </w:p>
        </w:tc>
        <w:tc>
          <w:tcPr>
            <w:tcW w:w="3680" w:type="dxa"/>
            <w:vAlign w:val="bottom"/>
            <w:gridSpan w:val="7"/>
            <w:vMerge w:val="continue"/>
          </w:tcPr>
          <w:p>
            <w:pPr>
              <w:spacing w:after="0"/>
              <w:rPr>
                <w:sz w:val="12"/>
                <w:szCs w:val="12"/>
                <w:color w:val="auto"/>
              </w:rPr>
            </w:pPr>
          </w:p>
        </w:tc>
        <w:tc>
          <w:tcPr>
            <w:tcW w:w="2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w:t>
            </w:r>
          </w:p>
        </w:tc>
        <w:tc>
          <w:tcPr>
            <w:tcW w:w="420" w:type="dxa"/>
            <w:vAlign w:val="bottom"/>
          </w:tcPr>
          <w:p>
            <w:pPr>
              <w:spacing w:after="0"/>
              <w:rPr>
                <w:sz w:val="12"/>
                <w:szCs w:val="12"/>
                <w:color w:val="auto"/>
              </w:rPr>
            </w:pPr>
          </w:p>
        </w:tc>
        <w:tc>
          <w:tcPr>
            <w:tcW w:w="920" w:type="dxa"/>
            <w:vAlign w:val="bottom"/>
            <w:tcBorders>
              <w:bottom w:val="single" w:sz="8" w:color="0000EE"/>
            </w:tcBorders>
            <w:gridSpan w:val="2"/>
            <w:vMerge w:val="continue"/>
          </w:tcPr>
          <w:p>
            <w:pPr>
              <w:spacing w:after="0"/>
              <w:rPr>
                <w:sz w:val="12"/>
                <w:szCs w:val="12"/>
                <w:color w:val="auto"/>
              </w:rPr>
            </w:pPr>
          </w:p>
        </w:tc>
        <w:tc>
          <w:tcPr>
            <w:tcW w:w="4300" w:type="dxa"/>
            <w:vAlign w:val="bottom"/>
            <w:gridSpan w:val="10"/>
            <w:vMerge w:val="continue"/>
          </w:tcPr>
          <w:p>
            <w:pPr>
              <w:spacing w:after="0"/>
              <w:rPr>
                <w:sz w:val="12"/>
                <w:szCs w:val="12"/>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67"/>
        </w:trPr>
        <w:tc>
          <w:tcPr>
            <w:tcW w:w="5160" w:type="dxa"/>
            <w:vAlign w:val="bottom"/>
            <w:gridSpan w:val="14"/>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Risk Factors</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12</w:t>
            </w:r>
          </w:p>
        </w:tc>
        <w:tc>
          <w:tcPr>
            <w:tcW w:w="5220" w:type="dxa"/>
            <w:vAlign w:val="bottom"/>
            <w:gridSpan w:val="12"/>
          </w:tcPr>
          <w:p>
            <w:pPr>
              <w:spacing w:after="0"/>
              <w:rPr>
                <w:rFonts w:ascii="Arial" w:cs="Arial" w:eastAsia="Arial" w:hAnsi="Arial"/>
                <w:sz w:val="17"/>
                <w:szCs w:val="17"/>
                <w:color w:val="0000EE"/>
              </w:rPr>
            </w:pPr>
            <w:hyperlink w:anchor="page117">
              <w:r>
                <w:rPr>
                  <w:rFonts w:ascii="Arial" w:cs="Arial" w:eastAsia="Arial" w:hAnsi="Arial"/>
                  <w:sz w:val="17"/>
                  <w:szCs w:val="17"/>
                  <w:color w:val="0000EE"/>
                </w:rPr>
                <w:t>Director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4"/>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Forward-Looking Statements and Statistical Data</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39</w:t>
            </w:r>
          </w:p>
        </w:tc>
        <w:tc>
          <w:tcPr>
            <w:tcW w:w="5220" w:type="dxa"/>
            <w:vAlign w:val="bottom"/>
            <w:gridSpan w:val="12"/>
          </w:tcPr>
          <w:p>
            <w:pPr>
              <w:spacing w:after="0"/>
              <w:rPr>
                <w:rFonts w:ascii="Arial" w:cs="Arial" w:eastAsia="Arial" w:hAnsi="Arial"/>
                <w:sz w:val="17"/>
                <w:szCs w:val="17"/>
                <w:color w:val="0000EE"/>
              </w:rPr>
            </w:pPr>
            <w:hyperlink w:anchor="page118">
              <w:r>
                <w:rPr>
                  <w:rFonts w:ascii="Arial" w:cs="Arial" w:eastAsia="Arial" w:hAnsi="Arial"/>
                  <w:sz w:val="17"/>
                  <w:szCs w:val="17"/>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116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100" w:type="dxa"/>
            <w:vAlign w:val="bottom"/>
            <w:gridSpan w:val="10"/>
          </w:tcPr>
          <w:p>
            <w:pPr>
              <w:spacing w:after="0"/>
              <w:rPr>
                <w:rFonts w:ascii="Arial" w:cs="Arial" w:eastAsia="Arial" w:hAnsi="Arial"/>
                <w:sz w:val="17"/>
                <w:szCs w:val="17"/>
                <w:color w:val="0000EE"/>
                <w:w w:val="91"/>
              </w:rPr>
            </w:pPr>
            <w:hyperlink w:anchor="page43">
              <w:r>
                <w:rPr>
                  <w:rFonts w:ascii="Arial" w:cs="Arial" w:eastAsia="Arial" w:hAnsi="Arial"/>
                  <w:sz w:val="17"/>
                  <w:szCs w:val="17"/>
                  <w:color w:val="0000EE"/>
                  <w:w w:val="91"/>
                </w:rPr>
                <w:t>Concurrent Private Placement</w:t>
              </w:r>
            </w:hyperlink>
          </w:p>
        </w:tc>
        <w:tc>
          <w:tcPr>
            <w:tcW w:w="1340" w:type="dxa"/>
            <w:vAlign w:val="bottom"/>
            <w:gridSpan w:val="2"/>
          </w:tcPr>
          <w:p>
            <w:pPr>
              <w:spacing w:after="0"/>
              <w:rPr>
                <w:sz w:val="22"/>
                <w:szCs w:val="22"/>
                <w:color w:val="auto"/>
              </w:rPr>
            </w:pPr>
          </w:p>
        </w:tc>
        <w:tc>
          <w:tcPr>
            <w:tcW w:w="1720" w:type="dxa"/>
            <w:vAlign w:val="bottom"/>
            <w:gridSpan w:val="2"/>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41</w:t>
            </w:r>
          </w:p>
        </w:tc>
        <w:tc>
          <w:tcPr>
            <w:tcW w:w="5220" w:type="dxa"/>
            <w:vAlign w:val="bottom"/>
            <w:gridSpan w:val="12"/>
          </w:tcPr>
          <w:p>
            <w:pPr>
              <w:spacing w:after="0"/>
              <w:rPr>
                <w:rFonts w:ascii="Arial" w:cs="Arial" w:eastAsia="Arial" w:hAnsi="Arial"/>
                <w:sz w:val="17"/>
                <w:szCs w:val="17"/>
                <w:color w:val="0000EE"/>
              </w:rPr>
            </w:pPr>
            <w:hyperlink w:anchor="page126">
              <w:r>
                <w:rPr>
                  <w:rFonts w:ascii="Arial" w:cs="Arial" w:eastAsia="Arial" w:hAnsi="Arial"/>
                  <w:sz w:val="17"/>
                  <w:szCs w:val="17"/>
                  <w:color w:val="0000EE"/>
                </w:rPr>
                <w:t>Related-Party Transactions</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124</w:t>
            </w:r>
          </w:p>
        </w:tc>
        <w:tc>
          <w:tcPr>
            <w:tcW w:w="0" w:type="dxa"/>
            <w:vAlign w:val="bottom"/>
          </w:tcPr>
          <w:p>
            <w:pPr>
              <w:spacing w:after="0"/>
              <w:rPr>
                <w:sz w:val="1"/>
                <w:szCs w:val="1"/>
                <w:color w:val="auto"/>
              </w:rPr>
            </w:pPr>
          </w:p>
        </w:tc>
      </w:tr>
      <w:tr>
        <w:trPr>
          <w:trHeight w:val="254"/>
        </w:trPr>
        <w:tc>
          <w:tcPr>
            <w:tcW w:w="1140" w:type="dxa"/>
            <w:vAlign w:val="bottom"/>
            <w:tcBorders>
              <w:top w:val="single" w:sz="8" w:color="0000EE"/>
            </w:tcBorders>
            <w:gridSpan w:val="6"/>
          </w:tcPr>
          <w:p>
            <w:pPr>
              <w:spacing w:after="0"/>
              <w:rPr>
                <w:rFonts w:ascii="Arial" w:cs="Arial" w:eastAsia="Arial" w:hAnsi="Arial"/>
                <w:sz w:val="17"/>
                <w:szCs w:val="17"/>
                <w:color w:val="0000EE"/>
                <w:w w:val="89"/>
              </w:rPr>
            </w:pPr>
            <w:hyperlink w:anchor="page44">
              <w:r>
                <w:rPr>
                  <w:rFonts w:ascii="Arial" w:cs="Arial" w:eastAsia="Arial" w:hAnsi="Arial"/>
                  <w:sz w:val="17"/>
                  <w:szCs w:val="17"/>
                  <w:color w:val="0000EE"/>
                  <w:w w:val="89"/>
                </w:rPr>
                <w:t>Use of Proceeds</w:t>
              </w:r>
            </w:hyperlink>
          </w:p>
        </w:tc>
        <w:tc>
          <w:tcPr>
            <w:tcW w:w="960" w:type="dxa"/>
            <w:vAlign w:val="bottom"/>
            <w:tcBorders>
              <w:top w:val="single" w:sz="8" w:color="0000EE"/>
            </w:tcBorders>
            <w:gridSpan w:val="4"/>
          </w:tcPr>
          <w:p>
            <w:pPr>
              <w:spacing w:after="0"/>
              <w:rPr>
                <w:sz w:val="22"/>
                <w:szCs w:val="22"/>
                <w:color w:val="auto"/>
              </w:rPr>
            </w:pPr>
          </w:p>
        </w:tc>
        <w:tc>
          <w:tcPr>
            <w:tcW w:w="3060" w:type="dxa"/>
            <w:vAlign w:val="bottom"/>
            <w:gridSpan w:val="4"/>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42</w:t>
            </w:r>
          </w:p>
        </w:tc>
        <w:tc>
          <w:tcPr>
            <w:tcW w:w="1860" w:type="dxa"/>
            <w:vAlign w:val="bottom"/>
            <w:tcBorders>
              <w:top w:val="single" w:sz="8" w:color="0000EE"/>
            </w:tcBorders>
            <w:gridSpan w:val="6"/>
          </w:tcPr>
          <w:p>
            <w:pPr>
              <w:spacing w:after="0"/>
              <w:rPr>
                <w:rFonts w:ascii="Arial" w:cs="Arial" w:eastAsia="Arial" w:hAnsi="Arial"/>
                <w:sz w:val="17"/>
                <w:szCs w:val="17"/>
                <w:color w:val="0000EE"/>
              </w:rPr>
            </w:pPr>
            <w:hyperlink w:anchor="page128">
              <w:r>
                <w:rPr>
                  <w:rFonts w:ascii="Arial" w:cs="Arial" w:eastAsia="Arial" w:hAnsi="Arial"/>
                  <w:sz w:val="17"/>
                  <w:szCs w:val="17"/>
                  <w:color w:val="0000EE"/>
                </w:rPr>
                <w:t>Principal Stockholders</w:t>
              </w:r>
            </w:hyperlink>
          </w:p>
        </w:tc>
        <w:tc>
          <w:tcPr>
            <w:tcW w:w="3360" w:type="dxa"/>
            <w:vAlign w:val="bottom"/>
            <w:gridSpan w:val="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8"/>
              </w:rPr>
              <w:t>126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4"/>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Dividend Policy</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43</w:t>
            </w:r>
          </w:p>
        </w:tc>
        <w:tc>
          <w:tcPr>
            <w:tcW w:w="5220" w:type="dxa"/>
            <w:vAlign w:val="bottom"/>
            <w:gridSpan w:val="12"/>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128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40" w:type="dxa"/>
            <w:vAlign w:val="bottom"/>
            <w:gridSpan w:val="6"/>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Capitalization</w:t>
              </w:r>
            </w:hyperlink>
          </w:p>
        </w:tc>
        <w:tc>
          <w:tcPr>
            <w:tcW w:w="4020" w:type="dxa"/>
            <w:vAlign w:val="bottom"/>
            <w:gridSpan w:val="8"/>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44</w:t>
            </w:r>
          </w:p>
        </w:tc>
        <w:tc>
          <w:tcPr>
            <w:tcW w:w="5220" w:type="dxa"/>
            <w:vAlign w:val="bottom"/>
            <w:gridSpan w:val="12"/>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Shares Eligible For Future Sale</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135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5"/>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Dilution</w:t>
              </w:r>
            </w:hyperlink>
          </w:p>
        </w:tc>
        <w:tc>
          <w:tcPr>
            <w:tcW w:w="4180" w:type="dxa"/>
            <w:vAlign w:val="bottom"/>
            <w:gridSpan w:val="9"/>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47</w:t>
            </w:r>
          </w:p>
        </w:tc>
        <w:tc>
          <w:tcPr>
            <w:tcW w:w="5220" w:type="dxa"/>
            <w:vAlign w:val="bottom"/>
            <w:gridSpan w:val="12"/>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Material U.S. Federal Income Tax Considerations</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4"/>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Exchange Rate Information</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49</w:t>
            </w:r>
          </w:p>
        </w:tc>
        <w:tc>
          <w:tcPr>
            <w:tcW w:w="5220" w:type="dxa"/>
            <w:vAlign w:val="bottom"/>
            <w:gridSpan w:val="12"/>
          </w:tcPr>
          <w:p>
            <w:pPr>
              <w:spacing w:after="0"/>
              <w:rPr>
                <w:rFonts w:ascii="Arial" w:cs="Arial" w:eastAsia="Arial" w:hAnsi="Arial"/>
                <w:sz w:val="17"/>
                <w:szCs w:val="17"/>
                <w:color w:val="0000EE"/>
              </w:rPr>
            </w:pPr>
            <w:hyperlink w:anchor="page143">
              <w:r>
                <w:rPr>
                  <w:rFonts w:ascii="Arial" w:cs="Arial" w:eastAsia="Arial" w:hAnsi="Arial"/>
                  <w:sz w:val="17"/>
                  <w:szCs w:val="17"/>
                  <w:color w:val="0000EE"/>
                </w:rPr>
                <w:t>Underwriting</w:t>
              </w:r>
            </w:hyperlink>
          </w:p>
        </w:tc>
        <w:tc>
          <w:tcPr>
            <w:tcW w:w="320" w:type="dxa"/>
            <w:vAlign w:val="bottom"/>
          </w:tcPr>
          <w:p>
            <w:pPr>
              <w:jc w:val="right"/>
              <w:spacing w:after="0"/>
              <w:rPr>
                <w:sz w:val="20"/>
                <w:szCs w:val="20"/>
                <w:color w:val="auto"/>
              </w:rPr>
            </w:pPr>
            <w:r>
              <w:rPr>
                <w:rFonts w:ascii="Arial" w:cs="Arial" w:eastAsia="Arial" w:hAnsi="Arial"/>
                <w:sz w:val="17"/>
                <w:szCs w:val="17"/>
                <w:color w:val="auto"/>
                <w:w w:val="98"/>
              </w:rPr>
              <w:t>141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20" w:type="dxa"/>
            <w:vAlign w:val="bottom"/>
            <w:tcBorders>
              <w:bottom w:val="single" w:sz="8" w:color="0000EE"/>
            </w:tcBorders>
            <w:gridSpan w:val="11"/>
          </w:tcPr>
          <w:p>
            <w:pPr>
              <w:spacing w:after="0"/>
              <w:rPr>
                <w:rFonts w:ascii="Arial" w:cs="Arial" w:eastAsia="Arial" w:hAnsi="Arial"/>
                <w:sz w:val="17"/>
                <w:szCs w:val="17"/>
                <w:color w:val="0000EE"/>
                <w:w w:val="93"/>
              </w:rPr>
            </w:pPr>
            <w:hyperlink w:anchor="page51">
              <w:r>
                <w:rPr>
                  <w:rFonts w:ascii="Arial" w:cs="Arial" w:eastAsia="Arial" w:hAnsi="Arial"/>
                  <w:sz w:val="17"/>
                  <w:szCs w:val="17"/>
                  <w:color w:val="0000EE"/>
                  <w:w w:val="93"/>
                </w:rPr>
                <w:t>Selected Consolidated Financial Information</w:t>
              </w:r>
            </w:hyperlink>
          </w:p>
        </w:tc>
        <w:tc>
          <w:tcPr>
            <w:tcW w:w="2040" w:type="dxa"/>
            <w:vAlign w:val="bottom"/>
            <w:gridSpan w:val="3"/>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49</w:t>
            </w:r>
          </w:p>
        </w:tc>
        <w:tc>
          <w:tcPr>
            <w:tcW w:w="960" w:type="dxa"/>
            <w:vAlign w:val="bottom"/>
            <w:tcBorders>
              <w:bottom w:val="single" w:sz="8" w:color="0000EE"/>
            </w:tcBorders>
            <w:gridSpan w:val="3"/>
          </w:tcPr>
          <w:p>
            <w:pPr>
              <w:spacing w:after="0"/>
              <w:rPr>
                <w:rFonts w:ascii="Arial" w:cs="Arial" w:eastAsia="Arial" w:hAnsi="Arial"/>
                <w:sz w:val="17"/>
                <w:szCs w:val="17"/>
                <w:color w:val="0000EE"/>
                <w:w w:val="91"/>
              </w:rPr>
            </w:pPr>
            <w:hyperlink w:anchor="page149">
              <w:r>
                <w:rPr>
                  <w:rFonts w:ascii="Arial" w:cs="Arial" w:eastAsia="Arial" w:hAnsi="Arial"/>
                  <w:sz w:val="17"/>
                  <w:szCs w:val="17"/>
                  <w:color w:val="0000EE"/>
                  <w:w w:val="91"/>
                </w:rPr>
                <w:t>Legal Matters</w:t>
              </w:r>
            </w:hyperlink>
          </w:p>
        </w:tc>
        <w:tc>
          <w:tcPr>
            <w:tcW w:w="4260" w:type="dxa"/>
            <w:vAlign w:val="bottom"/>
            <w:gridSpan w:val="9"/>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8"/>
              </w:rPr>
              <w:t>147</w:t>
            </w:r>
          </w:p>
        </w:tc>
        <w:tc>
          <w:tcPr>
            <w:tcW w:w="0" w:type="dxa"/>
            <w:vAlign w:val="bottom"/>
          </w:tcPr>
          <w:p>
            <w:pPr>
              <w:spacing w:after="0"/>
              <w:rPr>
                <w:sz w:val="1"/>
                <w:szCs w:val="1"/>
                <w:color w:val="auto"/>
              </w:rPr>
            </w:pPr>
          </w:p>
        </w:tc>
      </w:tr>
      <w:tr>
        <w:trPr>
          <w:trHeight w:val="254"/>
        </w:trPr>
        <w:tc>
          <w:tcPr>
            <w:tcW w:w="4740" w:type="dxa"/>
            <w:vAlign w:val="bottom"/>
            <w:tcBorders>
              <w:bottom w:val="single" w:sz="8" w:color="0000EE"/>
            </w:tcBorders>
            <w:gridSpan w:val="13"/>
          </w:tcPr>
          <w:p>
            <w:pPr>
              <w:spacing w:after="0"/>
              <w:rPr>
                <w:rFonts w:ascii="Arial" w:cs="Arial" w:eastAsia="Arial" w:hAnsi="Arial"/>
                <w:sz w:val="17"/>
                <w:szCs w:val="17"/>
                <w:color w:val="0000EE"/>
                <w:w w:val="94"/>
              </w:rPr>
            </w:pPr>
            <w:hyperlink w:anchor="page55">
              <w:r>
                <w:rPr>
                  <w:rFonts w:ascii="Arial" w:cs="Arial" w:eastAsia="Arial" w:hAnsi="Arial"/>
                  <w:sz w:val="17"/>
                  <w:szCs w:val="17"/>
                  <w:color w:val="0000EE"/>
                  <w:w w:val="94"/>
                </w:rPr>
                <w:t>Management’s Discussion and Analysis of Financial Condition and</w:t>
              </w:r>
            </w:hyperlink>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Borders>
              <w:bottom w:val="single" w:sz="8" w:color="0000EE"/>
            </w:tcBorders>
          </w:tcPr>
          <w:p>
            <w:pPr>
              <w:spacing w:after="0"/>
              <w:rPr>
                <w:rFonts w:ascii="Arial" w:cs="Arial" w:eastAsia="Arial" w:hAnsi="Arial"/>
                <w:sz w:val="17"/>
                <w:szCs w:val="17"/>
                <w:color w:val="0000EE"/>
                <w:w w:val="86"/>
              </w:rPr>
            </w:pPr>
            <w:hyperlink w:anchor="page149">
              <w:r>
                <w:rPr>
                  <w:rFonts w:ascii="Arial" w:cs="Arial" w:eastAsia="Arial" w:hAnsi="Arial"/>
                  <w:sz w:val="17"/>
                  <w:szCs w:val="17"/>
                  <w:color w:val="0000EE"/>
                  <w:w w:val="86"/>
                </w:rPr>
                <w:t>Experts</w:t>
              </w:r>
            </w:hyperlink>
          </w:p>
        </w:tc>
        <w:tc>
          <w:tcPr>
            <w:tcW w:w="4700" w:type="dxa"/>
            <w:vAlign w:val="bottom"/>
            <w:gridSpan w:val="11"/>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8"/>
              </w:rPr>
              <w:t>147</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980" w:type="dxa"/>
            <w:vAlign w:val="bottom"/>
            <w:gridSpan w:val="13"/>
          </w:tcPr>
          <w:p>
            <w:pPr>
              <w:spacing w:after="0" w:line="189" w:lineRule="exact"/>
              <w:rPr>
                <w:rFonts w:ascii="Arial" w:cs="Arial" w:eastAsia="Arial" w:hAnsi="Arial"/>
                <w:sz w:val="17"/>
                <w:szCs w:val="17"/>
                <w:color w:val="0000EE"/>
              </w:rPr>
            </w:pPr>
            <w:hyperlink w:anchor="page55">
              <w:r>
                <w:rPr>
                  <w:rFonts w:ascii="Arial" w:cs="Arial" w:eastAsia="Arial" w:hAnsi="Arial"/>
                  <w:sz w:val="17"/>
                  <w:szCs w:val="17"/>
                  <w:color w:val="0000EE"/>
                </w:rPr>
                <w:t>Results of Operations</w:t>
              </w:r>
            </w:hyperlink>
          </w:p>
        </w:tc>
        <w:tc>
          <w:tcPr>
            <w:tcW w:w="6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53</w:t>
            </w:r>
          </w:p>
        </w:tc>
        <w:tc>
          <w:tcPr>
            <w:tcW w:w="5220" w:type="dxa"/>
            <w:vAlign w:val="bottom"/>
            <w:gridSpan w:val="12"/>
            <w:vMerge w:val="restart"/>
          </w:tcPr>
          <w:p>
            <w:pPr>
              <w:spacing w:after="0"/>
              <w:rPr>
                <w:rFonts w:ascii="Arial" w:cs="Arial" w:eastAsia="Arial" w:hAnsi="Arial"/>
                <w:sz w:val="17"/>
                <w:szCs w:val="17"/>
                <w:color w:val="0000EE"/>
              </w:rPr>
            </w:pPr>
            <w:hyperlink w:anchor="page149">
              <w:r>
                <w:rPr>
                  <w:rFonts w:ascii="Arial" w:cs="Arial" w:eastAsia="Arial" w:hAnsi="Arial"/>
                  <w:sz w:val="17"/>
                  <w:szCs w:val="17"/>
                  <w:color w:val="0000EE"/>
                </w:rPr>
                <w:t>Where You Can Find Additional Information</w:t>
              </w:r>
            </w:hyperlink>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w w:val="98"/>
              </w:rPr>
              <w:t>147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20" w:type="dxa"/>
            <w:vAlign w:val="bottom"/>
            <w:gridSpan w:val="1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5160" w:type="dxa"/>
            <w:vAlign w:val="bottom"/>
            <w:gridSpan w:val="14"/>
            <w:vMerge w:val="restart"/>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Business</w:t>
              </w:r>
            </w:hyperlink>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7"/>
                <w:szCs w:val="17"/>
                <w:color w:val="auto"/>
              </w:rPr>
              <w:t>87</w:t>
            </w:r>
          </w:p>
        </w:tc>
        <w:tc>
          <w:tcPr>
            <w:tcW w:w="5220" w:type="dxa"/>
            <w:vAlign w:val="bottom"/>
            <w:gridSpan w:val="1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160" w:type="dxa"/>
            <w:vAlign w:val="bottom"/>
            <w:gridSpan w:val="14"/>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3020" w:type="dxa"/>
            <w:vAlign w:val="bottom"/>
            <w:tcBorders>
              <w:top w:val="single" w:sz="8" w:color="0000EE"/>
            </w:tcBorders>
            <w:gridSpan w:val="9"/>
            <w:vMerge w:val="restart"/>
          </w:tcPr>
          <w:p>
            <w:pPr>
              <w:spacing w:after="0"/>
              <w:rPr>
                <w:rFonts w:ascii="Arial" w:cs="Arial" w:eastAsia="Arial" w:hAnsi="Arial"/>
                <w:sz w:val="17"/>
                <w:szCs w:val="17"/>
                <w:color w:val="0000EE"/>
                <w:w w:val="91"/>
              </w:rPr>
            </w:pPr>
            <w:hyperlink w:anchor="page150">
              <w:r>
                <w:rPr>
                  <w:rFonts w:ascii="Arial" w:cs="Arial" w:eastAsia="Arial" w:hAnsi="Arial"/>
                  <w:sz w:val="17"/>
                  <w:szCs w:val="17"/>
                  <w:color w:val="0000EE"/>
                  <w:w w:val="91"/>
                </w:rPr>
                <w:t>Index to Consolidated Financial Statements</w:t>
              </w:r>
            </w:hyperlink>
          </w:p>
        </w:tc>
        <w:tc>
          <w:tcPr>
            <w:tcW w:w="100" w:type="dxa"/>
            <w:vAlign w:val="bottom"/>
            <w:tcBorders>
              <w:top w:val="single" w:sz="8" w:color="0000EE"/>
            </w:tcBorders>
            <w:vMerge w:val="restart"/>
          </w:tcPr>
          <w:p>
            <w:pPr>
              <w:spacing w:after="0"/>
              <w:rPr>
                <w:sz w:val="16"/>
                <w:szCs w:val="16"/>
                <w:color w:val="auto"/>
              </w:rPr>
            </w:pPr>
          </w:p>
        </w:tc>
        <w:tc>
          <w:tcPr>
            <w:tcW w:w="2100" w:type="dxa"/>
            <w:vAlign w:val="bottom"/>
            <w:gridSpan w:val="2"/>
            <w:vMerge w:val="restart"/>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50"/>
        </w:trPr>
        <w:tc>
          <w:tcPr>
            <w:tcW w:w="18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20" w:type="dxa"/>
            <w:vAlign w:val="bottom"/>
            <w:tcBorders>
              <w:top w:val="single" w:sz="8" w:color="0000EE"/>
              <w:bottom w:val="single" w:sz="8" w:color="0000EE"/>
            </w:tcBorders>
            <w:gridSpan w:val="9"/>
            <w:vMerge w:val="continue"/>
          </w:tcPr>
          <w:p>
            <w:pPr>
              <w:spacing w:after="0"/>
              <w:rPr>
                <w:sz w:val="3"/>
                <w:szCs w:val="3"/>
                <w:color w:val="auto"/>
              </w:rPr>
            </w:pPr>
          </w:p>
        </w:tc>
        <w:tc>
          <w:tcPr>
            <w:tcW w:w="100" w:type="dxa"/>
            <w:vAlign w:val="bottom"/>
            <w:tcBorders>
              <w:top w:val="single" w:sz="8" w:color="0000EE"/>
            </w:tcBorders>
            <w:vMerge w:val="continue"/>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322580</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we may authorize to be delivered to you. We have not, and the underwriters have not, authorized anyone to provide you with information different from, or in addition to, that contained in this prospectus and any related free writing prospectus. We and the underwriters take no responsibility for, and can provide no assurances as to the reliability of, any information that others may give you. This prospectus is not an offer to sell, nor is it seeking an offer to buy, these securities in any jurisdiction where the offer or sale is not permitted. The information contained in this prospectus is only accurate as of the date of this prospectus, regardless of the time of delivery of this prospectus and any sale of shares of Class A common stock.</w:t>
      </w:r>
    </w:p>
    <w:p>
      <w:pPr>
        <w:spacing w:after="0" w:line="164"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i w:val="1"/>
          <w:iCs w:val="1"/>
          <w:color w:val="auto"/>
        </w:rPr>
        <w:t xml:space="preserve">For investors outside of the United States: </w:t>
      </w:r>
      <w:r>
        <w:rPr>
          <w:rFonts w:ascii="Arial" w:cs="Arial" w:eastAsia="Arial" w:hAnsi="Arial"/>
          <w:sz w:val="17"/>
          <w:szCs w:val="17"/>
          <w:color w:val="auto"/>
        </w:rPr>
        <w:t>Neither we nor the underwriters have done anything that would permit this offering or possession or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210820</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Unless the context requires otherwise, references in this prospectus to “our company,” “our,” “us,” “we” and similar terms refer to ACM Research, Inc. (including its predecessor prior to its redomestication from California to Delaware in November 2016) and its subsidiaries. References to “ACM Research” refer to ACM Research, Inc., and references to “ACM Shanghai” are to ACM Research (Shanghai), Inc., a subsidiary of ACM Research.</w:t>
      </w:r>
    </w:p>
    <w:p>
      <w:pPr>
        <w:spacing w:after="0" w:line="172" w:lineRule="exact"/>
        <w:rPr>
          <w:sz w:val="20"/>
          <w:szCs w:val="20"/>
          <w:color w:val="auto"/>
        </w:rPr>
      </w:pPr>
    </w:p>
    <w:p>
      <w:pPr>
        <w:ind w:right="280" w:firstLine="457"/>
        <w:spacing w:after="0" w:line="287" w:lineRule="auto"/>
        <w:rPr>
          <w:sz w:val="20"/>
          <w:szCs w:val="20"/>
          <w:color w:val="auto"/>
        </w:rPr>
      </w:pPr>
      <w:r>
        <w:rPr>
          <w:rFonts w:ascii="Arial" w:cs="Arial" w:eastAsia="Arial" w:hAnsi="Arial"/>
          <w:sz w:val="17"/>
          <w:szCs w:val="17"/>
          <w:color w:val="auto"/>
        </w:rPr>
        <w:t>SAPS, TEBO, ULTRA C and our logo design are our trademarks. This prospectus also contains other companies’ trademarks, registered marks and trade names, which are the property of those companies.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80"/>
          </w:cols>
          <w:pgMar w:left="240" w:top="448" w:right="27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542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5542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00" w:right="200" w:firstLine="442"/>
        <w:spacing w:after="0" w:line="266" w:lineRule="auto"/>
        <w:rPr>
          <w:sz w:val="20"/>
          <w:szCs w:val="20"/>
          <w:color w:val="auto"/>
        </w:rPr>
      </w:pPr>
      <w:r>
        <w:rPr>
          <w:rFonts w:ascii="Arial" w:cs="Arial" w:eastAsia="Arial" w:hAnsi="Arial"/>
          <w:sz w:val="17"/>
          <w:szCs w:val="17"/>
          <w:i w:val="1"/>
          <w:iCs w:val="1"/>
          <w:color w:val="auto"/>
        </w:rPr>
        <w:t>The following summary highlights selected information contained elsewhere in this prospectus. Because the following is only a summary, it does not contain all of the information you should consider before investing in Class A common stock. You should carefully read this entire prospectus, including the risks set forth under the heading “Risk Factors” and our consolidated financial statements and related notes included at the end of this prospectus, before making an investment decision.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200" w:right="40" w:firstLine="442"/>
        <w:spacing w:after="0" w:line="261" w:lineRule="auto"/>
        <w:rPr>
          <w:sz w:val="20"/>
          <w:szCs w:val="20"/>
          <w:color w:val="auto"/>
        </w:rPr>
      </w:pPr>
      <w:r>
        <w:rPr>
          <w:rFonts w:ascii="Arial" w:cs="Arial" w:eastAsia="Arial" w:hAnsi="Arial"/>
          <w:sz w:val="17"/>
          <w:szCs w:val="17"/>
          <w:color w:val="auto"/>
        </w:rPr>
        <w:t xml:space="preserve">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w:t>
      </w:r>
      <w:r>
        <w:rPr>
          <w:rFonts w:ascii="Arial" w:cs="Arial" w:eastAsia="Arial" w:hAnsi="Arial"/>
          <w:sz w:val="17"/>
          <w:szCs w:val="17"/>
          <w:i w:val="1"/>
          <w:iCs w:val="1"/>
          <w:color w:val="auto"/>
        </w:rPr>
        <w:t>Space</w:t>
      </w:r>
      <w:r>
        <w:rPr>
          <w:rFonts w:ascii="Arial" w:cs="Arial" w:eastAsia="Arial" w:hAnsi="Arial"/>
          <w:sz w:val="17"/>
          <w:szCs w:val="17"/>
          <w:color w:val="auto"/>
        </w:rPr>
        <w:t xml:space="preserve"> </w:t>
      </w:r>
      <w:r>
        <w:rPr>
          <w:rFonts w:ascii="Arial" w:cs="Arial" w:eastAsia="Arial" w:hAnsi="Arial"/>
          <w:sz w:val="17"/>
          <w:szCs w:val="17"/>
          <w:i w:val="1"/>
          <w:iCs w:val="1"/>
          <w:color w:val="auto"/>
        </w:rPr>
        <w:t>Alternated Phase Shift</w:t>
      </w:r>
      <w:r>
        <w:rPr>
          <w:rFonts w:ascii="Arial" w:cs="Arial" w:eastAsia="Arial" w:hAnsi="Arial"/>
          <w:sz w:val="17"/>
          <w:szCs w:val="17"/>
          <w:color w:val="auto"/>
        </w:rPr>
        <w:t>, or SAPS, and</w:t>
      </w:r>
      <w:r>
        <w:rPr>
          <w:rFonts w:ascii="Arial" w:cs="Arial" w:eastAsia="Arial" w:hAnsi="Arial"/>
          <w:sz w:val="17"/>
          <w:szCs w:val="17"/>
          <w:i w:val="1"/>
          <w:iCs w:val="1"/>
          <w:color w:val="auto"/>
        </w:rPr>
        <w:t xml:space="preserve"> Timely Energized Bubble Oscillation</w:t>
      </w:r>
      <w:r>
        <w:rPr>
          <w:rFonts w:ascii="Arial" w:cs="Arial" w:eastAsia="Arial" w:hAnsi="Arial"/>
          <w:sz w:val="17"/>
          <w:szCs w:val="17"/>
          <w:color w:val="auto"/>
        </w:rPr>
        <w:t>, or TEBO, technologies. We developed our proprietary technologies to enable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left="200" w:firstLine="442"/>
        <w:spacing w:after="0" w:line="299" w:lineRule="auto"/>
        <w:rPr>
          <w:sz w:val="20"/>
          <w:szCs w:val="20"/>
          <w:color w:val="auto"/>
        </w:rPr>
      </w:pPr>
      <w:r>
        <w:rPr>
          <w:rFonts w:ascii="Arial" w:cs="Arial" w:eastAsia="Arial" w:hAnsi="Arial"/>
          <w:sz w:val="15"/>
          <w:szCs w:val="15"/>
          <w:b w:val="1"/>
          <w:bCs w:val="1"/>
          <w:i w:val="1"/>
          <w:iCs w:val="1"/>
          <w:color w:val="auto"/>
        </w:rPr>
        <w:t xml:space="preserve">Differentiated technologies for advanced chips. </w:t>
      </w:r>
      <w:r>
        <w:rPr>
          <w:rFonts w:ascii="Arial" w:cs="Arial" w:eastAsia="Arial" w:hAnsi="Arial"/>
          <w:sz w:val="15"/>
          <w:szCs w:val="15"/>
          <w:color w:val="auto"/>
        </w:rPr>
        <w:t>Our SAPS and TEBO single-wafer wet cleaning technologies control the power, intensity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 of megasonic cleaning in order to remove random defects from a wafer surface effectively, without damaging the wafer or its features, even at process nodes of 22nm or less. As process nodes continue to shrink to 22nm and less, finer feature sizes and denser, more complex architectures make the cleaning process even more complicated and challenging. Our SAPS and TEBO technologies specifically address the inadequacies of conventional equipment available for the critical cleaning steps in chip manufacturing processes. One of our customers has implemented SAPS-based equipment for the 22nm process node, and we have demonstrated TEBO technology to be effective for the 16nm node. Furthermore, we believe both SAPS and TEBO technologies can be applied for even smaller process nodes. According to Transparency Market Research Pvt. Ltd, the global market for cleaning equipment for single-wafer processing systems totaled $2.6 billion in 2015 and will increase to an estimated $3.7 billion in 2020, a compound annual growth rate of 6.8%.</w:t>
      </w:r>
    </w:p>
    <w:p>
      <w:pPr>
        <w:spacing w:after="0" w:line="158" w:lineRule="exact"/>
        <w:rPr>
          <w:sz w:val="20"/>
          <w:szCs w:val="20"/>
          <w:color w:val="auto"/>
        </w:rPr>
      </w:pPr>
    </w:p>
    <w:p>
      <w:pPr>
        <w:ind w:left="200" w:right="20" w:firstLine="442"/>
        <w:spacing w:after="0" w:line="301" w:lineRule="auto"/>
        <w:rPr>
          <w:sz w:val="20"/>
          <w:szCs w:val="20"/>
          <w:color w:val="auto"/>
        </w:rPr>
      </w:pPr>
      <w:r>
        <w:rPr>
          <w:rFonts w:ascii="Arial" w:cs="Arial" w:eastAsia="Arial" w:hAnsi="Arial"/>
          <w:sz w:val="15"/>
          <w:szCs w:val="15"/>
          <w:b w:val="1"/>
          <w:bCs w:val="1"/>
          <w:i w:val="1"/>
          <w:iCs w:val="1"/>
          <w:color w:val="auto"/>
        </w:rPr>
        <w:t xml:space="preserve">China-based operations positioned for growth in new chip fabrication plants. </w:t>
      </w:r>
      <w:r>
        <w:rPr>
          <w:rFonts w:ascii="Arial" w:cs="Arial" w:eastAsia="Arial" w:hAnsi="Arial"/>
          <w:sz w:val="15"/>
          <w:szCs w:val="15"/>
          <w:color w:val="auto"/>
        </w:rPr>
        <w:t>In 2006 we established our operational center in Shanghai, and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currently conduct substantially all of our development and manufacturing activities in the People’s Republic of China, or the PRC. The PRC’s share of worldwide semiconductor manufacturing capacity expanded from 7.3% in 2006 to 12.7% in 2015, and its semiconductor manufacturing revenue increased at a compound annual growth rate of 17.6% over the ten-year period ending in 2015 (PricewaterhouseCoopers, January 2017). Our Shanghai operations position us near potential customers in not only the PRC but also Taiwan, Korea and throughout Asia, giving us increased access to those customers and reducing shipping and manufacturing costs for equipment they purchase. The PRC government is implementing focused policies, including state-led investment initiatives, that aim to create and support an independent domestic semiconductor supply chain spanning from design to final system production.</w:t>
      </w:r>
    </w:p>
    <w:p>
      <w:pPr>
        <w:spacing w:after="0" w:line="154" w:lineRule="exact"/>
        <w:rPr>
          <w:sz w:val="20"/>
          <w:szCs w:val="20"/>
          <w:color w:val="auto"/>
        </w:rPr>
      </w:pPr>
    </w:p>
    <w:p>
      <w:pPr>
        <w:ind w:left="200" w:right="40" w:firstLine="442"/>
        <w:spacing w:after="0" w:line="307" w:lineRule="auto"/>
        <w:rPr>
          <w:sz w:val="20"/>
          <w:szCs w:val="20"/>
          <w:color w:val="auto"/>
        </w:rPr>
      </w:pPr>
      <w:r>
        <w:rPr>
          <w:rFonts w:ascii="Arial" w:cs="Arial" w:eastAsia="Arial" w:hAnsi="Arial"/>
          <w:sz w:val="15"/>
          <w:szCs w:val="15"/>
          <w:b w:val="1"/>
          <w:bCs w:val="1"/>
          <w:i w:val="1"/>
          <w:iCs w:val="1"/>
          <w:color w:val="auto"/>
        </w:rPr>
        <w:t xml:space="preserve">Referenceable customer base. </w:t>
      </w:r>
      <w:r>
        <w:rPr>
          <w:rFonts w:ascii="Arial" w:cs="Arial" w:eastAsia="Arial" w:hAnsi="Arial"/>
          <w:sz w:val="15"/>
          <w:szCs w:val="15"/>
          <w:color w:val="auto"/>
        </w:rPr>
        <w:t>In commercializing our equipment, we place evaluation equipment with a selected group of leading chip manufacturers,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whose use of our products can influence decisions by other manufacturers. We believe this process is helping us penetrate the mature chip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four leading PRC memory and logic chip foundries. In 2016, using a similar “demo-to-sales” process, we placed TEBO evaluation equipment with a leading PRC foundry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00"/>
          </w:cols>
          <w:pgMar w:left="240" w:top="448" w:right="45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674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567499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180"/>
        <w:spacing w:after="0" w:line="271" w:lineRule="auto"/>
        <w:rPr>
          <w:sz w:val="20"/>
          <w:szCs w:val="20"/>
          <w:color w:val="auto"/>
        </w:rPr>
      </w:pPr>
      <w:r>
        <w:rPr>
          <w:rFonts w:ascii="Arial" w:cs="Arial" w:eastAsia="Arial" w:hAnsi="Arial"/>
          <w:sz w:val="17"/>
          <w:szCs w:val="17"/>
          <w:color w:val="auto"/>
        </w:rPr>
        <w:t>and a leading Taiwanese foundry and recognized revenue from our initial sale of TEBO equipment. Our revenue from the selected customers’ purchases of single-wafer wet cleaning equipment totaled $10.6 million, or 73.6% of our revenue, in the first six months of 2017, $21.5 million, or 78.4% of our revenue, in 2016 and $26.8 million, or 86.0% of our revenue, in 2015.</w:t>
      </w:r>
    </w:p>
    <w:p>
      <w:pPr>
        <w:spacing w:after="0" w:line="172" w:lineRule="exact"/>
        <w:rPr>
          <w:sz w:val="20"/>
          <w:szCs w:val="20"/>
          <w:color w:val="auto"/>
        </w:rPr>
      </w:pPr>
    </w:p>
    <w:p>
      <w:pPr>
        <w:ind w:left="200" w:right="20" w:firstLine="442"/>
        <w:spacing w:after="0" w:line="271" w:lineRule="auto"/>
        <w:rPr>
          <w:sz w:val="20"/>
          <w:szCs w:val="20"/>
          <w:color w:val="auto"/>
        </w:rPr>
      </w:pPr>
      <w:r>
        <w:rPr>
          <w:rFonts w:ascii="Arial" w:cs="Arial" w:eastAsia="Arial" w:hAnsi="Arial"/>
          <w:sz w:val="17"/>
          <w:szCs w:val="17"/>
          <w:b w:val="1"/>
          <w:bCs w:val="1"/>
          <w:i w:val="1"/>
          <w:iCs w:val="1"/>
          <w:color w:val="auto"/>
        </w:rPr>
        <w:t xml:space="preserve">Extensive intellectual property protection. </w:t>
      </w:r>
      <w:r>
        <w:rPr>
          <w:rFonts w:ascii="Arial" w:cs="Arial" w:eastAsia="Arial" w:hAnsi="Arial"/>
          <w:sz w:val="17"/>
          <w:szCs w:val="17"/>
          <w:color w:val="auto"/>
        </w:rPr>
        <w:t>Since our formation in 1998, we have focused on building a strategic portfolio of intellectual property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and protect our key innovations, including most recently our SAPS and TEBO technologies. As of September 30, 2017, we had been issued more than 140 patents in the United States, the PRC, Japan, Korea, Singapore and Taiwan.</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Industry Background and Trends</w:t>
      </w:r>
    </w:p>
    <w:p>
      <w:pPr>
        <w:spacing w:after="0" w:line="117" w:lineRule="exact"/>
        <w:rPr>
          <w:sz w:val="20"/>
          <w:szCs w:val="20"/>
          <w:color w:val="auto"/>
        </w:rPr>
      </w:pPr>
    </w:p>
    <w:p>
      <w:pPr>
        <w:ind w:left="200" w:right="240" w:firstLine="442"/>
        <w:spacing w:after="0" w:line="266" w:lineRule="auto"/>
        <w:rPr>
          <w:sz w:val="20"/>
          <w:szCs w:val="20"/>
          <w:color w:val="auto"/>
        </w:rPr>
      </w:pPr>
      <w:r>
        <w:rPr>
          <w:rFonts w:ascii="Arial" w:cs="Arial" w:eastAsia="Arial" w:hAnsi="Arial"/>
          <w:sz w:val="17"/>
          <w:szCs w:val="17"/>
          <w:color w:val="auto"/>
        </w:rPr>
        <w:t>Semiconductors are the foundation of the exponential growth of digital technologies and applications. After 30 years of growth fueled by demand for personal computers, tablet computers, mobile phones and other digital products, semiconductor shipments are expected to reach 1.0 trillion units in 2018 based on demand driven by the migration of computing, networking and storage to the cloud and the proliferation of the “Internet of Things” (IC Insights, Inc., March 2016).</w:t>
      </w:r>
    </w:p>
    <w:p>
      <w:pPr>
        <w:spacing w:after="0" w:line="176" w:lineRule="exact"/>
        <w:rPr>
          <w:sz w:val="20"/>
          <w:szCs w:val="20"/>
          <w:color w:val="auto"/>
        </w:rPr>
      </w:pPr>
    </w:p>
    <w:p>
      <w:pPr>
        <w:ind w:left="200" w:firstLine="442"/>
        <w:spacing w:after="0" w:line="261"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For a half century the number of transistors that can fit in a given area has roughly doubled every two years, a rate of improvement referred to as “Moore’s Law.” Chip feature sizes have been repeatedly scaled down to pack more transistors in smaller chips, as nodes shrank from 30,000nm in 1963 to 14nm in 2014. In recent years the rate of chip improvement delivered solely by shrinking feature sizes has slowed as conventional two-dimensional, or 2D, chips have begun to approach their critical performance limitations. In order to extend Moore’s Law, chip designers and manufacturers are developing and implementing technologies and architectures to transition to advanced chips with three-dimensional, or 3D, structures.</w:t>
      </w:r>
    </w:p>
    <w:p>
      <w:pPr>
        <w:spacing w:after="0" w:line="181" w:lineRule="exact"/>
        <w:rPr>
          <w:sz w:val="20"/>
          <w:szCs w:val="20"/>
          <w:color w:val="auto"/>
        </w:rPr>
      </w:pPr>
    </w:p>
    <w:p>
      <w:pPr>
        <w:ind w:left="200" w:firstLine="442"/>
        <w:spacing w:after="0" w:line="284" w:lineRule="auto"/>
        <w:rPr>
          <w:sz w:val="20"/>
          <w:szCs w:val="20"/>
          <w:color w:val="auto"/>
        </w:rPr>
      </w:pPr>
      <w:r>
        <w:rPr>
          <w:rFonts w:ascii="Arial" w:cs="Arial" w:eastAsia="Arial" w:hAnsi="Arial"/>
          <w:sz w:val="16"/>
          <w:szCs w:val="16"/>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fabrication plant capable of producing advanced 3D chips may have more than 500 highly specialized tools representing more than 70 categories of equipment and may cost between $5 and $10 billion. Because of significant capital expenditures and manufacturing expenses, chip makers must focus on avoiding product yield loss by implementing additional fabrication process steps and innovative, reliable tool solutions.</w:t>
      </w:r>
    </w:p>
    <w:p>
      <w:pPr>
        <w:spacing w:after="0" w:line="163" w:lineRule="exact"/>
        <w:rPr>
          <w:sz w:val="20"/>
          <w:szCs w:val="20"/>
          <w:color w:val="auto"/>
        </w:rPr>
      </w:pPr>
    </w:p>
    <w:p>
      <w:pPr>
        <w:ind w:left="200" w:right="140" w:firstLine="442"/>
        <w:spacing w:after="0" w:line="284" w:lineRule="auto"/>
        <w:rPr>
          <w:sz w:val="20"/>
          <w:szCs w:val="20"/>
          <w:color w:val="auto"/>
        </w:rPr>
      </w:pPr>
      <w:r>
        <w:rPr>
          <w:rFonts w:ascii="Arial" w:cs="Arial" w:eastAsia="Arial" w:hAnsi="Arial"/>
          <w:sz w:val="16"/>
          <w:szCs w:val="16"/>
          <w:color w:val="auto"/>
        </w:rPr>
        <w:t>Chip yield loss can result directly from random defects, which can originate from nearly every aspect of the manufacturing process. As a result, cleaning steps to eliminate random defects, without damaging features, are critical to chip fabrication. Wet cleaning, which uses liquid chemistry to spray, scrub, etch and dissolve random defects, has become the standard method for wafer cleaning. Wet cleaning’s chemistry has not changed appreciably over the past 25 years, but its implementation has shifted from simple immersion to increasingly sophisticated techniques such as tools using jet spraying and megasonic energy, which transmits acoustic waves through a fluid bath to produce bubble oscillation that dislodges random defects.</w:t>
      </w:r>
    </w:p>
    <w:p>
      <w:pPr>
        <w:spacing w:after="0" w:line="163" w:lineRule="exact"/>
        <w:rPr>
          <w:sz w:val="20"/>
          <w:szCs w:val="20"/>
          <w:color w:val="auto"/>
        </w:rPr>
      </w:pPr>
    </w:p>
    <w:p>
      <w:pPr>
        <w:ind w:left="200" w:right="100" w:firstLine="442"/>
        <w:spacing w:after="0" w:line="263" w:lineRule="auto"/>
        <w:rPr>
          <w:sz w:val="20"/>
          <w:szCs w:val="20"/>
          <w:color w:val="auto"/>
        </w:rPr>
      </w:pPr>
      <w:r>
        <w:rPr>
          <w:rFonts w:ascii="Arial" w:cs="Arial" w:eastAsia="Arial" w:hAnsi="Arial"/>
          <w:sz w:val="17"/>
          <w:szCs w:val="17"/>
          <w:color w:val="auto"/>
        </w:rPr>
        <w:t>As chip complexity has increased, cleaning has become the most frequently repeated step in chip fabrication and may be performed in as many as 200 steps for each wafer. As process nodes continue to shrink to 22nm and less, finer feature sizes and denser, more complex architectures make the cleaning process even more complicated and challenging. Effective, damage-free cleaning poses a significant challenge for manufacturers seeking to fabricate chips in the advanced process nodes available today or introduced in the future. In order to extend Moore’s law, chip manufacturers must be able to remove ever smaller random defects from not only flat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448" w:right="41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939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59397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340"/>
        <w:spacing w:after="0" w:line="287" w:lineRule="auto"/>
        <w:rPr>
          <w:sz w:val="20"/>
          <w:szCs w:val="20"/>
          <w:color w:val="auto"/>
        </w:rPr>
      </w:pPr>
      <w:r>
        <w:rPr>
          <w:rFonts w:ascii="Arial" w:cs="Arial" w:eastAsia="Arial" w:hAnsi="Arial"/>
          <w:sz w:val="17"/>
          <w:szCs w:val="17"/>
          <w:color w:val="auto"/>
        </w:rPr>
        <w:t>wafer surfaces but also progressively more intricate, finer-featured 3D chip structures, in each case without incurring damage or material loss that curtails yield and profits.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Product Offerings</w:t>
      </w:r>
    </w:p>
    <w:p>
      <w:pPr>
        <w:spacing w:after="0" w:line="117" w:lineRule="exact"/>
        <w:rPr>
          <w:sz w:val="20"/>
          <w:szCs w:val="20"/>
          <w:color w:val="auto"/>
        </w:rPr>
      </w:pPr>
    </w:p>
    <w:p>
      <w:pPr>
        <w:ind w:left="200" w:right="80" w:firstLine="442"/>
        <w:spacing w:after="0" w:line="266"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tools to remove random defects from chip wafers with fine feature sizes, complex patterning, dense circuit structures and high aspect ratios (the ratio of the structure’s depth to its width) more effectively than traditional jet spray and transient megasonic technologies.</w:t>
      </w:r>
    </w:p>
    <w:p>
      <w:pPr>
        <w:spacing w:after="0" w:line="170" w:lineRule="exact"/>
        <w:rPr>
          <w:sz w:val="20"/>
          <w:szCs w:val="20"/>
          <w:color w:val="auto"/>
        </w:rPr>
      </w:pPr>
    </w:p>
    <w:p>
      <w:pPr>
        <w:ind w:left="200" w:right="300" w:firstLine="442"/>
        <w:spacing w:after="0" w:line="263" w:lineRule="auto"/>
        <w:rPr>
          <w:sz w:val="20"/>
          <w:szCs w:val="20"/>
          <w:color w:val="auto"/>
        </w:rPr>
      </w:pPr>
      <w:r>
        <w:rPr>
          <w:rFonts w:ascii="Arial" w:cs="Arial" w:eastAsia="Arial" w:hAnsi="Arial"/>
          <w:sz w:val="17"/>
          <w:szCs w:val="17"/>
          <w:b w:val="1"/>
          <w:bCs w:val="1"/>
          <w:i w:val="1"/>
          <w:iCs w:val="1"/>
          <w:color w:val="auto"/>
        </w:rPr>
        <w:t>Flat and patterned wafer surfaces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SAPS technology, which we introduced in 2009, employs alternating phases of megasonic waves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181" w:lineRule="exact"/>
        <w:rPr>
          <w:sz w:val="20"/>
          <w:szCs w:val="20"/>
          <w:color w:val="auto"/>
        </w:rPr>
      </w:pPr>
    </w:p>
    <w:p>
      <w:pPr>
        <w:ind w:left="200" w:firstLine="442"/>
        <w:spacing w:after="0" w:line="278" w:lineRule="auto"/>
        <w:rPr>
          <w:sz w:val="20"/>
          <w:szCs w:val="20"/>
          <w:color w:val="auto"/>
        </w:rPr>
      </w:pPr>
      <w:r>
        <w:rPr>
          <w:rFonts w:ascii="Arial" w:cs="Arial" w:eastAsia="Arial" w:hAnsi="Arial"/>
          <w:sz w:val="16"/>
          <w:szCs w:val="16"/>
          <w:b w:val="1"/>
          <w:bCs w:val="1"/>
          <w:i w:val="1"/>
          <w:iCs w:val="1"/>
          <w:color w:val="auto"/>
        </w:rPr>
        <w:t xml:space="preserve">High-aspect ratio conventional 2D and advanced 3D patterned wafer surfaces. </w:t>
      </w:r>
      <w:r>
        <w:rPr>
          <w:rFonts w:ascii="Arial" w:cs="Arial" w:eastAsia="Arial" w:hAnsi="Arial"/>
          <w:sz w:val="16"/>
          <w:szCs w:val="16"/>
          <w:color w:val="auto"/>
        </w:rPr>
        <w:t>Our TEBO technology, which we introduced in March 2016,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at controlled sizes, shapes and temperatures. Because the bubbles oscillate instead of imploding or collapsing, TEBO technology avoids the pattern damage caused by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structures having aspect ratios as high as 60-to-1. We believe TEBO technology can be applied for even smaller process nodes. TEBO tools are currently being evaluated by a selected group of leading memory and logic chip manufacturers.</w:t>
      </w:r>
    </w:p>
    <w:p>
      <w:pPr>
        <w:spacing w:after="0" w:line="172" w:lineRule="exact"/>
        <w:rPr>
          <w:sz w:val="20"/>
          <w:szCs w:val="20"/>
          <w:color w:val="auto"/>
        </w:rPr>
      </w:pPr>
    </w:p>
    <w:p>
      <w:pPr>
        <w:ind w:left="200" w:right="60" w:firstLine="442"/>
        <w:spacing w:after="0" w:line="266" w:lineRule="auto"/>
        <w:rPr>
          <w:sz w:val="20"/>
          <w:szCs w:val="20"/>
          <w:color w:val="auto"/>
        </w:rPr>
      </w:pPr>
      <w:r>
        <w:rPr>
          <w:rFonts w:ascii="Arial" w:cs="Arial" w:eastAsia="Arial" w:hAnsi="Arial"/>
          <w:sz w:val="17"/>
          <w:szCs w:val="17"/>
          <w:b w:val="1"/>
          <w:bCs w:val="1"/>
          <w:i w:val="1"/>
          <w:iCs w:val="1"/>
          <w:color w:val="auto"/>
        </w:rPr>
        <w:t xml:space="preserve">Custom-made wafer assembly and packaging solutions. </w:t>
      </w:r>
      <w:r>
        <w:rPr>
          <w:rFonts w:ascii="Arial" w:cs="Arial" w:eastAsia="Arial" w:hAnsi="Arial"/>
          <w:sz w:val="17"/>
          <w:szCs w:val="17"/>
          <w:color w:val="auto"/>
        </w:rPr>
        <w:t>In addition to our product offerings for single-wafer cleaning, we leverage our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expertise to provide a wide range of advanced packaging equipment, such as coaters, developers, photoresist strippers, scrubbers, wet etchers and copper-plating tools, to wafer assembly and packaging factories, particularly in the PRC. For these offerings, we focus on providing customized equipment with competitive performance, service and pricing.</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Strategy</w:t>
      </w:r>
    </w:p>
    <w:p>
      <w:pPr>
        <w:spacing w:after="0" w:line="117" w:lineRule="exact"/>
        <w:rPr>
          <w:sz w:val="20"/>
          <w:szCs w:val="20"/>
          <w:color w:val="auto"/>
        </w:rPr>
      </w:pPr>
    </w:p>
    <w:p>
      <w:pPr>
        <w:ind w:left="200" w:right="400" w:firstLine="442"/>
        <w:spacing w:after="0" w:line="287"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58" w:lineRule="exact"/>
        <w:rPr>
          <w:sz w:val="20"/>
          <w:szCs w:val="20"/>
          <w:color w:val="auto"/>
        </w:rPr>
      </w:pPr>
    </w:p>
    <w:p>
      <w:pPr>
        <w:ind w:left="200" w:firstLine="442"/>
        <w:spacing w:after="0" w:line="357" w:lineRule="auto"/>
        <w:rPr>
          <w:sz w:val="20"/>
          <w:szCs w:val="20"/>
          <w:color w:val="auto"/>
        </w:rPr>
      </w:pPr>
      <w:r>
        <w:rPr>
          <w:rFonts w:ascii="Arial" w:cs="Arial" w:eastAsia="Arial" w:hAnsi="Arial"/>
          <w:sz w:val="15"/>
          <w:szCs w:val="15"/>
          <w:i w:val="1"/>
          <w:iCs w:val="1"/>
          <w:color w:val="auto"/>
        </w:rPr>
        <w:t>Extend technology leadership</w:t>
      </w:r>
      <w:r>
        <w:rPr>
          <w:rFonts w:ascii="Arial" w:cs="Arial" w:eastAsia="Arial" w:hAnsi="Arial"/>
          <w:sz w:val="15"/>
          <w:szCs w:val="15"/>
          <w:color w:val="auto"/>
        </w:rPr>
        <w:t>. We intend to build upon our technology leadership in wet processing by continuing to develop and refine our</w:t>
      </w:r>
      <w:r>
        <w:rPr>
          <w:rFonts w:ascii="Arial" w:cs="Arial" w:eastAsia="Arial" w:hAnsi="Arial"/>
          <w:sz w:val="15"/>
          <w:szCs w:val="15"/>
          <w:i w:val="1"/>
          <w:iCs w:val="1"/>
          <w:color w:val="auto"/>
        </w:rPr>
        <w:t xml:space="preserve"> </w:t>
      </w:r>
      <w:r>
        <w:rPr>
          <w:rFonts w:ascii="Arial" w:cs="Arial" w:eastAsia="Arial" w:hAnsi="Arial"/>
          <w:sz w:val="15"/>
          <w:szCs w:val="15"/>
          <w:color w:val="auto"/>
        </w:rPr>
        <w:t>differentiated SAPS and TEBO technologies and equipment to address cleaning challenges presented by the manufacture of increasingly advanced chip nodes.</w:t>
      </w:r>
    </w:p>
    <w:p>
      <w:pPr>
        <w:spacing w:after="0" w:line="113" w:lineRule="exact"/>
        <w:rPr>
          <w:sz w:val="20"/>
          <w:szCs w:val="20"/>
          <w:color w:val="auto"/>
        </w:rPr>
      </w:pPr>
    </w:p>
    <w:p>
      <w:pPr>
        <w:ind w:left="200" w:right="100" w:firstLine="442"/>
        <w:spacing w:after="0" w:line="271" w:lineRule="auto"/>
        <w:rPr>
          <w:sz w:val="20"/>
          <w:szCs w:val="20"/>
          <w:color w:val="auto"/>
        </w:rPr>
      </w:pPr>
      <w:r>
        <w:rPr>
          <w:rFonts w:ascii="Arial" w:cs="Arial" w:eastAsia="Arial" w:hAnsi="Arial"/>
          <w:sz w:val="17"/>
          <w:szCs w:val="17"/>
          <w:i w:val="1"/>
          <w:iCs w:val="1"/>
          <w:color w:val="auto"/>
        </w:rPr>
        <w:t>Establish referenceable customer base</w:t>
      </w:r>
      <w:r>
        <w:rPr>
          <w:rFonts w:ascii="Arial" w:cs="Arial" w:eastAsia="Arial" w:hAnsi="Arial"/>
          <w:sz w:val="17"/>
          <w:szCs w:val="17"/>
          <w:color w:val="auto"/>
        </w:rPr>
        <w:t>. In commercializing our SAPS equipment, we placed evaluation equipment with selected customers,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subsequently purchased additional SAPS equipment to enable them to add more cleaning steps during their manufacturing processes. Using a similar “demo-to-sales” process, we have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240" w:top="448" w:right="4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691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56915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120"/>
        <w:spacing w:after="0" w:line="266" w:lineRule="auto"/>
        <w:rPr>
          <w:sz w:val="20"/>
          <w:szCs w:val="20"/>
          <w:color w:val="auto"/>
        </w:rPr>
      </w:pPr>
      <w:r>
        <w:rPr>
          <w:rFonts w:ascii="Arial" w:cs="Arial" w:eastAsia="Arial" w:hAnsi="Arial"/>
          <w:sz w:val="17"/>
          <w:szCs w:val="17"/>
          <w:color w:val="auto"/>
        </w:rPr>
        <w:t>placed TEBO evaluation equipment with a leading PRC foundry and a leading Taiwanese foundry and we recognized revenue from our initial sale of TEBO equipment in 2016. Based on our market experience, we believe that implementation of our SAPS and TEBO equipment by selected leading memory and logic chip manufacturers will encourage evaluation of our equipment by other manufacturers, who will view the leading companies’ implementation as a validation of our equipment that facilitates a shorter evaluation process.</w:t>
      </w:r>
    </w:p>
    <w:p>
      <w:pPr>
        <w:spacing w:after="0" w:line="176" w:lineRule="exact"/>
        <w:rPr>
          <w:sz w:val="20"/>
          <w:szCs w:val="20"/>
          <w:color w:val="auto"/>
        </w:rPr>
      </w:pPr>
    </w:p>
    <w:p>
      <w:pPr>
        <w:ind w:left="200" w:right="120" w:firstLine="442"/>
        <w:spacing w:after="0" w:line="263" w:lineRule="auto"/>
        <w:rPr>
          <w:sz w:val="20"/>
          <w:szCs w:val="20"/>
          <w:color w:val="auto"/>
        </w:rPr>
      </w:pPr>
      <w:r>
        <w:rPr>
          <w:rFonts w:ascii="Arial" w:cs="Arial" w:eastAsia="Arial" w:hAnsi="Arial"/>
          <w:sz w:val="17"/>
          <w:szCs w:val="17"/>
          <w:i w:val="1"/>
          <w:iCs w:val="1"/>
          <w:color w:val="auto"/>
        </w:rPr>
        <w:t>Leverage local presence to address growing Chinese market</w:t>
      </w:r>
      <w:r>
        <w:rPr>
          <w:rFonts w:ascii="Arial" w:cs="Arial" w:eastAsia="Arial" w:hAnsi="Arial"/>
          <w:sz w:val="17"/>
          <w:szCs w:val="17"/>
          <w:color w:val="auto"/>
        </w:rPr>
        <w:t>. The market for semiconductor manufacturing equipment in the PRC is expected to grow</w:t>
      </w:r>
      <w:r>
        <w:rPr>
          <w:rFonts w:ascii="Arial" w:cs="Arial" w:eastAsia="Arial" w:hAnsi="Arial"/>
          <w:sz w:val="17"/>
          <w:szCs w:val="17"/>
          <w:i w:val="1"/>
          <w:iCs w:val="1"/>
          <w:color w:val="auto"/>
        </w:rPr>
        <w:t xml:space="preserve"> </w:t>
      </w:r>
      <w:r>
        <w:rPr>
          <w:rFonts w:ascii="Arial" w:cs="Arial" w:eastAsia="Arial" w:hAnsi="Arial"/>
          <w:sz w:val="17"/>
          <w:szCs w:val="17"/>
          <w:color w:val="auto"/>
        </w:rPr>
        <w:t>markedly in the upcoming years. Our experience has shown that chip manufacturers in the PRC demand equipment meeting their specific technical requirements and prefer building relationships with local suppliers. We established our operations in Shanghai a decade ago, and we will continue to work closely with chip manufacturers in China and throughout Asia to understand their specific requirements, encourage them to adopt our SAPS and TEBO technologies, and enable us to design innovative products and solutions to address their needs.</w:t>
      </w:r>
    </w:p>
    <w:p>
      <w:pPr>
        <w:spacing w:after="0" w:line="180" w:lineRule="exact"/>
        <w:rPr>
          <w:sz w:val="20"/>
          <w:szCs w:val="20"/>
          <w:color w:val="auto"/>
        </w:rPr>
      </w:pPr>
    </w:p>
    <w:p>
      <w:pPr>
        <w:ind w:left="200" w:right="120" w:firstLine="442"/>
        <w:spacing w:after="0" w:line="266" w:lineRule="auto"/>
        <w:rPr>
          <w:sz w:val="20"/>
          <w:szCs w:val="20"/>
          <w:color w:val="auto"/>
        </w:rPr>
      </w:pPr>
      <w:r>
        <w:rPr>
          <w:rFonts w:ascii="Arial" w:cs="Arial" w:eastAsia="Arial" w:hAnsi="Arial"/>
          <w:sz w:val="17"/>
          <w:szCs w:val="17"/>
          <w:i w:val="1"/>
          <w:iCs w:val="1"/>
          <w:color w:val="auto"/>
        </w:rPr>
        <w:t xml:space="preserve">Continue to improve performance through operational excellence. </w:t>
      </w:r>
      <w:r>
        <w:rPr>
          <w:rFonts w:ascii="Arial" w:cs="Arial" w:eastAsia="Arial" w:hAnsi="Arial"/>
          <w:sz w:val="17"/>
          <w:szCs w:val="17"/>
          <w:color w:val="auto"/>
        </w:rPr>
        <w:t>We actively manage our business through principles of operational excellence</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ensure continuous improvement of our key operational and financial metrics. As we increase the breadth of our product offerings and the size of our operations and customer base, we must continue to develop and implement these principles in order to improve the efficiency and quality of our operations, satisfy our customers’ needs, and meet our financial goals.</w:t>
      </w:r>
    </w:p>
    <w:p>
      <w:pPr>
        <w:spacing w:after="0" w:line="176" w:lineRule="exact"/>
        <w:rPr>
          <w:sz w:val="20"/>
          <w:szCs w:val="20"/>
          <w:color w:val="auto"/>
        </w:rPr>
      </w:pPr>
    </w:p>
    <w:p>
      <w:pPr>
        <w:ind w:left="200" w:right="120" w:firstLine="442"/>
        <w:spacing w:after="0" w:line="271" w:lineRule="auto"/>
        <w:rPr>
          <w:sz w:val="20"/>
          <w:szCs w:val="20"/>
          <w:color w:val="auto"/>
        </w:rPr>
      </w:pPr>
      <w:r>
        <w:rPr>
          <w:rFonts w:ascii="Arial" w:cs="Arial" w:eastAsia="Arial" w:hAnsi="Arial"/>
          <w:sz w:val="17"/>
          <w:szCs w:val="17"/>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products or business relationships that will expand the functionality of our products, provide access to new markets or customers, or otherwise complement our existing operations.</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Acquisition of Outstanding Minority Interests in Our Operating Company</w:t>
      </w:r>
    </w:p>
    <w:p>
      <w:pPr>
        <w:spacing w:after="0" w:line="117" w:lineRule="exact"/>
        <w:rPr>
          <w:sz w:val="20"/>
          <w:szCs w:val="20"/>
          <w:color w:val="auto"/>
        </w:rPr>
      </w:pPr>
    </w:p>
    <w:p>
      <w:pPr>
        <w:ind w:left="200" w:right="160" w:firstLine="442"/>
        <w:spacing w:after="0" w:line="357" w:lineRule="auto"/>
        <w:rPr>
          <w:sz w:val="20"/>
          <w:szCs w:val="20"/>
          <w:color w:val="auto"/>
        </w:rPr>
      </w:pPr>
      <w:r>
        <w:rPr>
          <w:rFonts w:ascii="Arial" w:cs="Arial" w:eastAsia="Arial" w:hAnsi="Arial"/>
          <w:sz w:val="15"/>
          <w:szCs w:val="15"/>
          <w:color w:val="auto"/>
        </w:rPr>
        <w:t>In 2006 we established our operational center in Shanghai in the PRC, where we operate through our subsidiary ACM Shanghai. Until recently ACM Research owned 62.87% of the outstanding equity interests in ACM Shanghai and three PRC-based third-party investors held the remaining 37.13%.</w:t>
      </w:r>
    </w:p>
    <w:p>
      <w:pPr>
        <w:spacing w:after="0" w:line="21" w:lineRule="exact"/>
        <w:rPr>
          <w:sz w:val="20"/>
          <w:szCs w:val="20"/>
          <w:color w:val="auto"/>
        </w:rPr>
      </w:pPr>
    </w:p>
    <w:p>
      <w:pPr>
        <w:ind w:left="1060" w:right="100" w:hanging="320"/>
        <w:spacing w:after="0" w:line="271"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Effective as of August 31, 2017, ACM Research acquired, for a purchase price of $5.8 million, an additional 18.77% of ACM Shanghai’s equity interests from one of the minority investors and issued, for a purchase price of $5.8 million, capital stock that, upon the closing of this offering, will convert into 1,666,170 shares of Class A common stock.</w:t>
      </w:r>
    </w:p>
    <w:p>
      <w:pPr>
        <w:spacing w:after="0" w:line="80" w:lineRule="exact"/>
        <w:rPr>
          <w:rFonts w:ascii="Arial" w:cs="Arial" w:eastAsia="Arial" w:hAnsi="Arial"/>
          <w:sz w:val="17"/>
          <w:szCs w:val="17"/>
          <w:color w:val="auto"/>
        </w:rPr>
      </w:pPr>
    </w:p>
    <w:p>
      <w:pPr>
        <w:ind w:left="1060" w:hanging="320"/>
        <w:spacing w:after="0" w:line="271"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agreements entered into as of August 31, 2017, ACM Research issued to the other two minority investors a total of 1,906,674 shares of Class A common stock on September 8, 2017 for a purchase price of $14.3 million and will acquire the remaining 18.36% of ACM Shanghai’s minority equity interests in the fourth quarter of 2017 for a purchase price of $14.3 million.</w:t>
      </w:r>
    </w:p>
    <w:p>
      <w:pPr>
        <w:spacing w:after="0" w:line="172" w:lineRule="exact"/>
        <w:rPr>
          <w:sz w:val="20"/>
          <w:szCs w:val="20"/>
          <w:color w:val="auto"/>
        </w:rPr>
      </w:pPr>
    </w:p>
    <w:p>
      <w:pPr>
        <w:ind w:left="200" w:right="320"/>
        <w:spacing w:after="0" w:line="287" w:lineRule="auto"/>
        <w:rPr>
          <w:sz w:val="20"/>
          <w:szCs w:val="20"/>
          <w:color w:val="auto"/>
        </w:rPr>
      </w:pPr>
      <w:r>
        <w:rPr>
          <w:rFonts w:ascii="Arial" w:cs="Arial" w:eastAsia="Arial" w:hAnsi="Arial"/>
          <w:sz w:val="17"/>
          <w:szCs w:val="17"/>
          <w:color w:val="auto"/>
        </w:rPr>
        <w:t>As a result of these arrangements, ACM Research owned 81.64% of ACM Shanghai’s equity interests as of August 31, 2017 and will own 100% of those equity interests by no later than December 31, 2017.</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117" w:lineRule="exact"/>
        <w:rPr>
          <w:sz w:val="20"/>
          <w:szCs w:val="20"/>
          <w:color w:val="auto"/>
        </w:rPr>
      </w:pPr>
    </w:p>
    <w:p>
      <w:pPr>
        <w:jc w:val="both"/>
        <w:ind w:left="200" w:right="280" w:firstLine="442"/>
        <w:spacing w:after="0" w:line="271" w:lineRule="auto"/>
        <w:rPr>
          <w:sz w:val="20"/>
          <w:szCs w:val="20"/>
          <w:color w:val="auto"/>
        </w:rPr>
      </w:pPr>
      <w:r>
        <w:rPr>
          <w:rFonts w:ascii="Arial" w:cs="Arial" w:eastAsia="Arial" w:hAnsi="Arial"/>
          <w:sz w:val="17"/>
          <w:szCs w:val="17"/>
          <w:color w:val="auto"/>
        </w:rPr>
        <w:t>Our business is subject to a number of risks, including risks that may prevent us from achieving our business objectives or may adversely affect our business, financial condition, results of operations, cash flows or prospects. These risks are discussed more fully in “Risk Factors” beginning on page 12. Before making 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448" w:right="4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459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545973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decision to invest in Class A common stock, you should carefully consider all of those risks, including the following:</w:t>
      </w:r>
    </w:p>
    <w:p>
      <w:pPr>
        <w:spacing w:after="0" w:line="130" w:lineRule="exact"/>
        <w:rPr>
          <w:sz w:val="20"/>
          <w:szCs w:val="20"/>
          <w:color w:val="auto"/>
        </w:rPr>
      </w:pPr>
    </w:p>
    <w:p>
      <w:pPr>
        <w:ind w:left="1060" w:right="760" w:hanging="438"/>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and have generated limited revenue to date, and we may not be able to maintain profitability.</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Demand for our tools is subject to substantial variation due to the cyclic nature of the chip industry.</w:t>
      </w:r>
    </w:p>
    <w:p>
      <w:pPr>
        <w:spacing w:after="0" w:line="130" w:lineRule="exact"/>
        <w:rPr>
          <w:rFonts w:ascii="Arial" w:cs="Arial" w:eastAsia="Arial" w:hAnsi="Arial"/>
          <w:sz w:val="17"/>
          <w:szCs w:val="17"/>
          <w:color w:val="auto"/>
        </w:rPr>
      </w:pPr>
    </w:p>
    <w:p>
      <w:pPr>
        <w:ind w:left="1060" w:right="220" w:hanging="438"/>
        <w:spacing w:after="0" w:line="271"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commercial success of our tools requires that we demonstrate the differentiated, innovative nature of our technology to gain acceptance by leading chip manufacturers and then leverage our reputation to gain market acceptance by additional manufacturers, which may have existing relationships with our competitors.</w:t>
      </w:r>
    </w:p>
    <w:p>
      <w:pPr>
        <w:spacing w:after="0" w:line="80" w:lineRule="exact"/>
        <w:rPr>
          <w:rFonts w:ascii="Arial" w:cs="Arial" w:eastAsia="Arial" w:hAnsi="Arial"/>
          <w:sz w:val="17"/>
          <w:szCs w:val="17"/>
          <w:color w:val="auto"/>
        </w:rPr>
      </w:pPr>
    </w:p>
    <w:p>
      <w:pPr>
        <w:ind w:left="1060" w:right="120" w:hanging="438"/>
        <w:spacing w:after="0" w:line="320"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chip equipment industry is highly competitive, and many of our competitors are larger and better-established than we are, have significantly greater operating and financial resources than we have, and may have existing relationships with our potential customers.</w:t>
      </w:r>
    </w:p>
    <w:p>
      <w:pPr>
        <w:spacing w:after="0" w:line="43" w:lineRule="exact"/>
        <w:rPr>
          <w:rFonts w:ascii="Arial" w:cs="Arial" w:eastAsia="Arial" w:hAnsi="Arial"/>
          <w:sz w:val="16"/>
          <w:szCs w:val="16"/>
          <w:color w:val="auto"/>
        </w:rPr>
      </w:pPr>
    </w:p>
    <w:p>
      <w:pPr>
        <w:ind w:left="1060" w:right="360" w:hanging="438"/>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depend on a small number of customers for a significant percentage of our revenue and the number of potential customers for our tools is limited, so the loss of a major customer could harm our financial condition.</w:t>
      </w:r>
    </w:p>
    <w:p>
      <w:pPr>
        <w:spacing w:after="0" w:line="66" w:lineRule="exact"/>
        <w:rPr>
          <w:rFonts w:ascii="Arial" w:cs="Arial" w:eastAsia="Arial" w:hAnsi="Arial"/>
          <w:sz w:val="17"/>
          <w:szCs w:val="17"/>
          <w:color w:val="auto"/>
        </w:rPr>
      </w:pPr>
    </w:p>
    <w:p>
      <w:pPr>
        <w:ind w:left="1060" w:right="340" w:hanging="438"/>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on our ability to protect the intellectual property of our SAPS and TEBO technologies and to combat infringement from competitors who may try to replicate our technologies.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Preliminary Operating Results for the Nine Months Ended September 30, 2017</w:t>
      </w:r>
    </w:p>
    <w:p>
      <w:pPr>
        <w:spacing w:after="0" w:line="117" w:lineRule="exact"/>
        <w:rPr>
          <w:sz w:val="20"/>
          <w:szCs w:val="20"/>
          <w:color w:val="auto"/>
        </w:rPr>
      </w:pPr>
    </w:p>
    <w:p>
      <w:pPr>
        <w:ind w:left="200" w:right="60" w:firstLine="442"/>
        <w:spacing w:after="0" w:line="266" w:lineRule="auto"/>
        <w:rPr>
          <w:sz w:val="20"/>
          <w:szCs w:val="20"/>
          <w:color w:val="auto"/>
        </w:rPr>
      </w:pPr>
      <w:r>
        <w:rPr>
          <w:rFonts w:ascii="Arial" w:cs="Arial" w:eastAsia="Arial" w:hAnsi="Arial"/>
          <w:sz w:val="17"/>
          <w:szCs w:val="17"/>
          <w:color w:val="auto"/>
        </w:rPr>
        <w:t>Our consolidated financial statements for the nine months ended September 30, 2017 are not yet available. The following expectations regarding our results for this period are solely management estimates based on currently available information. Our independent registered public accounting firm has not audited, reviewed or performed any procedures with respect to this preliminary financial data and, accordingly, does not express an opinion or any other form of assurance with respect to this data.</w:t>
      </w:r>
    </w:p>
    <w:p>
      <w:pPr>
        <w:spacing w:after="0" w:line="176" w:lineRule="exact"/>
        <w:rPr>
          <w:sz w:val="20"/>
          <w:szCs w:val="20"/>
          <w:color w:val="auto"/>
        </w:rPr>
      </w:pPr>
    </w:p>
    <w:p>
      <w:pPr>
        <w:jc w:val="both"/>
        <w:ind w:left="200" w:firstLine="442"/>
        <w:spacing w:after="0" w:line="271" w:lineRule="auto"/>
        <w:rPr>
          <w:sz w:val="20"/>
          <w:szCs w:val="20"/>
          <w:color w:val="auto"/>
        </w:rPr>
      </w:pPr>
      <w:r>
        <w:rPr>
          <w:rFonts w:ascii="Arial" w:cs="Arial" w:eastAsia="Arial" w:hAnsi="Arial"/>
          <w:sz w:val="17"/>
          <w:szCs w:val="17"/>
          <w:color w:val="auto"/>
        </w:rPr>
        <w:t>We expect our revenue for the nine months ended September 30, 2017 to be between $19.0 million and $19.5 million, compared to $12.9 million for the nine months ended September 30, 2016, representing an increase of 47% to 51%. The expected increase in revenue of $6.1 million to $6.6 million in the nine months ended September 30, 2017 principally reflects increased sales of single-wafer cleaning equipment.</w:t>
      </w:r>
    </w:p>
    <w:p>
      <w:pPr>
        <w:spacing w:after="0" w:line="172" w:lineRule="exact"/>
        <w:rPr>
          <w:sz w:val="20"/>
          <w:szCs w:val="20"/>
          <w:color w:val="auto"/>
        </w:rPr>
      </w:pPr>
    </w:p>
    <w:p>
      <w:pPr>
        <w:jc w:val="both"/>
        <w:ind w:left="200" w:right="240" w:firstLine="442"/>
        <w:spacing w:after="0" w:line="323" w:lineRule="auto"/>
        <w:rPr>
          <w:sz w:val="20"/>
          <w:szCs w:val="20"/>
          <w:color w:val="auto"/>
        </w:rPr>
      </w:pPr>
      <w:r>
        <w:rPr>
          <w:rFonts w:ascii="Arial" w:cs="Arial" w:eastAsia="Arial" w:hAnsi="Arial"/>
          <w:sz w:val="15"/>
          <w:szCs w:val="15"/>
          <w:color w:val="auto"/>
        </w:rPr>
        <w:t>We expect our gross margin for the nine months ended September 30, 2017 to be 40% to 41%, compared to 40.6% for the six months ended June 30, 2017 and 43.7% for the nine months ended September 30, 2016. The decrease in gross margin from the nine months ended September 30, 2016 to the nine months ended September 30, 2017 resulted from sales of relatively higher-margin single-wafer cleaning equipment in the third quarter of 2016.</w:t>
      </w:r>
    </w:p>
    <w:p>
      <w:pPr>
        <w:spacing w:after="0" w:line="138" w:lineRule="exact"/>
        <w:rPr>
          <w:sz w:val="20"/>
          <w:szCs w:val="20"/>
          <w:color w:val="auto"/>
        </w:rPr>
      </w:pPr>
    </w:p>
    <w:p>
      <w:pPr>
        <w:ind w:left="200" w:right="20" w:firstLine="442"/>
        <w:spacing w:after="0" w:line="296" w:lineRule="auto"/>
        <w:rPr>
          <w:sz w:val="20"/>
          <w:szCs w:val="20"/>
          <w:color w:val="auto"/>
        </w:rPr>
      </w:pPr>
      <w:r>
        <w:rPr>
          <w:rFonts w:ascii="Arial" w:cs="Arial" w:eastAsia="Arial" w:hAnsi="Arial"/>
          <w:sz w:val="16"/>
          <w:szCs w:val="16"/>
          <w:color w:val="auto"/>
        </w:rPr>
        <w:t>We expect our total operating expenses for the nine months ended September 30, 2017 to be between $11.0 million and $12.0 million, compared to $6.4 million for the nine months ended September 30, 2016. The expected increase in total operating expenses reflects increases in employee salaries, sales services, research and development parts, stock-based compensation expense, and preparations to become a public company.</w:t>
      </w:r>
    </w:p>
    <w:p>
      <w:pPr>
        <w:spacing w:after="0" w:line="154" w:lineRule="exact"/>
        <w:rPr>
          <w:sz w:val="20"/>
          <w:szCs w:val="20"/>
          <w:color w:val="auto"/>
        </w:rPr>
      </w:pPr>
    </w:p>
    <w:p>
      <w:pPr>
        <w:ind w:left="200" w:right="460" w:firstLine="442"/>
        <w:spacing w:after="0" w:line="287" w:lineRule="auto"/>
        <w:rPr>
          <w:sz w:val="20"/>
          <w:szCs w:val="20"/>
          <w:color w:val="auto"/>
        </w:rPr>
      </w:pPr>
      <w:r>
        <w:rPr>
          <w:rFonts w:ascii="Arial" w:cs="Arial" w:eastAsia="Arial" w:hAnsi="Arial"/>
          <w:sz w:val="17"/>
          <w:szCs w:val="17"/>
          <w:color w:val="auto"/>
        </w:rPr>
        <w:t>We estimate that we incurred a loss before income taxes of between $4.0 million and $5.0 million for the nine months ended September 30, 2017, compared to a loss before income taxes of $0.4 million for the nine months ended September 30, 2016.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240" w:top="448" w:right="4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4052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40525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Corporate Information</w:t>
      </w:r>
    </w:p>
    <w:p>
      <w:pPr>
        <w:spacing w:after="0" w:line="117" w:lineRule="exact"/>
        <w:rPr>
          <w:sz w:val="20"/>
          <w:szCs w:val="20"/>
          <w:color w:val="auto"/>
        </w:rPr>
      </w:pPr>
    </w:p>
    <w:p>
      <w:pPr>
        <w:ind w:left="200" w:right="420" w:firstLine="442"/>
        <w:spacing w:after="0" w:line="266" w:lineRule="auto"/>
        <w:rPr>
          <w:sz w:val="20"/>
          <w:szCs w:val="20"/>
          <w:color w:val="auto"/>
        </w:rPr>
      </w:pPr>
      <w:r>
        <w:rPr>
          <w:rFonts w:ascii="Arial" w:cs="Arial" w:eastAsia="Arial" w:hAnsi="Arial"/>
          <w:sz w:val="17"/>
          <w:szCs w:val="17"/>
          <w:color w:val="auto"/>
        </w:rPr>
        <w:t xml:space="preserve">We incorporated in California in January 1998 and redomesticated in Delaware in November 2016. Our headquarters are located at 42307 Osgood Road, Suite I, Fremont, California 94539, where our telephone number is (510) 445-3700. Our website address is </w:t>
      </w:r>
      <w:r>
        <w:rPr>
          <w:rFonts w:ascii="Arial" w:cs="Arial" w:eastAsia="Arial" w:hAnsi="Arial"/>
          <w:sz w:val="17"/>
          <w:szCs w:val="17"/>
          <w:i w:val="1"/>
          <w:iCs w:val="1"/>
          <w:color w:val="auto"/>
        </w:rPr>
        <w:t>www.acmrcsh.com</w:t>
      </w:r>
      <w:r>
        <w:rPr>
          <w:rFonts w:ascii="Arial" w:cs="Arial" w:eastAsia="Arial" w:hAnsi="Arial"/>
          <w:sz w:val="17"/>
          <w:szCs w:val="17"/>
          <w:color w:val="auto"/>
        </w:rPr>
        <w:t>. The information contained in, or accessible through, our website is not part of, and is not incorporated into, this prospectus, and investors should not rely on any such information in deciding whether to invest in Class A common stock.</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Implications of Being an Emerging Growth Company</w:t>
      </w:r>
    </w:p>
    <w:p>
      <w:pPr>
        <w:spacing w:after="0" w:line="117" w:lineRule="exact"/>
        <w:rPr>
          <w:sz w:val="20"/>
          <w:szCs w:val="20"/>
          <w:color w:val="auto"/>
        </w:rPr>
      </w:pPr>
    </w:p>
    <w:p>
      <w:pPr>
        <w:ind w:left="200" w:right="280" w:firstLine="442"/>
        <w:spacing w:after="0" w:line="271"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An emerging growth company may take advantage of provisions that reduce its reporting and other obligations from those otherwise generally applicable to public companies. An emerging growth company may, among other things, elect to:</w:t>
      </w:r>
    </w:p>
    <w:p>
      <w:pPr>
        <w:spacing w:after="0" w:line="81" w:lineRule="exact"/>
        <w:rPr>
          <w:sz w:val="20"/>
          <w:szCs w:val="20"/>
          <w:color w:val="auto"/>
        </w:rPr>
      </w:pPr>
    </w:p>
    <w:p>
      <w:pPr>
        <w:ind w:left="1060" w:right="660" w:hanging="438"/>
        <w:spacing w:after="0" w:line="287"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present only two years of audited financial statements and related disclosure under “Management’s Discussion and Analysis of Financial Condition and Results of Operations”;</w:t>
      </w:r>
    </w:p>
    <w:p>
      <w:pPr>
        <w:spacing w:after="0" w:line="66" w:lineRule="exact"/>
        <w:rPr>
          <w:rFonts w:ascii="Arial" w:cs="Arial" w:eastAsia="Arial" w:hAnsi="Arial"/>
          <w:sz w:val="17"/>
          <w:szCs w:val="17"/>
          <w:color w:val="auto"/>
        </w:rPr>
      </w:pPr>
    </w:p>
    <w:p>
      <w:pPr>
        <w:ind w:left="1060" w:right="60" w:hanging="438"/>
        <w:spacing w:after="0" w:line="287"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obtain from its auditors an attestation and report on the assessment of internal control over financial reporting pursuant to the Sarbanes-Oxley Act;</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provide less extensive disclosure about its executive compensation arrangements; and</w:t>
      </w:r>
    </w:p>
    <w:p>
      <w:pPr>
        <w:spacing w:after="0" w:line="130" w:lineRule="exact"/>
        <w:rPr>
          <w:rFonts w:ascii="Arial" w:cs="Arial" w:eastAsia="Arial" w:hAnsi="Arial"/>
          <w:sz w:val="17"/>
          <w:szCs w:val="17"/>
          <w:color w:val="auto"/>
        </w:rPr>
      </w:pPr>
    </w:p>
    <w:p>
      <w:pPr>
        <w:ind w:left="1060" w:hanging="438"/>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present to its stockholders non-binding advisory votes on executive compensation and golden parachute arrangements.</w:t>
      </w:r>
    </w:p>
    <w:p>
      <w:pPr>
        <w:spacing w:after="0" w:line="222" w:lineRule="exact"/>
        <w:rPr>
          <w:sz w:val="20"/>
          <w:szCs w:val="20"/>
          <w:color w:val="auto"/>
        </w:rPr>
      </w:pPr>
    </w:p>
    <w:p>
      <w:pPr>
        <w:ind w:left="200" w:firstLine="442"/>
        <w:spacing w:after="0" w:line="280" w:lineRule="auto"/>
        <w:rPr>
          <w:sz w:val="20"/>
          <w:szCs w:val="20"/>
          <w:color w:val="auto"/>
        </w:rPr>
      </w:pPr>
      <w:r>
        <w:rPr>
          <w:rFonts w:ascii="Arial" w:cs="Arial" w:eastAsia="Arial" w:hAnsi="Arial"/>
          <w:sz w:val="16"/>
          <w:szCs w:val="16"/>
          <w:color w:val="auto"/>
        </w:rPr>
        <w:t>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For example, Section 107 of the JOBS Act provides that an emerging growth company can use the extended transition period provided in Section 7(a)(2)(B) of the Securities Act of 1933 for complying with new or revised accounting standards. We have, however, irrevocably elected not to avail ourselves of the extended transition period for complying with new or revised accounting standards, and we therefore will be subject to the same new or revised accounting standards as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240" w:top="448" w:right="43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55510" cy="5939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5939790"/>
                    </a:xfrm>
                    <a:prstGeom prst="rect">
                      <a:avLst/>
                    </a:prstGeom>
                    <a:noFill/>
                  </pic:spPr>
                </pic:pic>
              </a:graphicData>
            </a:graphic>
          </wp:anchor>
        </w:drawing>
      </w:r>
    </w:p>
    <w:p>
      <w:pPr>
        <w:sectPr>
          <w:pgSz w:w="11900" w:h="16838" w:orient="portrait"/>
          <w:cols w:equalWidth="0" w:num="1">
            <w:col w:w="11220"/>
          </w:cols>
          <w:pgMar w:left="240" w:top="448" w:right="4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Offering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A common stock offered by us</w:t>
      </w:r>
    </w:p>
    <w:p>
      <w:pPr>
        <w:spacing w:after="0" w:line="261" w:lineRule="exact"/>
        <w:rPr>
          <w:sz w:val="20"/>
          <w:szCs w:val="20"/>
          <w:color w:val="auto"/>
        </w:rPr>
      </w:pPr>
    </w:p>
    <w:p>
      <w:pPr>
        <w:ind w:left="300" w:right="120" w:hanging="103"/>
        <w:spacing w:after="0" w:line="287" w:lineRule="auto"/>
        <w:rPr>
          <w:sz w:val="20"/>
          <w:szCs w:val="20"/>
          <w:color w:val="auto"/>
        </w:rPr>
      </w:pPr>
      <w:r>
        <w:rPr>
          <w:rFonts w:ascii="Arial" w:cs="Arial" w:eastAsia="Arial" w:hAnsi="Arial"/>
          <w:sz w:val="17"/>
          <w:szCs w:val="17"/>
          <w:color w:val="auto"/>
        </w:rPr>
        <w:t>Class A common stock to be outstanding after this offering and the concurrent private placement</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B common stock outstanding</w:t>
      </w:r>
    </w:p>
    <w:p>
      <w:pPr>
        <w:spacing w:after="0" w:line="261" w:lineRule="exact"/>
        <w:rPr>
          <w:sz w:val="20"/>
          <w:szCs w:val="20"/>
          <w:color w:val="auto"/>
        </w:rPr>
      </w:pPr>
    </w:p>
    <w:p>
      <w:pPr>
        <w:ind w:left="300" w:hanging="103"/>
        <w:spacing w:after="0" w:line="287" w:lineRule="auto"/>
        <w:rPr>
          <w:sz w:val="20"/>
          <w:szCs w:val="20"/>
          <w:color w:val="auto"/>
        </w:rPr>
      </w:pPr>
      <w:r>
        <w:rPr>
          <w:rFonts w:ascii="Arial" w:cs="Arial" w:eastAsia="Arial" w:hAnsi="Arial"/>
          <w:sz w:val="17"/>
          <w:szCs w:val="17"/>
          <w:color w:val="auto"/>
        </w:rPr>
        <w:t>Total Class A and Class B common stock to be outstanding after this offering and the concurrent private placement</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Over-allotment option of Class A common stock</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2,000,000 shares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12,702,546 shares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2,409,738 shares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15,112,184 shares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300,000 shares</w:t>
      </w:r>
    </w:p>
    <w:p>
      <w:pPr>
        <w:spacing w:after="0" w:line="26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have entered into agreements pursuant to which we expect to issue and sell, in a concurrent private placement, 833,334 shares of Class A common stock to Xinxin (Hongkong) Capital Co., Limited, a subsidiary of China IC Industry Investment Fund, and 500,000 shares of Class A common stock to Victorious Way Limited, a subsidiary of China Everbright Limited. These shares would be sold at a price of $5.60 per share.</w:t>
      </w:r>
    </w:p>
    <w:p>
      <w:pPr>
        <w:spacing w:after="0" w:line="20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private placement investors have agreed with us not to, directly or indirectly, sell, transfer or dispose of any shares of Class A common stock acquired in the private placement for a period of 180 days after the closing of the private placement.</w:t>
      </w:r>
    </w:p>
    <w:p>
      <w:pPr>
        <w:spacing w:after="0" w:line="20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Xinxin (Hongkong) Capital Co., Limited will have the right to designate one individual for nomination to our board of directors, and holders who will have 51.2% of the voting power of common stock immediately after this offering have agreed to vote their shares for the election of the nominee.</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estimate we will receive net proceeds from this offering and the concurrent private placement of $15.3 million, after deducting underwriting discounts and commissions, private placement fees, and estimated offering expenses. If the underwriters’ option to purchase additional shares is exercised in full, we estimate our net proceeds will be $16.8 million.</w:t>
      </w:r>
    </w:p>
    <w:p>
      <w:pPr>
        <w:spacing w:after="0" w:line="206"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We intend to use our net proceeds from this offering and the concurrent private placement for working capital and other general corporate purposes, which may include financing our growth, developing new products, and acquiring complementary businesses, technologies and products. See “Use of Proceeds.”</w:t>
      </w:r>
    </w:p>
    <w:p>
      <w:pPr>
        <w:spacing w:after="0" w:line="200" w:lineRule="exact"/>
        <w:rPr>
          <w:sz w:val="20"/>
          <w:szCs w:val="20"/>
          <w:color w:val="auto"/>
        </w:rPr>
      </w:pPr>
    </w:p>
    <w:p>
      <w:pPr>
        <w:sectPr>
          <w:pgSz w:w="11900" w:h="16838" w:orient="portrait"/>
          <w:cols w:equalWidth="0" w:num="2">
            <w:col w:w="4960" w:space="520"/>
            <w:col w:w="5740"/>
          </w:cols>
          <w:pgMar w:left="240" w:top="448" w:right="4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20"/>
          </w:cols>
          <w:pgMar w:left="240" w:top="448" w:right="439" w:bottom="1440" w:gutter="0" w:footer="0" w:header="0"/>
          <w:type w:val="continuous"/>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55510" cy="5236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5236210"/>
                    </a:xfrm>
                    <a:prstGeom prst="rect">
                      <a:avLst/>
                    </a:prstGeom>
                    <a:noFill/>
                  </pic:spPr>
                </pic:pic>
              </a:graphicData>
            </a:graphic>
          </wp:anchor>
        </w:drawing>
      </w:r>
    </w:p>
    <w:p>
      <w:pPr>
        <w:sectPr>
          <w:pgSz w:w="11900" w:h="16838" w:orient="portrait"/>
          <w:cols w:equalWidth="0" w:num="1">
            <w:col w:w="11200"/>
          </w:cols>
          <w:pgMar w:left="240" w:top="448" w:right="4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Nasdaq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ACMR</w:t>
      </w:r>
    </w:p>
    <w:p>
      <w:pPr>
        <w:spacing w:after="0" w:line="200" w:lineRule="exact"/>
        <w:rPr>
          <w:sz w:val="20"/>
          <w:szCs w:val="20"/>
          <w:color w:val="auto"/>
        </w:rPr>
      </w:pPr>
    </w:p>
    <w:p>
      <w:pPr>
        <w:sectPr>
          <w:pgSz w:w="11900" w:h="16838" w:orient="portrait"/>
          <w:cols w:equalWidth="0" w:num="2">
            <w:col w:w="4760" w:space="720"/>
            <w:col w:w="5720"/>
          </w:cols>
          <w:pgMar w:left="240" w:top="448" w:right="459" w:bottom="1440" w:gutter="0" w:footer="0" w:header="0"/>
          <w:type w:val="continuous"/>
        </w:sectPr>
      </w:pP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Holders of Class A common stock and Class B common stock will generally vote together as a single class, unless otherwise required by law. Class A common stock is entitled to one vote per share, and Class B common stock is entitled to twenty votes per share. After this offering, our executive officers and directors, some of whom hold Class B common stock, will control 65.2% of the voting power of our outstanding capital stock and therefore may be able to control the outcome of matters submitted to stockholders, including the election of directors. See “Principal Stockholders” and “Description of Capital Stock.”</w:t>
      </w:r>
    </w:p>
    <w:p>
      <w:pPr>
        <w:spacing w:after="0" w:line="172" w:lineRule="exact"/>
        <w:rPr>
          <w:sz w:val="20"/>
          <w:szCs w:val="20"/>
          <w:color w:val="auto"/>
        </w:rPr>
      </w:pPr>
    </w:p>
    <w:p>
      <w:pPr>
        <w:sectPr>
          <w:pgSz w:w="11900" w:h="16838" w:orient="portrait"/>
          <w:cols w:equalWidth="0" w:num="2">
            <w:col w:w="4760" w:space="720"/>
            <w:col w:w="5720"/>
          </w:cols>
          <w:pgMar w:left="240" w:top="448" w:right="459" w:bottom="1440" w:gutter="0" w:footer="0" w:header="0"/>
          <w:type w:val="continuous"/>
        </w:sectPr>
      </w:pPr>
    </w:p>
    <w:p>
      <w:pPr>
        <w:ind w:left="200" w:right="120" w:firstLine="442"/>
        <w:spacing w:after="0" w:line="271" w:lineRule="auto"/>
        <w:rPr>
          <w:sz w:val="20"/>
          <w:szCs w:val="20"/>
          <w:color w:val="auto"/>
        </w:rPr>
      </w:pPr>
      <w:r>
        <w:rPr>
          <w:rFonts w:ascii="Arial" w:cs="Arial" w:eastAsia="Arial" w:hAnsi="Arial"/>
          <w:sz w:val="17"/>
          <w:szCs w:val="17"/>
          <w:color w:val="auto"/>
        </w:rPr>
        <w:t>The numbers of shares of Class A and Class B common stock to be outstanding following this offering and the concurrent private placement are based on 9,369,212 shares of Class A common stock and 2,409,738 shares of Class B common stock outstanding as of November 2, 2017, and exclude the following:</w:t>
      </w:r>
    </w:p>
    <w:p>
      <w:pPr>
        <w:spacing w:after="0" w:line="81" w:lineRule="exact"/>
        <w:rPr>
          <w:sz w:val="20"/>
          <w:szCs w:val="20"/>
          <w:color w:val="auto"/>
        </w:rPr>
      </w:pPr>
    </w:p>
    <w:p>
      <w:pPr>
        <w:jc w:val="both"/>
        <w:ind w:left="1060" w:right="420" w:hanging="438"/>
        <w:spacing w:after="0" w:line="271"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the exercise of an outstanding warrant, with an exercise price of $7.50 per share, as described under “Management’s Discussion and Analysis of Financial Condition and Results of Operations—Recent Equity Transactions— Issuance of Warrants”;</w:t>
      </w:r>
    </w:p>
    <w:p>
      <w:pPr>
        <w:spacing w:after="0" w:line="80" w:lineRule="exact"/>
        <w:rPr>
          <w:rFonts w:ascii="Arial" w:cs="Arial" w:eastAsia="Arial" w:hAnsi="Arial"/>
          <w:sz w:val="17"/>
          <w:szCs w:val="17"/>
          <w:color w:val="auto"/>
        </w:rPr>
      </w:pPr>
    </w:p>
    <w:p>
      <w:pPr>
        <w:ind w:left="1060" w:hanging="438"/>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3,396,076 shares of Class A common stock issuable upon the exercise of outstanding options, with a weighted-average exercise price of $2.50 per share; and</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585,381 shares of Class A common stock reserved for future issuance under our equity incentive plan.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30" w:lineRule="exact"/>
        <w:rPr>
          <w:sz w:val="20"/>
          <w:szCs w:val="20"/>
          <w:color w:val="auto"/>
        </w:rPr>
      </w:pPr>
    </w:p>
    <w:p>
      <w:pPr>
        <w:ind w:left="1060" w:right="60" w:hanging="438"/>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issuance of 1,333,334 shares of Class A common stock in the concurrent private placement, which is to be completed immediately following, and subject to, the closing of the offering made hereby;</w:t>
      </w:r>
    </w:p>
    <w:p>
      <w:pPr>
        <w:spacing w:after="0" w:line="66" w:lineRule="exact"/>
        <w:rPr>
          <w:rFonts w:ascii="Arial" w:cs="Arial" w:eastAsia="Arial" w:hAnsi="Arial"/>
          <w:sz w:val="17"/>
          <w:szCs w:val="17"/>
          <w:color w:val="auto"/>
        </w:rPr>
      </w:pPr>
    </w:p>
    <w:p>
      <w:pPr>
        <w:ind w:left="1060" w:right="20" w:hanging="438"/>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effective immediately prior to the completion of this offering, the automatic conversion of all of our outstanding preferred stock into an aggregate of 4,627,577 shares of Class A common stock and the restatement of our charter and bylaws;</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1-for-3 reverse split of Class A and Class B common stock effective as of September 13, 2017;</w:t>
      </w:r>
    </w:p>
    <w:p>
      <w:pPr>
        <w:spacing w:after="0" w:line="130" w:lineRule="exact"/>
        <w:rPr>
          <w:rFonts w:ascii="Arial" w:cs="Arial" w:eastAsia="Arial" w:hAnsi="Arial"/>
          <w:sz w:val="17"/>
          <w:szCs w:val="17"/>
          <w:color w:val="auto"/>
        </w:rPr>
      </w:pPr>
    </w:p>
    <w:p>
      <w:pPr>
        <w:ind w:left="1060" w:hanging="438"/>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exercises of outstanding stock options; and</w:t>
      </w:r>
    </w:p>
    <w:p>
      <w:pPr>
        <w:spacing w:after="0" w:line="130" w:lineRule="exact"/>
        <w:rPr>
          <w:rFonts w:ascii="Arial" w:cs="Arial" w:eastAsia="Arial" w:hAnsi="Arial"/>
          <w:sz w:val="17"/>
          <w:szCs w:val="17"/>
          <w:color w:val="auto"/>
        </w:rPr>
      </w:pPr>
    </w:p>
    <w:p>
      <w:pPr>
        <w:ind w:left="1060" w:hanging="438"/>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exercise of the underwriters’ over-allotment option.</w:t>
      </w:r>
    </w:p>
    <w:p>
      <w:pPr>
        <w:spacing w:after="0" w:line="222" w:lineRule="exact"/>
        <w:rPr>
          <w:sz w:val="20"/>
          <w:szCs w:val="20"/>
          <w:color w:val="auto"/>
        </w:rPr>
      </w:pPr>
    </w:p>
    <w:p>
      <w:pPr>
        <w:ind w:left="200" w:firstLine="442"/>
        <w:spacing w:after="0" w:line="320" w:lineRule="auto"/>
        <w:rPr>
          <w:sz w:val="20"/>
          <w:szCs w:val="20"/>
          <w:color w:val="auto"/>
        </w:rPr>
      </w:pPr>
      <w:r>
        <w:rPr>
          <w:rFonts w:ascii="Arial" w:cs="Arial" w:eastAsia="Arial" w:hAnsi="Arial"/>
          <w:sz w:val="16"/>
          <w:szCs w:val="16"/>
          <w:color w:val="auto"/>
        </w:rPr>
        <w:t>The information in this prospectus does not reflect our issuance to the underwriters of a warrant exercisable for 80,000 shares of Class A common stock at a price per share equal to $6.16, as described in “Underwriting—Discounts, Commissions and Expenses” beginning on page 141.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00"/>
          </w:cols>
          <w:pgMar w:left="240" w:top="448" w:right="45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426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54260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Summary Consolidated Financial Information</w:t>
      </w:r>
    </w:p>
    <w:p>
      <w:pPr>
        <w:spacing w:after="0" w:line="123" w:lineRule="exact"/>
        <w:rPr>
          <w:sz w:val="20"/>
          <w:szCs w:val="20"/>
          <w:color w:val="auto"/>
        </w:rPr>
      </w:pPr>
    </w:p>
    <w:p>
      <w:pPr>
        <w:ind w:left="200" w:firstLine="442"/>
        <w:spacing w:after="0" w:line="271" w:lineRule="auto"/>
        <w:rPr>
          <w:sz w:val="20"/>
          <w:szCs w:val="20"/>
          <w:color w:val="auto"/>
        </w:rPr>
      </w:pPr>
      <w:r>
        <w:rPr>
          <w:rFonts w:ascii="Arial" w:cs="Arial" w:eastAsia="Arial" w:hAnsi="Arial"/>
          <w:sz w:val="17"/>
          <w:szCs w:val="17"/>
          <w:color w:val="auto"/>
        </w:rPr>
        <w:t>The following tables summarize our consolidated financial data. You should read the following data in conjunction with “Selected Consolidated Financial Information,” “Management’s Discussion and Analysis of Financial Condition and Results of Operations,” and our consolidated financial statements and related notes included at the end of this prospectus.</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19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Six Months Ended June 30,</w:t>
            </w:r>
          </w:p>
        </w:tc>
        <w:tc>
          <w:tcPr>
            <w:tcW w:w="80" w:type="dxa"/>
            <w:vAlign w:val="bottom"/>
          </w:tcPr>
          <w:p>
            <w:pPr>
              <w:spacing w:after="0"/>
              <w:rPr>
                <w:sz w:val="14"/>
                <w:szCs w:val="14"/>
                <w:color w:val="auto"/>
              </w:rPr>
            </w:pPr>
          </w:p>
        </w:tc>
        <w:tc>
          <w:tcPr>
            <w:tcW w:w="17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36"/>
        </w:trPr>
        <w:tc>
          <w:tcPr>
            <w:tcW w:w="73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8"/>
              <w:spacing w:after="0" w:line="137"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9"/>
              <w:spacing w:after="0" w:line="137"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8"/>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10"/>
          </w:tcPr>
          <w:p>
            <w:pPr>
              <w:jc w:val="right"/>
              <w:ind w:right="398"/>
              <w:spacing w:after="0" w:line="137" w:lineRule="exact"/>
              <w:rPr>
                <w:sz w:val="20"/>
                <w:szCs w:val="20"/>
                <w:color w:val="auto"/>
              </w:rPr>
            </w:pPr>
            <w:r>
              <w:rPr>
                <w:rFonts w:ascii="Arial" w:cs="Arial" w:eastAsia="Arial" w:hAnsi="Arial"/>
                <w:sz w:val="14"/>
                <w:szCs w:val="14"/>
                <w:i w:val="1"/>
                <w:iCs w:val="1"/>
                <w:color w:val="auto"/>
              </w:rPr>
              <w:t>(in thousands, except share and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 Data:</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14,423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8,122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27,371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8,570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5,292</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14,042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08"/>
        </w:trPr>
        <w:tc>
          <w:tcPr>
            <w:tcW w:w="7340" w:type="dxa"/>
            <w:vAlign w:val="bottom"/>
          </w:tcPr>
          <w:p>
            <w:pPr>
              <w:ind w:left="340"/>
              <w:spacing w:after="0"/>
              <w:rPr>
                <w:sz w:val="20"/>
                <w:szCs w:val="20"/>
                <w:color w:val="auto"/>
              </w:rPr>
            </w:pPr>
            <w:r>
              <w:rPr>
                <w:rFonts w:ascii="Arial" w:cs="Arial" w:eastAsia="Arial" w:hAnsi="Arial"/>
                <w:sz w:val="17"/>
                <w:szCs w:val="17"/>
                <w:color w:val="auto"/>
              </w:rPr>
              <w:t>Gross profit</w:t>
            </w: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5,853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2,830</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13,329</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2,583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1,818</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3,907</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4,213</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3,259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2,942</w:t>
            </w: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3,158</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1,089</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2,673</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2,103</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 net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7,608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4,393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9,839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9,258</w:t>
            </w:r>
          </w:p>
        </w:tc>
        <w:tc>
          <w:tcPr>
            <w:tcW w:w="0" w:type="dxa"/>
            <w:vAlign w:val="bottom"/>
          </w:tcPr>
          <w:p>
            <w:pPr>
              <w:spacing w:after="0"/>
              <w:rPr>
                <w:sz w:val="1"/>
                <w:szCs w:val="1"/>
                <w:color w:val="auto"/>
              </w:rPr>
            </w:pPr>
          </w:p>
        </w:tc>
      </w:tr>
      <w:tr>
        <w:trPr>
          <w:trHeight w:val="202"/>
        </w:trPr>
        <w:tc>
          <w:tcPr>
            <w:tcW w:w="7340" w:type="dxa"/>
            <w:vAlign w:val="bottom"/>
          </w:tcPr>
          <w:p>
            <w:pPr>
              <w:ind w:left="680"/>
              <w:spacing w:after="0"/>
              <w:rPr>
                <w:sz w:val="20"/>
                <w:szCs w:val="20"/>
                <w:color w:val="auto"/>
              </w:rPr>
            </w:pPr>
            <w:r>
              <w:rPr>
                <w:rFonts w:ascii="Arial" w:cs="Arial" w:eastAsia="Arial" w:hAnsi="Arial"/>
                <w:sz w:val="17"/>
                <w:szCs w:val="17"/>
                <w:color w:val="auto"/>
              </w:rPr>
              <w:t>Income (loss) from operations</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(1,755)</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(1,563)</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3,490</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506</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before income taxes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(2,206)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(1,102)</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2,982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5,390</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Income tax benefit (expense)</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(2,955)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2,387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7,915</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Less: Net income (loss) attributable to non-controlling interests(1)</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(476)</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1,356</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2,535</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 attributable to ACM Research,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5,380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Arial" w:cs="Arial" w:eastAsia="Arial" w:hAnsi="Arial"/>
                <w:sz w:val="17"/>
                <w:szCs w:val="17"/>
                <w:color w:val="auto"/>
              </w:rPr>
              <w:t>Net income (loss) per common share(2):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(0.56)</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(0.27)</w:t>
            </w: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0.18</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Weighted-average common shares outstanding used in computing per share amounts(2):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4,927,973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2,061,339</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2,176,315</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2,047,383</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340"/>
              <w:spacing w:after="0" w:line="188" w:lineRule="exact"/>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4,927,973</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88" w:lineRule="exact"/>
              <w:rPr>
                <w:sz w:val="20"/>
                <w:szCs w:val="20"/>
                <w:color w:val="auto"/>
              </w:rPr>
            </w:pPr>
            <w:r>
              <w:rPr>
                <w:rFonts w:ascii="Arial" w:cs="Arial" w:eastAsia="Arial" w:hAnsi="Arial"/>
                <w:sz w:val="17"/>
                <w:szCs w:val="17"/>
                <w:color w:val="auto"/>
                <w:w w:val="84"/>
              </w:rPr>
              <w:t>2,061,339</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3,792,137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8" w:lineRule="exact"/>
              <w:rPr>
                <w:sz w:val="20"/>
                <w:szCs w:val="20"/>
                <w:color w:val="auto"/>
              </w:rPr>
            </w:pPr>
            <w:r>
              <w:rPr>
                <w:rFonts w:ascii="Arial" w:cs="Arial" w:eastAsia="Arial" w:hAnsi="Arial"/>
                <w:sz w:val="17"/>
                <w:szCs w:val="17"/>
                <w:color w:val="auto"/>
                <w:w w:val="87"/>
              </w:rPr>
              <w:t>3,144,120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Arial" w:cs="Arial" w:eastAsia="Arial" w:hAnsi="Arial"/>
                <w:sz w:val="17"/>
                <w:szCs w:val="17"/>
                <w:color w:val="auto"/>
              </w:rPr>
              <w:t>Pro forma net income (loss) per common share(2):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(0.35)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0.15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w w:val="97"/>
              </w:rPr>
              <w:t>Pro forma weighted-average common shares outstanding used in computing per share amounts(2):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7,889,818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5,137,211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340"/>
              <w:spacing w:after="0" w:line="188" w:lineRule="exact"/>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7,889,818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6,753,033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240" w:top="448" w:right="4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6088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608838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20" w:hanging="328"/>
        <w:spacing w:after="0" w:line="273"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As of each date ACM Research held 62.87% of the outstanding equity interests of its operating subsidiary ACM Shanghai and the remaining 37.13% was held by third-party investors. As described above under “—Our Company—Acquisition of Outstanding Minority Interests in Our Operating Company,” we have entered into agreements pursuant to which ACM Research acquired an additional 18.77% of the outstanding ACM Shanghai equity interests as of August 31, 2017 and will acquire, by no later than December 31, 2017, all of the remaining outstanding equity interests held by minority investors.</w:t>
      </w:r>
    </w:p>
    <w:p>
      <w:pPr>
        <w:spacing w:after="0" w:line="1" w:lineRule="exact"/>
        <w:rPr>
          <w:rFonts w:ascii="Arial" w:cs="Arial" w:eastAsia="Arial" w:hAnsi="Arial"/>
          <w:sz w:val="15"/>
          <w:szCs w:val="15"/>
          <w:color w:val="auto"/>
        </w:rPr>
      </w:pPr>
    </w:p>
    <w:p>
      <w:pPr>
        <w:ind w:left="520" w:right="80" w:hanging="328"/>
        <w:spacing w:after="0" w:line="270"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note 2 to our consolidated financial statements included at the end of this prospectus for an explanation of the method used to determine the number of shares used in computing historical and pro forma net income (loss) per share.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following table:</w:t>
      </w:r>
    </w:p>
    <w:p>
      <w:pPr>
        <w:spacing w:after="0" w:line="130" w:lineRule="exact"/>
        <w:rPr>
          <w:sz w:val="20"/>
          <w:szCs w:val="20"/>
          <w:color w:val="auto"/>
        </w:rPr>
      </w:pPr>
    </w:p>
    <w:p>
      <w:pPr>
        <w:ind w:left="1060" w:hanging="438"/>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Adjusted” data gives effect to the following:</w:t>
      </w:r>
    </w:p>
    <w:p>
      <w:pPr>
        <w:spacing w:after="0" w:line="130" w:lineRule="exact"/>
        <w:rPr>
          <w:rFonts w:ascii="Arial" w:cs="Arial" w:eastAsia="Arial" w:hAnsi="Arial"/>
          <w:sz w:val="17"/>
          <w:szCs w:val="17"/>
          <w:color w:val="auto"/>
        </w:rPr>
      </w:pPr>
    </w:p>
    <w:p>
      <w:pPr>
        <w:ind w:left="1620" w:right="140" w:hanging="554"/>
        <w:spacing w:after="0" w:line="296" w:lineRule="auto"/>
        <w:tabs>
          <w:tab w:leader="none" w:pos="162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closing of strategic investment transactions on September 11, 2017, with Ninebell Co., Ltd. or Ninebell, one of our key subassembly providers, in which we issued 133,334 shares of Class A common stock to Ninebell for a purchase price of $1.0 million and Ninebell issued ordinary shares, representing 20% of its post-closing equity, to us for a purchase price of $1.2 million;</w:t>
      </w:r>
    </w:p>
    <w:p>
      <w:pPr>
        <w:spacing w:after="0" w:line="62" w:lineRule="exact"/>
        <w:rPr>
          <w:rFonts w:ascii="Arial" w:cs="Arial" w:eastAsia="Arial" w:hAnsi="Arial"/>
          <w:sz w:val="16"/>
          <w:szCs w:val="16"/>
          <w:color w:val="auto"/>
        </w:rPr>
      </w:pPr>
    </w:p>
    <w:p>
      <w:pPr>
        <w:ind w:left="1620" w:right="60" w:hanging="554"/>
        <w:spacing w:after="0" w:line="262" w:lineRule="auto"/>
        <w:tabs>
          <w:tab w:leader="none" w:pos="1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completion of the transactions described under “—Our Company—Acquisition of Outstanding Minority Interests in Our Operating Company” on page 4, pursuant to which, in the third quarter of 2017, (i) we issued 3,572,844 shares of Class A common stock (on an as-converted basis) to minority investors in ACM Shanghai for an aggregate purchase price of $20.1 million and (ii) ACM Research acquired 18.77% of the outstanding ACM Shanghai equity interests, for a purchase price of $5.8 million and will acquire by no later than December 31, 2017, all of the remaining outstanding minority ACM Shanghai equity interests for an aggregate purchase price of $14.3 million; and</w:t>
      </w:r>
    </w:p>
    <w:p>
      <w:pPr>
        <w:spacing w:after="0" w:line="88" w:lineRule="exact"/>
        <w:rPr>
          <w:rFonts w:ascii="Arial" w:cs="Arial" w:eastAsia="Arial" w:hAnsi="Arial"/>
          <w:sz w:val="17"/>
          <w:szCs w:val="17"/>
          <w:color w:val="auto"/>
        </w:rPr>
      </w:pPr>
    </w:p>
    <w:p>
      <w:pPr>
        <w:ind w:left="1620" w:hanging="554"/>
        <w:spacing w:after="0"/>
        <w:tabs>
          <w:tab w:leader="none" w:pos="1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exercises of stock options in the third quarter of 2017 to acquire 74,334 shares of Class A common stock.</w:t>
      </w:r>
    </w:p>
    <w:p>
      <w:pPr>
        <w:spacing w:after="0" w:line="130" w:lineRule="exact"/>
        <w:rPr>
          <w:rFonts w:ascii="Arial" w:cs="Arial" w:eastAsia="Arial" w:hAnsi="Arial"/>
          <w:sz w:val="17"/>
          <w:szCs w:val="17"/>
          <w:color w:val="auto"/>
        </w:rPr>
      </w:pPr>
    </w:p>
    <w:p>
      <w:pPr>
        <w:ind w:left="1060" w:right="420" w:hanging="438"/>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 Forma” data gives further effect to the automatic conversion of all of our outstanding convertible preferred stock into Class A common stock, which will occur automatically upon completion of this offering; and</w:t>
      </w:r>
    </w:p>
    <w:p>
      <w:pPr>
        <w:spacing w:after="0" w:line="66" w:lineRule="exact"/>
        <w:rPr>
          <w:rFonts w:ascii="Arial" w:cs="Arial" w:eastAsia="Arial" w:hAnsi="Arial"/>
          <w:sz w:val="17"/>
          <w:szCs w:val="17"/>
          <w:color w:val="auto"/>
        </w:rPr>
      </w:pPr>
    </w:p>
    <w:p>
      <w:pPr>
        <w:ind w:left="1060" w:right="160" w:hanging="438"/>
        <w:spacing w:after="0" w:line="271"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 Forma As Adjusted” data further adjusts “Pro Forma” data to reflect our sale of 2,000,000 shares of Class A common stock in this offering and our sale of 1,333,334 shares of Class A common stock in the concurrent private placement, after deducting underwriting discounts and commissions, private placement fees, and estimated offering expenses.</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6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jc w:val="right"/>
              <w:ind w:right="475"/>
              <w:spacing w:after="0"/>
              <w:rPr>
                <w:sz w:val="20"/>
                <w:szCs w:val="20"/>
                <w:color w:val="auto"/>
              </w:rPr>
            </w:pPr>
            <w:r>
              <w:rPr>
                <w:rFonts w:ascii="Arial" w:cs="Arial" w:eastAsia="Arial" w:hAnsi="Arial"/>
                <w:sz w:val="14"/>
                <w:szCs w:val="14"/>
                <w:b w:val="1"/>
                <w:bCs w:val="1"/>
                <w:color w:val="auto"/>
              </w:rPr>
              <w:t>As of June 30, 2017</w:t>
            </w: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6820" w:type="dxa"/>
            <w:vAlign w:val="bottom"/>
          </w:tcPr>
          <w:p>
            <w:pPr>
              <w:spacing w:after="0"/>
              <w:rPr>
                <w:sz w:val="9"/>
                <w:szCs w:val="9"/>
                <w:color w:val="auto"/>
              </w:rPr>
            </w:pPr>
          </w:p>
        </w:tc>
        <w:tc>
          <w:tcPr>
            <w:tcW w:w="8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Actual</w:t>
            </w:r>
          </w:p>
        </w:tc>
        <w:tc>
          <w:tcPr>
            <w:tcW w:w="12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As Adjusted</w:t>
            </w:r>
          </w:p>
        </w:tc>
        <w:tc>
          <w:tcPr>
            <w:tcW w:w="11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Pro Forma</w:t>
            </w:r>
          </w:p>
        </w:tc>
        <w:tc>
          <w:tcPr>
            <w:tcW w:w="960" w:type="dxa"/>
            <w:vAlign w:val="bottom"/>
          </w:tcPr>
          <w:p>
            <w:pPr>
              <w:jc w:val="right"/>
              <w:spacing w:after="0" w:line="114"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68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36"/>
        </w:trPr>
        <w:tc>
          <w:tcPr>
            <w:tcW w:w="68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gridSpan w:val="2"/>
          </w:tcPr>
          <w:p>
            <w:pPr>
              <w:jc w:val="right"/>
              <w:ind w:right="635"/>
              <w:spacing w:after="0" w:line="137" w:lineRule="exact"/>
              <w:rPr>
                <w:sz w:val="20"/>
                <w:szCs w:val="20"/>
                <w:color w:val="auto"/>
              </w:rPr>
            </w:pPr>
            <w:r>
              <w:rPr>
                <w:rFonts w:ascii="Arial" w:cs="Arial" w:eastAsia="Arial" w:hAnsi="Arial"/>
                <w:sz w:val="14"/>
                <w:szCs w:val="14"/>
                <w:i w:val="1"/>
                <w:iCs w:val="1"/>
                <w:color w:val="auto"/>
              </w:rPr>
              <w:t>(in thousands)</w:t>
            </w: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860" w:type="dxa"/>
            <w:vAlign w:val="bottom"/>
          </w:tcPr>
          <w:p>
            <w:pPr>
              <w:jc w:val="right"/>
              <w:ind w:right="195"/>
              <w:spacing w:after="0"/>
              <w:rPr>
                <w:sz w:val="20"/>
                <w:szCs w:val="20"/>
                <w:color w:val="auto"/>
              </w:rPr>
            </w:pPr>
            <w:r>
              <w:rPr>
                <w:rFonts w:ascii="Arial" w:cs="Arial" w:eastAsia="Arial" w:hAnsi="Arial"/>
                <w:sz w:val="17"/>
                <w:szCs w:val="17"/>
                <w:color w:val="auto"/>
                <w:w w:val="91"/>
              </w:rPr>
              <w:t>$13,206</w:t>
            </w: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  13,062</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$ 13,062</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  28,333</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capital(1)</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23,433</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23,289</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23,289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38,560</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860" w:type="dxa"/>
            <w:vAlign w:val="bottom"/>
          </w:tcPr>
          <w:p>
            <w:pPr>
              <w:jc w:val="right"/>
              <w:ind w:right="195"/>
              <w:spacing w:after="0"/>
              <w:rPr>
                <w:sz w:val="20"/>
                <w:szCs w:val="20"/>
                <w:color w:val="auto"/>
              </w:rPr>
            </w:pPr>
            <w:r>
              <w:rPr>
                <w:rFonts w:ascii="Arial" w:cs="Arial" w:eastAsia="Arial" w:hAnsi="Arial"/>
                <w:sz w:val="17"/>
                <w:szCs w:val="17"/>
                <w:color w:val="auto"/>
              </w:rPr>
              <w:t>47,437</w:t>
            </w: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48,493</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48,493</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63,764</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indebtedness</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4,595</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4,595</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4,595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4,595</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860" w:type="dxa"/>
            <w:vAlign w:val="bottom"/>
          </w:tcPr>
          <w:p>
            <w:pPr>
              <w:jc w:val="right"/>
              <w:ind w:right="195"/>
              <w:spacing w:after="0"/>
              <w:rPr>
                <w:sz w:val="20"/>
                <w:szCs w:val="20"/>
                <w:color w:val="auto"/>
              </w:rPr>
            </w:pPr>
            <w:r>
              <w:rPr>
                <w:rFonts w:ascii="Arial" w:cs="Arial" w:eastAsia="Arial" w:hAnsi="Arial"/>
                <w:sz w:val="17"/>
                <w:szCs w:val="17"/>
                <w:color w:val="auto"/>
              </w:rPr>
              <w:t>27,883</w:t>
            </w: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27,883</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27,883</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27,883</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redeemable convertible preferred stock</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18,034</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23,834</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Total ACM Research, Inc. stockholders’ (deficit) equity</w:t>
            </w: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(3,289)</w:t>
            </w: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(3,224)</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20,610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35,881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4,809</w:t>
            </w:r>
          </w:p>
        </w:tc>
        <w:tc>
          <w:tcPr>
            <w:tcW w:w="124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82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860" w:type="dxa"/>
            <w:vAlign w:val="bottom"/>
          </w:tcPr>
          <w:p>
            <w:pPr>
              <w:jc w:val="right"/>
              <w:ind w:right="195"/>
              <w:spacing w:after="0"/>
              <w:rPr>
                <w:sz w:val="20"/>
                <w:szCs w:val="20"/>
                <w:color w:val="auto"/>
              </w:rPr>
            </w:pPr>
            <w:r>
              <w:rPr>
                <w:rFonts w:ascii="Arial" w:cs="Arial" w:eastAsia="Arial" w:hAnsi="Arial"/>
                <w:sz w:val="17"/>
                <w:szCs w:val="17"/>
                <w:color w:val="auto"/>
              </w:rPr>
              <w:t>1,520</w:t>
            </w:r>
          </w:p>
        </w:tc>
        <w:tc>
          <w:tcPr>
            <w:tcW w:w="1240" w:type="dxa"/>
            <w:vAlign w:val="bottom"/>
          </w:tcPr>
          <w:p>
            <w:pPr>
              <w:jc w:val="right"/>
              <w:ind w:right="137"/>
              <w:spacing w:after="0"/>
              <w:rPr>
                <w:sz w:val="20"/>
                <w:szCs w:val="20"/>
                <w:color w:val="auto"/>
              </w:rPr>
            </w:pPr>
            <w:r>
              <w:rPr>
                <w:rFonts w:ascii="Arial" w:cs="Arial" w:eastAsia="Arial" w:hAnsi="Arial"/>
                <w:sz w:val="17"/>
                <w:szCs w:val="17"/>
                <w:color w:val="auto"/>
              </w:rPr>
              <w:t>(3,224)</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20,610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35,881</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20" w:hanging="42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Calculated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20"/>
          </w:cols>
          <w:pgMar w:left="240" w:top="448" w:right="4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997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59975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firstLine="442"/>
        <w:spacing w:after="0" w:line="288" w:lineRule="auto"/>
        <w:rPr>
          <w:sz w:val="20"/>
          <w:szCs w:val="20"/>
          <w:color w:val="auto"/>
        </w:rPr>
      </w:pPr>
      <w:r>
        <w:rPr>
          <w:rFonts w:ascii="Arial" w:cs="Arial" w:eastAsia="Arial" w:hAnsi="Arial"/>
          <w:sz w:val="16"/>
          <w:szCs w:val="16"/>
          <w:color w:val="auto"/>
        </w:rPr>
        <w:t>To supplement our consolidated financial statements presented in accordance with U.S. generally accepted accounting principles, or GAAP, we monitor and consider adjusted EBITDA, free cash flow and adjusted operating income (loss), which are non-GAAP financial measures. We are presenting adjusted EBITDA, free cash flow and adjusted operating income (loss) because they are key metrics used by our management in tracking business performance. See “Management’s Discussion and Analysis of Financial Condition and Results of Operations—Key Components of Results of Operations.”</w:t>
      </w:r>
    </w:p>
    <w:p>
      <w:pPr>
        <w:spacing w:after="0" w:line="68" w:lineRule="exact"/>
        <w:rPr>
          <w:sz w:val="20"/>
          <w:szCs w:val="20"/>
          <w:color w:val="auto"/>
        </w:rPr>
      </w:pPr>
    </w:p>
    <w:p>
      <w:pPr>
        <w:ind w:left="1060" w:hanging="438"/>
        <w:spacing w:after="0" w:line="298"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expense (benefit), depreciation and amortization, and stock-based compensation. The following table reconciles net income (loss), the most directly comparable GAAP financial measure, to adjusted</w:t>
      </w:r>
    </w:p>
    <w:p>
      <w:pPr>
        <w:spacing w:after="0" w:line="1"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EBITDA:</w:t>
      </w:r>
    </w:p>
    <w:p>
      <w:pPr>
        <w:spacing w:after="0" w:line="225"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1"/>
              </w:rPr>
              <w:t>Six Months Ended June 30,</w:t>
            </w:r>
          </w:p>
        </w:tc>
        <w:tc>
          <w:tcPr>
            <w:tcW w:w="140" w:type="dxa"/>
            <w:vAlign w:val="bottom"/>
          </w:tcPr>
          <w:p>
            <w:pPr>
              <w:spacing w:after="0"/>
              <w:rPr>
                <w:sz w:val="14"/>
                <w:szCs w:val="14"/>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Year Ended December 31,</w:t>
            </w:r>
          </w:p>
        </w:tc>
      </w:tr>
      <w:tr>
        <w:trPr>
          <w:trHeight w:val="136"/>
        </w:trPr>
        <w:tc>
          <w:tcPr>
            <w:tcW w:w="46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6"/>
        </w:trPr>
        <w:tc>
          <w:tcPr>
            <w:tcW w:w="4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7"/>
                <w:szCs w:val="17"/>
                <w:color w:val="auto"/>
              </w:rPr>
              <w:t>Net income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(2,955)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(1,029)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2,387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7,915</w:t>
            </w:r>
          </w:p>
        </w:tc>
      </w:tr>
      <w:tr>
        <w:trPr>
          <w:trHeight w:val="209"/>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159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165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r>
      <w:tr>
        <w:trPr>
          <w:trHeight w:val="209"/>
        </w:trPr>
        <w:tc>
          <w:tcPr>
            <w:tcW w:w="468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749</w:t>
            </w: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595</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(2,525)</w:t>
            </w:r>
          </w:p>
        </w:tc>
      </w:tr>
      <w:tr>
        <w:trPr>
          <w:trHeight w:val="209"/>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r>
      <w:tr>
        <w:trPr>
          <w:trHeight w:val="209"/>
        </w:trPr>
        <w:tc>
          <w:tcPr>
            <w:tcW w:w="468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1,348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193</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383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r>
      <w:tr>
        <w:trPr>
          <w:trHeight w:val="26"/>
        </w:trPr>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(581)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(776)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3,717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6,078</w:t>
            </w: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ind w:left="1060" w:right="140" w:hanging="438"/>
        <w:spacing w:after="0" w:line="271"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 The following table reconciles net cash provided by operating activities, the most directly comparable GAAP financial measure, to free cash flow:</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1"/>
              </w:rPr>
              <w:t>Six Months Ended June 30,</w:t>
            </w:r>
          </w:p>
        </w:tc>
        <w:tc>
          <w:tcPr>
            <w:tcW w:w="16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46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9"/>
              <w:spacing w:after="0" w:line="137"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6"/>
        </w:trPr>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Data: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2,983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4,739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(3,702)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2,702</w:t>
            </w:r>
          </w:p>
        </w:tc>
      </w:tr>
      <w:tr>
        <w:trPr>
          <w:trHeight w:val="196"/>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 net of proceeds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46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from disposals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(788)</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(1,371)</w:t>
            </w:r>
          </w:p>
        </w:tc>
      </w:tr>
      <w:tr>
        <w:trPr>
          <w:trHeight w:val="209"/>
        </w:trPr>
        <w:tc>
          <w:tcPr>
            <w:tcW w:w="4680" w:type="dxa"/>
            <w:vAlign w:val="bottom"/>
          </w:tcPr>
          <w:p>
            <w:pPr>
              <w:ind w:left="340"/>
              <w:spacing w:after="0"/>
              <w:rPr>
                <w:sz w:val="20"/>
                <w:szCs w:val="20"/>
                <w:color w:val="auto"/>
              </w:rPr>
            </w:pPr>
            <w:r>
              <w:rPr>
                <w:rFonts w:ascii="Arial" w:cs="Arial" w:eastAsia="Arial" w:hAnsi="Arial"/>
                <w:sz w:val="17"/>
                <w:szCs w:val="17"/>
                <w:color w:val="auto"/>
              </w:rPr>
              <w:t>Purchase of intangible assets</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6"/>
        </w:trPr>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2,921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4,635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(4,512)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1,331</w:t>
            </w: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ind w:left="1060" w:right="460" w:hanging="438"/>
        <w:spacing w:after="0" w:line="357" w:lineRule="auto"/>
        <w:tabs>
          <w:tab w:leader="none" w:pos="10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define adjusted operating income (loss) as our income (loss) from operations excluding stock-based compensation. The following table reconciles income (loss) from operations, the most directly comparable GAAP financial measure, to adjusted operating income (loss):</w:t>
      </w:r>
    </w:p>
    <w:p>
      <w:pPr>
        <w:spacing w:after="0" w:line="11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57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80" w:type="dxa"/>
            <w:vAlign w:val="bottom"/>
            <w:gridSpan w:val="4"/>
          </w:tcPr>
          <w:p>
            <w:pPr>
              <w:ind w:left="340"/>
              <w:spacing w:after="0" w:line="137" w:lineRule="exact"/>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 Data:</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3"/>
          </w:tcPr>
          <w:p>
            <w:pPr>
              <w:jc w:val="right"/>
              <w:ind w:right="380"/>
              <w:spacing w:after="0"/>
              <w:rPr>
                <w:sz w:val="20"/>
                <w:szCs w:val="20"/>
                <w:color w:val="auto"/>
              </w:rPr>
            </w:pPr>
            <w:r>
              <w:rPr>
                <w:rFonts w:ascii="Arial" w:cs="Arial" w:eastAsia="Arial" w:hAnsi="Arial"/>
                <w:sz w:val="17"/>
                <w:szCs w:val="17"/>
                <w:color w:val="auto"/>
                <w:w w:val="92"/>
              </w:rPr>
              <w:t>(1,755)</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w w:val="94"/>
              </w:rPr>
              <w:t>$(1,563)</w:t>
            </w: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w w:val="92"/>
              </w:rPr>
              <w:t>$3,490</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$4,863</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1,348</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193</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383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7"/>
                <w:szCs w:val="17"/>
                <w:color w:val="auto"/>
              </w:rPr>
              <w:t>Adjusted operating income (loss)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3"/>
          </w:tcPr>
          <w:p>
            <w:pPr>
              <w:jc w:val="right"/>
              <w:ind w:right="380"/>
              <w:spacing w:after="0"/>
              <w:rPr>
                <w:sz w:val="20"/>
                <w:szCs w:val="20"/>
                <w:color w:val="auto"/>
              </w:rPr>
            </w:pPr>
            <w:r>
              <w:rPr>
                <w:rFonts w:ascii="Arial" w:cs="Arial" w:eastAsia="Arial" w:hAnsi="Arial"/>
                <w:sz w:val="17"/>
                <w:szCs w:val="17"/>
                <w:color w:val="auto"/>
              </w:rPr>
              <w:t>(407)</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(1,370)</w:t>
            </w:r>
          </w:p>
        </w:tc>
        <w:tc>
          <w:tcPr>
            <w:tcW w:w="980" w:type="dxa"/>
            <w:vAlign w:val="bottom"/>
            <w:gridSpan w:val="2"/>
          </w:tcPr>
          <w:p>
            <w:pPr>
              <w:jc w:val="right"/>
              <w:ind w:right="48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3,873</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5,286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180"/>
          </w:cols>
          <w:pgMar w:left="240" w:top="448" w:right="4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prospectus, including our audited consolidated financial statements and related notes appearing at the end of this prospectus,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are uncertain about our future profitability.</w:t>
      </w:r>
    </w:p>
    <w:p>
      <w:pPr>
        <w:spacing w:after="0" w:line="117"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We have incurred significant losses since our inception in 1998, and as of June 30, 2017 we had an accumulated deficit of $12.4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62" w:lineRule="exact"/>
        <w:rPr>
          <w:sz w:val="20"/>
          <w:szCs w:val="20"/>
          <w:color w:val="auto"/>
        </w:rPr>
      </w:pPr>
    </w:p>
    <w:p>
      <w:pPr>
        <w:ind w:left="900" w:hanging="43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research and development, including continued investments in our research and development team;</w:t>
      </w:r>
    </w:p>
    <w:p>
      <w:pPr>
        <w:spacing w:after="0" w:line="130" w:lineRule="exact"/>
        <w:rPr>
          <w:rFonts w:ascii="Arial" w:cs="Arial" w:eastAsia="Arial" w:hAnsi="Arial"/>
          <w:sz w:val="17"/>
          <w:szCs w:val="17"/>
          <w:color w:val="auto"/>
        </w:rPr>
      </w:pPr>
    </w:p>
    <w:p>
      <w:pPr>
        <w:ind w:left="900" w:right="620" w:hanging="439"/>
        <w:spacing w:after="0" w:line="287"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of goods being manufactured and sold for our installed base;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expansion of field service;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and administrative expenses, including legal and accounting expenses related to being a public company.</w:t>
      </w:r>
    </w:p>
    <w:p>
      <w:pPr>
        <w:spacing w:after="0" w:line="22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have limited revenue and may not be able to regain or maintain profitability.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date we have only generated limited revenue from sales of our products. Our revenue totaled $31.2 million in 2015, $27.4 million in 2016 and</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$14.4 million in the first half of 2017. Our revenue was not sufficient to cover our operating expenses prior to 2015, and our net income decreased to $2.4 million in 2016 from $7.9 million in 2015. In the first half of 2017, we incurred an operating loss of $1.8 million, which was an increase from our operating loss of</w:t>
      </w:r>
    </w:p>
    <w:p>
      <w:pPr>
        <w:ind w:right="20"/>
        <w:spacing w:after="0" w:line="264" w:lineRule="auto"/>
        <w:rPr>
          <w:sz w:val="20"/>
          <w:szCs w:val="20"/>
          <w:color w:val="auto"/>
        </w:rPr>
      </w:pPr>
      <w:r>
        <w:rPr>
          <w:rFonts w:ascii="Arial" w:cs="Arial" w:eastAsia="Arial" w:hAnsi="Arial"/>
          <w:sz w:val="17"/>
          <w:szCs w:val="17"/>
          <w:color w:val="auto"/>
        </w:rPr>
        <w:t>$1.6 million in the first half of 2016, and a net loss of $3.0 million, which was an increase from a net loss of $1.0 million in the first half of 2016. Our ability to generate significant revenue and operate profitably depends upon our ability to commercialize our Ultra C single-wafer wet cleaning equipment based on our Space Alternated Phase Shift, or SAPS, and Timely Energized Bubble Oscillation, or TEBO,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8"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technologies. Our ability to generate significant product revenue from our current tools or future tool candidates also depends on a number of additional factors, including our ability to:</w:t>
      </w:r>
    </w:p>
    <w:p>
      <w:pPr>
        <w:spacing w:after="0" w:line="67" w:lineRule="exact"/>
        <w:rPr>
          <w:sz w:val="20"/>
          <w:szCs w:val="20"/>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achieve market acceptance of Ultra C equipment based on SAPS technology as well as Ultra C equipment based on TEBO technology;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our customer base, including the establishment of relationships with companies in the United States;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to expand our supplier relationships with third parties;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and maintain our reputation for providing efficient on-time delivery of high quality products.</w:t>
      </w:r>
    </w:p>
    <w:p>
      <w:pPr>
        <w:spacing w:after="0" w:line="222"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If we fail to regain and sustain profitability on a continuing basis, we may be unable to continue our operations at planned levels and be forced to reduce our operations or even shut down.</w:t>
      </w:r>
    </w:p>
    <w:p>
      <w:pPr>
        <w:spacing w:after="0" w:line="263"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need to raise funds in the future, depending on many factors, including:</w:t>
      </w:r>
    </w:p>
    <w:p>
      <w:pPr>
        <w:spacing w:after="0" w:line="130" w:lineRule="exact"/>
        <w:rPr>
          <w:sz w:val="20"/>
          <w:szCs w:val="20"/>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sales growth;</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applying our existing technologies to new or enhanced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developing new technologies and introducing new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associated with protecting our intellectual property;</w:t>
      </w:r>
    </w:p>
    <w:p>
      <w:pPr>
        <w:spacing w:after="0" w:line="130" w:lineRule="exact"/>
        <w:rPr>
          <w:rFonts w:ascii="Arial" w:cs="Arial" w:eastAsia="Arial" w:hAnsi="Arial"/>
          <w:sz w:val="17"/>
          <w:szCs w:val="17"/>
          <w:color w:val="auto"/>
        </w:rPr>
      </w:pPr>
    </w:p>
    <w:p>
      <w:pPr>
        <w:ind w:left="900" w:right="520" w:hanging="439"/>
        <w:spacing w:after="0" w:line="287"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associated with our expansion, including capital expenditures, increasing our sales and marketing and service and support efforts, and expanding our geographic operations;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continue to obtain governmental subsidies for developmental projects in the future;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future debt repayment obligations;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and timing of any future acquisitions.</w:t>
      </w:r>
    </w:p>
    <w:p>
      <w:pPr>
        <w:spacing w:after="0" w:line="22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To the extent that our existing sources of cash, together with any cash generated from operations and the net proceeds from this offering and the concurrent private placement,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60"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assurance that the concurrent private placement of our Class A common stock will be completed.</w:t>
      </w:r>
    </w:p>
    <w:p>
      <w:pPr>
        <w:spacing w:after="0" w:line="117"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There is no assurance that the concurrent private placement of our Class A common stock will be completed or, if completed, on what terms it will be completed. The closing of the concurrent private placement is subject 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60"/>
          </w:cols>
          <w:pgMar w:left="240" w:top="448" w:right="29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standard closing conditions, which may not be completed. If the concurrent private placement is not completed, our stock price and our ability to raise equity in the future may be adversely affected.</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can be difficult to predict and can fluctuate substantially, which could result in volatility in the price of Class A common stock.</w:t>
      </w:r>
    </w:p>
    <w:p>
      <w:pPr>
        <w:spacing w:after="0" w:line="14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81" w:lineRule="exact"/>
        <w:rPr>
          <w:sz w:val="20"/>
          <w:szCs w:val="20"/>
          <w:color w:val="auto"/>
        </w:rPr>
      </w:pPr>
    </w:p>
    <w:p>
      <w:pPr>
        <w:ind w:left="900" w:right="260" w:hanging="439"/>
        <w:spacing w:after="0" w:line="287"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cyclicality of the semiconductor industry and the related impact on the purchase of equipment used in the manufacture of integrated circuits, or chips;</w:t>
      </w:r>
    </w:p>
    <w:p>
      <w:pPr>
        <w:spacing w:after="0" w:line="66" w:lineRule="exact"/>
        <w:rPr>
          <w:rFonts w:ascii="Arial" w:cs="Arial" w:eastAsia="Arial" w:hAnsi="Arial"/>
          <w:sz w:val="17"/>
          <w:szCs w:val="17"/>
          <w:color w:val="auto"/>
        </w:rPr>
      </w:pPr>
    </w:p>
    <w:p>
      <w:pPr>
        <w:ind w:left="900" w:right="360" w:hanging="439"/>
        <w:spacing w:after="0" w:line="287"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purchases of our tools by chip fabricators, which order types of tools based on multi-year capital plans under which the number and dollar amount of tool purchases can vary significantly from year to year;</w:t>
      </w:r>
    </w:p>
    <w:p>
      <w:pPr>
        <w:spacing w:after="0" w:line="66" w:lineRule="exact"/>
        <w:rPr>
          <w:rFonts w:ascii="Arial" w:cs="Arial" w:eastAsia="Arial" w:hAnsi="Arial"/>
          <w:sz w:val="17"/>
          <w:szCs w:val="17"/>
          <w:color w:val="auto"/>
        </w:rPr>
      </w:pPr>
    </w:p>
    <w:p>
      <w:pPr>
        <w:ind w:left="900" w:right="120" w:hanging="439"/>
        <w:spacing w:after="0" w:line="271"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significant expenditures required to customize our products often exceed the deposits received from our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lead time required to manufacture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recognizing revenue due to the timing of shipment and acceptance of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sell additional tools to existing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changes in customer specifications or requirements;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length of our product sales cycle;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our product mix, including the mix of systems, upgrades, spare parts and service;</w:t>
      </w:r>
    </w:p>
    <w:p>
      <w:pPr>
        <w:spacing w:after="0" w:line="130" w:lineRule="exact"/>
        <w:rPr>
          <w:rFonts w:ascii="Arial" w:cs="Arial" w:eastAsia="Arial" w:hAnsi="Arial"/>
          <w:sz w:val="17"/>
          <w:szCs w:val="17"/>
          <w:color w:val="auto"/>
        </w:rPr>
      </w:pPr>
    </w:p>
    <w:p>
      <w:pPr>
        <w:ind w:left="900" w:right="460" w:hanging="439"/>
        <w:spacing w:after="0" w:line="287"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our product releases or upgrades or announcements of product releases or upgrades by us or our competitors, including changes in customer orders in anticipation of new products or product enhancements;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enhance our tools with new and better functionality that meet customer requirements and changing industry trends;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constraints on our suppliers’ capacity;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investments in research and development related to releasing new applications of our technologies and new products;</w:t>
      </w:r>
    </w:p>
    <w:p>
      <w:pPr>
        <w:spacing w:after="0" w:line="130" w:lineRule="exact"/>
        <w:rPr>
          <w:rFonts w:ascii="Arial" w:cs="Arial" w:eastAsia="Arial" w:hAnsi="Arial"/>
          <w:sz w:val="17"/>
          <w:szCs w:val="17"/>
          <w:color w:val="auto"/>
        </w:rPr>
      </w:pPr>
    </w:p>
    <w:p>
      <w:pPr>
        <w:ind w:left="900" w:right="180" w:hanging="439"/>
        <w:spacing w:after="0" w:line="287"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the development and manufacture of our new products and upgraded versions of our products and the market acceptance of these products when introduced;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control costs, including operating expenses and the costs of the components and subassemblies used in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related to the acquisition and integration of product lines, technologies or businesses; and</w:t>
      </w:r>
    </w:p>
    <w:p>
      <w:pPr>
        <w:spacing w:after="0" w:line="130" w:lineRule="exact"/>
        <w:rPr>
          <w:rFonts w:ascii="Arial" w:cs="Arial" w:eastAsia="Arial" w:hAnsi="Arial"/>
          <w:sz w:val="17"/>
          <w:szCs w:val="17"/>
          <w:color w:val="auto"/>
        </w:rPr>
      </w:pPr>
    </w:p>
    <w:p>
      <w:pPr>
        <w:jc w:val="center"/>
        <w:ind w:left="5620" w:right="360" w:hanging="5159"/>
        <w:spacing w:after="0" w:line="463" w:lineRule="auto"/>
        <w:tabs>
          <w:tab w:leader="none" w:pos="89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associated with protecting our intellectual property, including defending our intellectual property against third-party claims or litigation. 14</w:t>
      </w:r>
    </w:p>
    <w:p>
      <w:pPr>
        <w:sectPr>
          <w:pgSz w:w="11900" w:h="16838" w:orient="portrait"/>
          <w:cols w:equalWidth="0" w:num="1">
            <w:col w:w="11360"/>
          </w:cols>
          <w:pgMar w:left="240" w:top="448" w:right="29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80"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285"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54" w:lineRule="exact"/>
        <w:rPr>
          <w:sz w:val="20"/>
          <w:szCs w:val="20"/>
          <w:color w:val="auto"/>
        </w:rPr>
      </w:pPr>
    </w:p>
    <w:p>
      <w:pPr>
        <w:ind w:right="200" w:firstLine="457"/>
        <w:spacing w:after="0" w:line="296"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54" w:lineRule="exact"/>
        <w:rPr>
          <w:sz w:val="20"/>
          <w:szCs w:val="20"/>
          <w:color w:val="auto"/>
        </w:rPr>
      </w:pPr>
    </w:p>
    <w:p>
      <w:pPr>
        <w:ind w:right="240" w:firstLine="457"/>
        <w:spacing w:after="0" w:line="284"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6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80"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The government of the People’s Republic of China, or the PRC,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8"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industry chip manufacturers adopting our SAPS and TEBO technologies.</w:t>
      </w:r>
    </w:p>
    <w:p>
      <w:pPr>
        <w:spacing w:after="0" w:line="1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and TEBO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SAPS and TEBO technologies do not achieve widespread market acceptance, we will not be able to compete effectively.</w:t>
      </w:r>
    </w:p>
    <w:p>
      <w:pPr>
        <w:spacing w:after="0" w:line="117"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The commercial success of our tools will depend, in part, on gaining substantial market acceptance by chip manufacturers. Our ability to gain acceptance for our products will depend upon a number of factors, including:</w:t>
      </w:r>
    </w:p>
    <w:p>
      <w:pPr>
        <w:spacing w:after="0" w:line="67" w:lineRule="exact"/>
        <w:rPr>
          <w:sz w:val="20"/>
          <w:szCs w:val="20"/>
          <w:color w:val="auto"/>
        </w:rPr>
      </w:pPr>
    </w:p>
    <w:p>
      <w:pPr>
        <w:ind w:left="900" w:right="100" w:hanging="439"/>
        <w:spacing w:after="0" w:line="287"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demonstrate the differentiated, innovative nature of our SAPS and TEBO technologies and the advantages of our tools over those of our competitors;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compatibility of our tools with existing or potential customers’ manufacturing processes and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level of customer service available to support our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experiences our customers have with our products.</w:t>
      </w:r>
    </w:p>
    <w:p>
      <w:pPr>
        <w:spacing w:after="0" w:line="222"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140"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and TEBO technologies becomes obsolete. Accordingly, the future of our business will depend in large part upon the continuing relevance of our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48" w:right="2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85" w:lineRule="exact"/>
        <w:rPr>
          <w:sz w:val="20"/>
          <w:szCs w:val="20"/>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accurate anticipation of market requirements, changes in technology and evolving standards;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141" w:lineRule="exact"/>
        <w:rPr>
          <w:rFonts w:ascii="Arial" w:cs="Arial" w:eastAsia="Arial" w:hAnsi="Arial"/>
          <w:sz w:val="16"/>
          <w:szCs w:val="16"/>
          <w:color w:val="auto"/>
        </w:rPr>
      </w:pPr>
    </w:p>
    <w:p>
      <w:pPr>
        <w:ind w:left="900" w:right="340" w:hanging="439"/>
        <w:spacing w:after="0" w:line="287"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and availability of suppliers and third-party manufacturers to manufacture and deliver the critical components and subassemblies of our tools in a timely manner;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market acceptance of our customers’ products, and the lifecycle of those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deliver products in a timely manner within our customers’ product planning and deployment cycle.</w:t>
      </w:r>
    </w:p>
    <w:p>
      <w:pPr>
        <w:spacing w:after="0" w:line="222" w:lineRule="exact"/>
        <w:rPr>
          <w:sz w:val="20"/>
          <w:szCs w:val="20"/>
          <w:color w:val="auto"/>
        </w:rPr>
      </w:pPr>
    </w:p>
    <w:p>
      <w:pPr>
        <w:ind w:right="120" w:firstLine="457"/>
        <w:spacing w:after="0" w:line="288"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our ability to identify and enter new product markets.</w:t>
      </w:r>
    </w:p>
    <w:p>
      <w:pPr>
        <w:spacing w:after="0" w:line="117"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277"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54"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448"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54"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chip equipment industry is highly competitive, and we face substantial competition throughout the world in each of the markets we serve. Many of our current and potential competitors have, among other things:</w:t>
      </w:r>
    </w:p>
    <w:p>
      <w:pPr>
        <w:spacing w:after="0" w:line="67" w:lineRule="exact"/>
        <w:rPr>
          <w:sz w:val="20"/>
          <w:szCs w:val="20"/>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greater financial, technical, sales and marketing, manufacturing, distribution and other resources;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established credibility and market reputations;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longer operating histories;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broader product offerings;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more extensive service offerings, including the ability to have large inventories of spare parts available near, or even at, customer locations;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local sales forces;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more extensive geographic coverage.</w:t>
      </w:r>
    </w:p>
    <w:p>
      <w:pPr>
        <w:spacing w:after="0" w:line="222"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284"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8"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chip manufacturing industry is highly concentrated, and we derive a significant portion of our revenue from the sale of our products to a small number of customers. In the first half of 2017, 62.8% of our revenue was derived from three customers: SK Hynix Inc., 22.8%; Shanghai Huali Microelectronics Corporation, 20.6%; and Yangtze Memory Technologies Co., Ltd. and a subsidiary, 19.4%. In 2016 99.3% of our revenue was derived from four customers: Shanghai Huali Microelectronics Corporation, 33.7%; Semiconductor Manufacturing International Corporation, 25.0%; SK Hynix Inc., 24.0%; and JiangYin ChangDian Advanced Packaging Co. Ltd., 16.6%. In 2015 all of our revenue was derived from three customers, including SK Hynix Inc., which accounted for 86.0% of our revenue, and JiangYin ChangDian Advanced Packaging Co., Ltd., which accounted for 10.1% of our revenue. 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8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8"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12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7"/>
          <w:szCs w:val="17"/>
          <w:color w:val="auto"/>
        </w:rPr>
        <w:t>In accordance with industry practice, our sales are on a purchase order basis, which we seek to obtain three to four months in advance of the expected product delivery date. Until a purchase order is received, we do not have a binding purchase commitment. Our SAPS and TEBO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80"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285"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54" w:lineRule="exact"/>
        <w:rPr>
          <w:sz w:val="20"/>
          <w:szCs w:val="20"/>
          <w:color w:val="auto"/>
        </w:rPr>
      </w:pPr>
    </w:p>
    <w:p>
      <w:pPr>
        <w:ind w:right="200" w:firstLine="457"/>
        <w:spacing w:after="0" w:line="280" w:lineRule="auto"/>
        <w:rPr>
          <w:sz w:val="20"/>
          <w:szCs w:val="20"/>
          <w:color w:val="auto"/>
        </w:rPr>
      </w:pPr>
      <w:r>
        <w:rPr>
          <w:rFonts w:ascii="Arial" w:cs="Arial" w:eastAsia="Arial" w:hAnsi="Arial"/>
          <w:sz w:val="16"/>
          <w:szCs w:val="16"/>
          <w:color w:val="auto"/>
        </w:rPr>
        <w:t>We often incur significant research and development costs for products that are purchased by our customers only after much, or all, of the cost has been incurred or that may never be purchased. We allow new customers, or existing customers considering new products, to evaluate products without any payment becoming due unless the product is ultimately accepted, which means we may invest $1.0 to $2.0 million in manufacturing a tool that may never be accepted and purchased or may be purchased months or even years after production. In the past we have borrowed money in order to fund first-time purchase order equipment and next-generation evaluation equipment. When we complete a first-time sale, we may not receive payment for up to 24 months.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270"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54" w:lineRule="exact"/>
        <w:rPr>
          <w:sz w:val="20"/>
          <w:szCs w:val="20"/>
          <w:color w:val="auto"/>
        </w:rPr>
      </w:pPr>
    </w:p>
    <w:p>
      <w:pPr>
        <w:jc w:val="both"/>
        <w:ind w:right="120" w:firstLine="457"/>
        <w:spacing w:after="0" w:line="266" w:lineRule="auto"/>
        <w:rPr>
          <w:sz w:val="20"/>
          <w:szCs w:val="20"/>
          <w:color w:val="auto"/>
        </w:rPr>
      </w:pPr>
      <w:r>
        <w:rPr>
          <w:rFonts w:ascii="Arial" w:cs="Arial" w:eastAsia="Arial" w:hAnsi="Arial"/>
          <w:sz w:val="17"/>
          <w:szCs w:val="17"/>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8"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duration or ultimate success of our sales cycle depends on factors such as:</w:t>
      </w:r>
    </w:p>
    <w:p>
      <w:pPr>
        <w:spacing w:after="0" w:line="130" w:lineRule="exact"/>
        <w:rPr>
          <w:sz w:val="20"/>
          <w:szCs w:val="20"/>
          <w:color w:val="auto"/>
        </w:rPr>
      </w:pPr>
    </w:p>
    <w:p>
      <w:pPr>
        <w:ind w:left="900" w:hanging="43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efforts by our sales force;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complexity of our customers’ manufacturing processes and the compatibility of our tools with those processes;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customers’ internal technical capabilities and sophistication; and</w:t>
      </w:r>
    </w:p>
    <w:p>
      <w:pPr>
        <w:spacing w:after="0" w:line="130" w:lineRule="exact"/>
        <w:rPr>
          <w:rFonts w:ascii="Arial" w:cs="Arial" w:eastAsia="Arial" w:hAnsi="Arial"/>
          <w:sz w:val="17"/>
          <w:szCs w:val="17"/>
          <w:color w:val="auto"/>
        </w:rPr>
      </w:pPr>
    </w:p>
    <w:p>
      <w:pPr>
        <w:ind w:left="900" w:right="440" w:hanging="439"/>
        <w:spacing w:after="0" w:line="287"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customers’ capital spending plans and processes, including budgetary constraints, internal approvals, extended negotiations or administrative delays.</w:t>
      </w:r>
    </w:p>
    <w:p>
      <w:pPr>
        <w:spacing w:after="0" w:line="158" w:lineRule="exact"/>
        <w:rPr>
          <w:sz w:val="20"/>
          <w:szCs w:val="20"/>
          <w:color w:val="auto"/>
        </w:rPr>
      </w:pPr>
    </w:p>
    <w:p>
      <w:pPr>
        <w:ind w:right="60" w:firstLine="457"/>
        <w:spacing w:after="0" w:line="312"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Difficulties in forecasting demand for our tools may lead to periodic inventory shortages or excess spending on inventory items that may not be used.</w:t>
      </w:r>
    </w:p>
    <w:p>
      <w:pPr>
        <w:spacing w:after="0" w:line="129" w:lineRule="exact"/>
        <w:rPr>
          <w:sz w:val="20"/>
          <w:szCs w:val="20"/>
          <w:color w:val="auto"/>
        </w:rPr>
      </w:pPr>
    </w:p>
    <w:p>
      <w:pPr>
        <w:ind w:right="100" w:firstLine="457"/>
        <w:spacing w:after="0" w:line="260" w:lineRule="auto"/>
        <w:rPr>
          <w:sz w:val="20"/>
          <w:szCs w:val="20"/>
          <w:color w:val="auto"/>
        </w:rPr>
      </w:pPr>
      <w:r>
        <w:rPr>
          <w:rFonts w:ascii="Arial" w:cs="Arial" w:eastAsia="Arial" w:hAnsi="Arial"/>
          <w:sz w:val="17"/>
          <w:szCs w:val="17"/>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 A failure to prevent inventory shortages or accurately predict customers’ needs could result in decreased revenue and gross margins and harm our business.</w:t>
      </w:r>
    </w:p>
    <w:p>
      <w:pPr>
        <w:spacing w:after="0" w:line="18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81"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8"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tools contain defects or do not meet customer specifications, we could lose customers and revenue.</w:t>
      </w:r>
    </w:p>
    <w:p>
      <w:pPr>
        <w:spacing w:after="0" w:line="11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85" w:lineRule="exact"/>
        <w:rPr>
          <w:sz w:val="20"/>
          <w:szCs w:val="20"/>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customers may delay or reject acceptance of our tools that contain defects or fail to meet their specifications;</w:t>
      </w:r>
    </w:p>
    <w:p>
      <w:pPr>
        <w:spacing w:after="0" w:line="130" w:lineRule="exact"/>
        <w:rPr>
          <w:rFonts w:ascii="Arial" w:cs="Arial" w:eastAsia="Arial" w:hAnsi="Arial"/>
          <w:sz w:val="17"/>
          <w:szCs w:val="17"/>
          <w:color w:val="auto"/>
        </w:rPr>
      </w:pPr>
    </w:p>
    <w:p>
      <w:pPr>
        <w:ind w:left="900" w:right="200" w:hanging="439"/>
        <w:spacing w:after="0" w:line="287"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suffer customer dissatisfaction, negative publicity and reputational damage, resulting in reduced orders or otherwise damaging our ability to retain existing customers and attract new customers;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incur substantial costs as a result of warranty claims or service obligations or in order to enhance the reliability of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attention of our technical and management resources may be diverted;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replace defective systems or invest significant capital to resolve these problems;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write off inventory and other assets related to our tools.</w:t>
      </w:r>
    </w:p>
    <w:p>
      <w:pPr>
        <w:spacing w:after="0" w:line="222" w:lineRule="exact"/>
        <w:rPr>
          <w:sz w:val="20"/>
          <w:szCs w:val="20"/>
          <w:color w:val="auto"/>
        </w:rPr>
      </w:pPr>
    </w:p>
    <w:p>
      <w:pPr>
        <w:ind w:right="200" w:firstLine="457"/>
        <w:spacing w:after="0" w:line="284"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claims in excess of our estimates could adversely affect our business.</w:t>
      </w:r>
    </w:p>
    <w:p>
      <w:pPr>
        <w:spacing w:after="0" w:line="11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We have provided warranties against manufacturing defects of our tools that range from 12 to 36 months in duration. Our product warranty requires us to provide labor and parts necessary to repair defects. To date we have not accrued a significant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264" w:lineRule="exact"/>
        <w:rPr>
          <w:sz w:val="20"/>
          <w:szCs w:val="20"/>
          <w:color w:val="auto"/>
        </w:rPr>
      </w:pPr>
    </w:p>
    <w:p>
      <w:pPr>
        <w:ind w:right="640"/>
        <w:spacing w:after="0" w:line="287" w:lineRule="auto"/>
        <w:rPr>
          <w:sz w:val="20"/>
          <w:szCs w:val="20"/>
          <w:color w:val="auto"/>
        </w:rPr>
      </w:pPr>
      <w:r>
        <w:rPr>
          <w:rFonts w:ascii="Arial" w:cs="Arial" w:eastAsia="Arial" w:hAnsi="Arial"/>
          <w:sz w:val="17"/>
          <w:szCs w:val="17"/>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76"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We do not have long-term supply contracts with some of our suppliers, and those suppliers are not obligated to perform services or supply products to us for any specific period, in any specific quantities or at any specific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8"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67" w:lineRule="exact"/>
        <w:rPr>
          <w:sz w:val="20"/>
          <w:szCs w:val="20"/>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price increases;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capacity shortages or other inability to meet any increase in demand for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reduced control over manufacturing process for components and subassemblies and delivery schedules;</w:t>
      </w:r>
    </w:p>
    <w:p>
      <w:pPr>
        <w:spacing w:after="0" w:line="130"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exposure to potential misappropriation of our intellectual property;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limited warranties on subassemblies and components supplied to us.</w:t>
      </w:r>
    </w:p>
    <w:p>
      <w:pPr>
        <w:spacing w:after="0" w:line="22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140"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267"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54"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We also rely on Ninebell Co., Ltd., or Ninebell, which is the principal supplier of robotic delivery system subassemblies used in our single-wafer cleaning equipment. An adverse change to our relationship with ProSys or Ninebell would disrupt our production of single-wafer cleaning equipment and could cause substantial harm to our business.</w:t>
      </w:r>
    </w:p>
    <w:p>
      <w:pPr>
        <w:spacing w:after="0" w:line="180"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60"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Moreover, some of our suppliers may experience financial difficulties that could prevent them from supplying us with components or subassemblies used in the design and manufacture of our products. In addition,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448" w:right="2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281" w:lineRule="exact"/>
        <w:rPr>
          <w:sz w:val="20"/>
          <w:szCs w:val="20"/>
          <w:color w:val="auto"/>
        </w:rPr>
      </w:pPr>
    </w:p>
    <w:p>
      <w:pPr>
        <w:jc w:val="both"/>
        <w:ind w:right="280"/>
        <w:spacing w:after="0" w:line="357" w:lineRule="auto"/>
        <w:rPr>
          <w:sz w:val="20"/>
          <w:szCs w:val="20"/>
          <w:color w:val="auto"/>
        </w:rPr>
      </w:pPr>
      <w:r>
        <w:rPr>
          <w:rFonts w:ascii="Arial" w:cs="Arial" w:eastAsia="Arial" w:hAnsi="Arial"/>
          <w:sz w:val="15"/>
          <w:szCs w:val="15"/>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8"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received subsidies from local and central governmental authorities in the PRC in 2008, 2009 and 2014.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SAPS and TEBO. To the extent that we receive a lower level of, or no, governmental subsidies in the future, we may need to raise additional funds through public or private financings, strategic relationships, or other arrangements.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business will depend on our ability to manage any future growth.</w:t>
      </w:r>
    </w:p>
    <w:p>
      <w:pPr>
        <w:spacing w:after="0" w:line="117" w:lineRule="exact"/>
        <w:rPr>
          <w:sz w:val="20"/>
          <w:szCs w:val="20"/>
          <w:color w:val="auto"/>
        </w:rPr>
      </w:pPr>
    </w:p>
    <w:p>
      <w:pPr>
        <w:ind w:right="80" w:firstLine="457"/>
        <w:spacing w:after="0" w:line="301" w:lineRule="auto"/>
        <w:rPr>
          <w:sz w:val="20"/>
          <w:szCs w:val="20"/>
          <w:color w:val="auto"/>
        </w:rPr>
      </w:pPr>
      <w:r>
        <w:rPr>
          <w:rFonts w:ascii="Arial" w:cs="Arial" w:eastAsia="Arial" w:hAnsi="Arial"/>
          <w:sz w:val="15"/>
          <w:szCs w:val="15"/>
          <w:color w:val="auto"/>
        </w:rPr>
        <w:t>We have experienced rapid growth in our business recently due, in part, to an expansion of our product offerings and an increase in the number of customers that we serve. For example, our headcount grew by 18.7% during 2016 and by an additional 28.1% from January 1, 2017 to September 30, 2017.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63" w:lineRule="exact"/>
        <w:rPr>
          <w:sz w:val="20"/>
          <w:szCs w:val="20"/>
          <w:color w:val="auto"/>
        </w:rPr>
      </w:pPr>
    </w:p>
    <w:p>
      <w:pPr>
        <w:ind w:left="900" w:right="320" w:hanging="439"/>
        <w:spacing w:after="0" w:line="287"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hire, train, integrate and manage additional qualified engineers for research and development activities, sales and marketing personnel, service and support personnel and financial and information technology personnel;</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manage multiple relationships with our customers, suppliers and other third parties;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enhance our information technology infrastructure, systems and controls.</w:t>
      </w:r>
    </w:p>
    <w:p>
      <w:pPr>
        <w:spacing w:after="0" w:line="222"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highly dependent on our Chief Executive Officer and President and other senior management and key employees.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success largely depends on the skills, experience and continued efforts of our management, technical and sales personnel, including in particular</w:t>
      </w:r>
    </w:p>
    <w:p>
      <w:pPr>
        <w:spacing w:after="0" w:line="3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Dr. David H. Wang, our Chair of the Board, Chief Executive Officer, President and founder. If one or more of our senior management were unable or unwilling to continue their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8"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his or her employment at any time. The loss of Dr. Wang or other key management personnel could significantly delay or prevent the achievement of our business objectives.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129"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certain U.S. and state net operating loss carryforwards may be limited under applicable tax laws.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June 30, 2017, we had net operating loss carryforward amounts, or NOLs, of $18.9 million for U.S. federal income tax purposes and $322,000 for U.S.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state income tax purposes. The federal and state NOLs will expire at various dates beginning in 2036.</w:t>
      </w:r>
    </w:p>
    <w:p>
      <w:pPr>
        <w:spacing w:after="0" w:line="20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this offering, the concurrent private placement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that we pursue in the future, whether or not consummated, could result in other operating and financial difficulties.</w:t>
      </w:r>
    </w:p>
    <w:p>
      <w:pPr>
        <w:spacing w:after="0" w:line="117"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80"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To the extent that we consummate acquisitions or investments, we may face financial risks as a result, including increased costs associated with merged or acquired operations, increased indebtedness, economic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8"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dilution to gross and operating profit and earnings per share, or unanticipated costs and liabilities. Acquisitions may involve additional risks, including:</w:t>
      </w:r>
    </w:p>
    <w:p>
      <w:pPr>
        <w:spacing w:after="0" w:line="130" w:lineRule="exact"/>
        <w:rPr>
          <w:sz w:val="20"/>
          <w:szCs w:val="20"/>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acquired product lines, technologies or businesses may not improve our financial and strategic position as planned;</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determine we have overpaid for the product lines, technologies or businesses, or that the economic conditions underlying our acquisition have changed;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have difficulty integrating the operations and personnel of the acquired company;</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have difficulty retaining the employees with the technical skills needed to enhance and provide services with respect to the acquired product lines or technologies;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acquisition may be viewed negatively by customers, employees, suppliers, financial markets or investors;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have difficulty incorporating the acquired product lines or technologies with our existing technologies;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encounter a competitive response, including price competition or intellectual property litigation;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incur one-time write-offs, such as acquired in-process research and development costs, and restructuring charges;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acquire goodwill and other intangible assets that are subject to impairment tests, which could result in future impairment charges;</w:t>
      </w:r>
    </w:p>
    <w:p>
      <w:pPr>
        <w:spacing w:after="0" w:line="130" w:lineRule="exact"/>
        <w:rPr>
          <w:rFonts w:ascii="Arial" w:cs="Arial" w:eastAsia="Arial" w:hAnsi="Arial"/>
          <w:sz w:val="17"/>
          <w:szCs w:val="17"/>
          <w:color w:val="auto"/>
        </w:rPr>
      </w:pPr>
    </w:p>
    <w:p>
      <w:pPr>
        <w:ind w:left="900" w:right="340" w:hanging="439"/>
        <w:spacing w:after="0" w:line="287"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ongoing business and management’s attention may be disrupted or diverted by transition or integration issues and the complexity of managing geographically or culturally diverse enterprises;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due diligence process may fail to identify significant existing issues with the target business.</w:t>
      </w:r>
    </w:p>
    <w:p>
      <w:pPr>
        <w:spacing w:after="0" w:line="222"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276"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5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89" w:lineRule="exact"/>
        <w:rPr>
          <w:sz w:val="20"/>
          <w:szCs w:val="20"/>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decline in demand for our products;</w:t>
      </w:r>
    </w:p>
    <w:p>
      <w:pPr>
        <w:spacing w:after="0" w:line="130" w:lineRule="exact"/>
        <w:rPr>
          <w:rFonts w:ascii="Arial" w:cs="Arial" w:eastAsia="Arial" w:hAnsi="Arial"/>
          <w:sz w:val="17"/>
          <w:szCs w:val="17"/>
          <w:color w:val="auto"/>
        </w:rPr>
      </w:pPr>
    </w:p>
    <w:p>
      <w:pPr>
        <w:ind w:left="5620" w:right="4400" w:hanging="5159"/>
        <w:spacing w:after="0" w:line="463" w:lineRule="auto"/>
        <w:tabs>
          <w:tab w:leader="none" w:pos="8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increase in reserves on accounts receivable due to our customers’ inability to pay us; 25</w:t>
      </w:r>
    </w:p>
    <w:p>
      <w:pPr>
        <w:sectPr>
          <w:pgSz w:w="11900" w:h="16838" w:orient="portrait"/>
          <w:cols w:equalWidth="0" w:num="1">
            <w:col w:w="11400"/>
          </w:cols>
          <w:pgMar w:left="240" w:top="448" w:right="2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increase in reserves on inventory balances due to excess or obsolete inventory as a result of our inability to sell such inventory;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valuation allowances on deferred tax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restructuring charges;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asset impairments including the potential impairment of goodwill and other intangible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decline in the value of our investments;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decline in the value of certain facilities we lease to less than our residual value guarantee with the lessor;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challenges maintaining reliable and uninterrupted sources of supply.</w:t>
      </w:r>
    </w:p>
    <w:p>
      <w:pPr>
        <w:spacing w:after="0" w:line="222"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129" w:lineRule="exact"/>
        <w:rPr>
          <w:sz w:val="20"/>
          <w:szCs w:val="20"/>
          <w:color w:val="auto"/>
        </w:rPr>
      </w:pPr>
    </w:p>
    <w:p>
      <w:pPr>
        <w:jc w:val="both"/>
        <w:ind w:right="320" w:firstLine="457"/>
        <w:spacing w:after="0" w:line="296" w:lineRule="auto"/>
        <w:rPr>
          <w:sz w:val="20"/>
          <w:szCs w:val="20"/>
          <w:color w:val="auto"/>
        </w:rPr>
      </w:pPr>
      <w:r>
        <w:rPr>
          <w:rFonts w:ascii="Arial" w:cs="Arial" w:eastAsia="Arial" w:hAnsi="Arial"/>
          <w:sz w:val="16"/>
          <w:szCs w:val="16"/>
          <w:color w:val="auto"/>
        </w:rPr>
        <w:t>All of our sales in 2015, 2016 and the first half of 2017 were made to customers outside the United States. Our manufacturing center has been located in Shanghai, PRC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62" w:lineRule="exact"/>
        <w:rPr>
          <w:sz w:val="20"/>
          <w:szCs w:val="20"/>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imposition of, or adverse changes in, foreign laws or regulatory requirements;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need to comply with the import laws and regulations of various foreign jurisdictions, including a range of U.S. import laws;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potentially adverse tax consequences, including withholding tax rules that may limit the repatriation of our earnings, and higher effective income tax rates in foreign countries where we conduct business;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competition from local suppliers with which potential customers may prefer to do business;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seasonal reduction in business activity, such as during Chinese, or Lunar, New Year in parts of Asia and in other periods in various individual countries;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exposure to foreign currency exchange rates;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reduced protection for intellectual property;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longer sales cycles and reliance on indirect sales in certain regions;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length of time for shipping and acceptance of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greater difficulty in responding to customer requests for maintenance and spare parts on a timely basis;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greater difficulty in enforcing contracts and accounts receivable collection and longer collection periods;</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and the increased travel, infrastructure and legal and compliance costs associated with multiple international locations;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80"/>
          </w:cols>
          <w:pgMar w:left="240" w:top="448" w:right="27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560" w:hanging="439"/>
        <w:spacing w:after="0" w:line="287"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66"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58"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In particular, the Asian market is extremely competitive, and chip manufacturers may be aggressive in seeking price concessions from suppliers, including chip equipment manufacturers.</w:t>
      </w:r>
    </w:p>
    <w:p>
      <w:pPr>
        <w:spacing w:after="0" w:line="158"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 in foreign currency exchange rates may adversely affect our results of operations and financial position.</w:t>
      </w:r>
    </w:p>
    <w:p>
      <w:pPr>
        <w:spacing w:after="0" w:line="11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Our results of operations and financial position could be adversely affected as a result of fluctuations in foreign currency exchange rates. Although our financial statements are denominated in U.S. dollars, a sizable portion of our revenues and costs are denominated in other currencies, primarily the Chinese Renminbi.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270"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54"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158"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66" w:lineRule="exact"/>
        <w:rPr>
          <w:sz w:val="20"/>
          <w:szCs w:val="20"/>
          <w:color w:val="auto"/>
        </w:rPr>
      </w:pPr>
    </w:p>
    <w:p>
      <w:pPr>
        <w:ind w:right="300" w:firstLine="457"/>
        <w:spacing w:after="0" w:line="296" w:lineRule="auto"/>
        <w:rPr>
          <w:sz w:val="20"/>
          <w:szCs w:val="20"/>
          <w:color w:val="auto"/>
        </w:rPr>
      </w:pPr>
      <w:r>
        <w:rPr>
          <w:rFonts w:ascii="Arial" w:cs="Arial" w:eastAsia="Arial" w:hAnsi="Arial"/>
          <w:sz w:val="16"/>
          <w:szCs w:val="16"/>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8"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76"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285"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54"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7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87"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2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68" w:lineRule="exact"/>
        <w:rPr>
          <w:sz w:val="20"/>
          <w:szCs w:val="20"/>
          <w:color w:val="auto"/>
        </w:rPr>
      </w:pPr>
    </w:p>
    <w:p>
      <w:pPr>
        <w:ind w:right="300" w:firstLine="457"/>
        <w:spacing w:after="0" w:line="266" w:lineRule="auto"/>
        <w:rPr>
          <w:sz w:val="20"/>
          <w:szCs w:val="20"/>
          <w:color w:val="auto"/>
        </w:rPr>
      </w:pPr>
      <w:r>
        <w:rPr>
          <w:rFonts w:ascii="Arial" w:cs="Arial" w:eastAsia="Arial" w:hAnsi="Arial"/>
          <w:sz w:val="17"/>
          <w:szCs w:val="17"/>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8"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production facilities could be damaged or disrupted by a natural disaster, war, terrorist attacks or other catastrophic events.</w:t>
      </w:r>
    </w:p>
    <w:p>
      <w:pPr>
        <w:spacing w:after="0" w:line="11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2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68" w:lineRule="exact"/>
        <w:rPr>
          <w:sz w:val="20"/>
          <w:szCs w:val="20"/>
          <w:color w:val="auto"/>
        </w:rPr>
      </w:pPr>
    </w:p>
    <w:p>
      <w:pPr>
        <w:ind w:right="220" w:firstLine="457"/>
        <w:spacing w:after="0" w:line="284"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163"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In connection with its audits of our consolidated financial statements as of, and for the years ended, December 31, 2016 and 2015,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Securities and Exchange Commission financial reporting requirements. We are taking remedial measures to improve the effectiveness of our controls, including by hiring additional accounting and finance personnel and by engaging outside consulting firms.</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the measures we take will be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48" w:right="2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sufficient to remediate the material weakness identified by BDO China or that we will implement and maintain adequate controls over our financial processes and reporting in the future in order to avoid additional material weaknesses or controlled deficiencies in our internal control over financing reporting. If our remediation efforts are not successful or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267"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54"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BDO China Shu Lun Pan Certified Public Accountants LLP, or BDO China, is the independent registered public accounting firm that issued the audit report included at the end of this prospectus in connection with our consolidated financial statements as of, and for the years ended, December 31, 2016 and 2015.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81"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In May 2013 the PCAOB announced that it has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81"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Intellectual Property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our ability to protect our intellectual property, including our SAPS and TEBO technologies.</w:t>
      </w:r>
    </w:p>
    <w:p>
      <w:pPr>
        <w:spacing w:after="0" w:line="117" w:lineRule="exact"/>
        <w:rPr>
          <w:sz w:val="20"/>
          <w:szCs w:val="20"/>
          <w:color w:val="auto"/>
        </w:rPr>
      </w:pPr>
    </w:p>
    <w:p>
      <w:pPr>
        <w:jc w:val="both"/>
        <w:ind w:right="220" w:firstLine="457"/>
        <w:spacing w:after="0" w:line="281"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and TEBO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448" w:right="2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72" w:lineRule="exact"/>
        <w:rPr>
          <w:sz w:val="20"/>
          <w:szCs w:val="20"/>
          <w:color w:val="auto"/>
        </w:rPr>
      </w:pPr>
    </w:p>
    <w:p>
      <w:pPr>
        <w:ind w:right="580" w:firstLine="457"/>
        <w:spacing w:after="0" w:line="357" w:lineRule="auto"/>
        <w:rPr>
          <w:sz w:val="20"/>
          <w:szCs w:val="20"/>
          <w:color w:val="auto"/>
        </w:rPr>
      </w:pPr>
      <w:r>
        <w:rPr>
          <w:rFonts w:ascii="Arial" w:cs="Arial" w:eastAsia="Arial" w:hAnsi="Arial"/>
          <w:sz w:val="15"/>
          <w:szCs w:val="15"/>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21" w:lineRule="exact"/>
        <w:rPr>
          <w:sz w:val="20"/>
          <w:szCs w:val="20"/>
          <w:color w:val="auto"/>
        </w:rPr>
      </w:pPr>
    </w:p>
    <w:p>
      <w:pPr>
        <w:ind w:left="900" w:right="140" w:hanging="439"/>
        <w:spacing w:after="0" w:line="266"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5"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Patent applications may not result in any patents being issued.</w:t>
      </w:r>
    </w:p>
    <w:p>
      <w:pPr>
        <w:spacing w:after="0" w:line="130" w:lineRule="exact"/>
        <w:rPr>
          <w:rFonts w:ascii="Arial" w:cs="Arial" w:eastAsia="Arial" w:hAnsi="Arial"/>
          <w:sz w:val="17"/>
          <w:szCs w:val="17"/>
          <w:color w:val="auto"/>
        </w:rPr>
      </w:pPr>
    </w:p>
    <w:p>
      <w:pPr>
        <w:ind w:left="900" w:right="60" w:hanging="439"/>
        <w:spacing w:after="0" w:line="287"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Patents that may be issued may be challenged, invalidated, modified, revoked, circumvented, found to be unenforceable or otherwise may not provide any competitive advantage.</w:t>
      </w:r>
    </w:p>
    <w:p>
      <w:pPr>
        <w:spacing w:after="0" w:line="66" w:lineRule="exact"/>
        <w:rPr>
          <w:rFonts w:ascii="Arial" w:cs="Arial" w:eastAsia="Arial" w:hAnsi="Arial"/>
          <w:sz w:val="17"/>
          <w:szCs w:val="17"/>
          <w:color w:val="auto"/>
        </w:rPr>
      </w:pPr>
    </w:p>
    <w:p>
      <w:pPr>
        <w:ind w:left="900" w:right="560" w:hanging="439"/>
        <w:spacing w:after="0" w:line="287"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may seek or may have already obtained patents that will limit, interfere with, or eliminate our ability to make, use and sell our potential product candidates.</w:t>
      </w:r>
    </w:p>
    <w:p>
      <w:pPr>
        <w:spacing w:after="0" w:line="66"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58" w:lineRule="exact"/>
        <w:rPr>
          <w:sz w:val="20"/>
          <w:szCs w:val="20"/>
          <w:color w:val="auto"/>
        </w:rPr>
      </w:pPr>
    </w:p>
    <w:p>
      <w:pPr>
        <w:ind w:right="240" w:firstLine="457"/>
        <w:spacing w:after="0" w:line="288"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materially, negatively affect our business.</w:t>
      </w:r>
    </w:p>
    <w:p>
      <w:pPr>
        <w:spacing w:after="0" w:line="117"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Filing, prosecuting and defending patents on our products or proprietary technologies in all countries throughout the world would be prohibitively expensive, and our intellectual property rights in some countries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448"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287"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54"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 Any potential intellectual property claims or litigation commenced against us could:</w:t>
      </w:r>
    </w:p>
    <w:p>
      <w:pPr>
        <w:spacing w:after="0" w:line="62" w:lineRule="exact"/>
        <w:rPr>
          <w:sz w:val="20"/>
          <w:szCs w:val="20"/>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time consuming and expensive to defend, whether or not meritorious;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force us to stop selling products or using technology that allegedly infringes the third party’s intellectual property rights;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 shipments of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us to pay damages or settlement fees to the party claiming infringement;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us to attempt to obtain a license to the relevant intellectual property, which may not be available on reasonable terms or at all;</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force us to attempt to redesign products that contain the allegedly infringing technology, which could be expensive or which we may be unable to do;</w:t>
      </w:r>
    </w:p>
    <w:p>
      <w:pPr>
        <w:spacing w:after="0" w:line="141" w:lineRule="exact"/>
        <w:rPr>
          <w:rFonts w:ascii="Arial" w:cs="Arial" w:eastAsia="Arial" w:hAnsi="Arial"/>
          <w:sz w:val="16"/>
          <w:szCs w:val="16"/>
          <w:color w:val="auto"/>
        </w:rPr>
      </w:pPr>
    </w:p>
    <w:p>
      <w:pPr>
        <w:ind w:left="900" w:right="280" w:hanging="439"/>
        <w:spacing w:after="0" w:line="287"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us to indemnify our customers, suppliers or other third parties for any loss caused by their use of our technology that allegedly infringes the third party’s intellectual property rights;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divert the attention of our technical and managerial resources.</w:t>
      </w:r>
    </w:p>
    <w:p>
      <w:pPr>
        <w:spacing w:after="0" w:line="222" w:lineRule="exact"/>
        <w:rPr>
          <w:sz w:val="20"/>
          <w:szCs w:val="20"/>
          <w:color w:val="auto"/>
        </w:rPr>
      </w:pPr>
    </w:p>
    <w:p>
      <w:pPr>
        <w:ind w:right="80" w:firstLine="457"/>
        <w:spacing w:after="0" w:line="320"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8"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Initial Public Offering and Ownership of Class A Common Stock</w:t>
      </w:r>
    </w:p>
    <w:p>
      <w:pPr>
        <w:spacing w:after="0" w:line="123"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b w:val="1"/>
          <w:bCs w:val="1"/>
          <w:i w:val="1"/>
          <w:iCs w:val="1"/>
          <w:color w:val="auto"/>
        </w:rPr>
        <w:t>The market price of Class A common stock may be volatile or may decline regardless of our operating performance, and you may not be able to resell your shares at or above the initial public offering price.</w:t>
      </w:r>
    </w:p>
    <w:p>
      <w:pPr>
        <w:spacing w:after="0" w:line="5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initial public offering price for Class A common stock was determined through negotiations between the underwriters and us and may vary from the market price of Class A common stock following this offering. If you purchase shares of Class A common stock in this offering, you may not be able to resell those shares at or above the initial public offering price. We cannot assure you that the market price following this offering will equal or exceed prices in privately negotiated transactions of our stock that have occurred from time to time prior to this offering. The market price of Class A common stock may fluctuate significantly in response to numerous factors, many of which are beyond our control, including:</w:t>
      </w:r>
    </w:p>
    <w:p>
      <w:pPr>
        <w:spacing w:after="0" w:line="89" w:lineRule="exact"/>
        <w:rPr>
          <w:sz w:val="20"/>
          <w:szCs w:val="20"/>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actual or anticipated fluctuations in our revenue and other operating results;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66"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operating results;</w:t>
      </w:r>
    </w:p>
    <w:p>
      <w:pPr>
        <w:spacing w:after="0" w:line="130" w:lineRule="exact"/>
        <w:rPr>
          <w:rFonts w:ascii="Arial" w:cs="Arial" w:eastAsia="Arial" w:hAnsi="Arial"/>
          <w:sz w:val="17"/>
          <w:szCs w:val="17"/>
          <w:color w:val="auto"/>
        </w:rPr>
      </w:pPr>
    </w:p>
    <w:p>
      <w:pPr>
        <w:ind w:left="900" w:right="26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changes in the financial projections we may provide to the public, our failure to meet these projections, or changes in recommendations by any securities analysts that elect to follow Class A common stock;</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additional shares of Class A common stock being sold into the market by us or our existing stockholders or the anticipation of such sales;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including as a result of trends in the economy as a whole;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litigation and other developments relating to our patents or other proprietary rights or those of our competitors;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41" w:lineRule="exact"/>
        <w:rPr>
          <w:rFonts w:ascii="Arial" w:cs="Arial" w:eastAsia="Arial" w:hAnsi="Arial"/>
          <w:sz w:val="16"/>
          <w:szCs w:val="16"/>
          <w:color w:val="auto"/>
        </w:rPr>
      </w:pPr>
    </w:p>
    <w:p>
      <w:pPr>
        <w:ind w:left="900" w:right="42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trends, including changes in the demand for electronics or information technology or geopolitical events such as war or acts of terrorism, or any responses to such events.</w:t>
      </w:r>
    </w:p>
    <w:p>
      <w:pPr>
        <w:spacing w:after="0" w:line="158"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In recent years, the stock market in general, and the Nasdaq Global Market, or Nasdaq, in particular, has experienced extreme price and volume fluctuations that have often been unrelated or disproportionate to changes in the operating performance of the companies whose stock is experiencing those price and volume fluctuations. These fluctuations may be even more pronounced in the trading market for our stock shortly following this offering.</w:t>
      </w:r>
    </w:p>
    <w:p>
      <w:pPr>
        <w:spacing w:after="0" w:line="25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68" w:lineRule="exact"/>
        <w:rPr>
          <w:sz w:val="20"/>
          <w:szCs w:val="20"/>
          <w:color w:val="auto"/>
        </w:rPr>
      </w:pPr>
    </w:p>
    <w:p>
      <w:pPr>
        <w:jc w:val="both"/>
        <w:ind w:right="20" w:firstLine="457"/>
        <w:spacing w:after="0" w:line="271" w:lineRule="auto"/>
        <w:rPr>
          <w:sz w:val="20"/>
          <w:szCs w:val="20"/>
          <w:color w:val="auto"/>
        </w:rPr>
      </w:pPr>
      <w:r>
        <w:rPr>
          <w:rFonts w:ascii="Arial" w:cs="Arial" w:eastAsia="Arial" w:hAnsi="Arial"/>
          <w:sz w:val="17"/>
          <w:szCs w:val="17"/>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80"/>
          </w:cols>
          <w:pgMar w:left="240" w:top="448" w:right="2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public market for Class A common stock currently exists, and an active trading market may not develop or be sustained following this offering.</w:t>
      </w:r>
    </w:p>
    <w:p>
      <w:pPr>
        <w:spacing w:after="0" w:line="129" w:lineRule="exact"/>
        <w:rPr>
          <w:sz w:val="20"/>
          <w:szCs w:val="20"/>
          <w:color w:val="auto"/>
        </w:rPr>
      </w:pPr>
    </w:p>
    <w:p>
      <w:pPr>
        <w:jc w:val="both"/>
        <w:ind w:right="280" w:firstLine="457"/>
        <w:spacing w:after="0" w:line="266" w:lineRule="auto"/>
        <w:rPr>
          <w:sz w:val="20"/>
          <w:szCs w:val="20"/>
          <w:color w:val="auto"/>
        </w:rPr>
      </w:pPr>
      <w:r>
        <w:rPr>
          <w:rFonts w:ascii="Arial" w:cs="Arial" w:eastAsia="Arial" w:hAnsi="Arial"/>
          <w:sz w:val="17"/>
          <w:szCs w:val="17"/>
          <w:color w:val="auto"/>
        </w:rPr>
        <w:t>Prior to this offering, there has been no public market for Class A common stock. An active trading market may not develop following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a liquid market for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this offering and the concurrent private placement and may not use them effectively.</w:t>
      </w:r>
    </w:p>
    <w:p>
      <w:pPr>
        <w:spacing w:after="0" w:line="129"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and the concurrent private placement. Our management will have broad discretion in the application of the net proceeds, including working capital and other general corporate purposes, and we may spend or invest these proceeds in a way with which our stockholders disagree. The failure by our management to apply these funds effectively could harm our business and financial condition. Pending their use, we may invest the net proceeds in a manner that does not produce income or that loses value.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securities or industry analysts publish inaccurate or unfavorable research about our business, our stock price could decline.</w:t>
      </w:r>
    </w:p>
    <w:p>
      <w:pPr>
        <w:spacing w:after="0" w:line="117"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285"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b w:val="1"/>
          <w:bCs w:val="1"/>
          <w:i w:val="1"/>
          <w:iCs w:val="1"/>
          <w:color w:val="auto"/>
        </w:rPr>
        <w:t>Requirements associated with being a public reporting company will increase our costs significantly, as well as divert significant company resources and management attention.</w:t>
      </w:r>
    </w:p>
    <w:p>
      <w:pPr>
        <w:spacing w:after="0" w:line="54"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We will be subject to the reporting requirements of the Securities Exchange Act, the Sarbanes-Oxley Act, the Dodd-Frank Wall Street Reform and Consumer Protection Act, the listing requirements of Nasdaq, and other rules and regulations of the SEC upon consummation of this offering.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54"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8"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00"/>
        <w:spacing w:after="0" w:line="287" w:lineRule="auto"/>
        <w:rPr>
          <w:sz w:val="20"/>
          <w:szCs w:val="20"/>
          <w:color w:val="auto"/>
        </w:rPr>
      </w:pPr>
      <w:r>
        <w:rPr>
          <w:rFonts w:ascii="Arial" w:cs="Arial" w:eastAsia="Arial" w:hAnsi="Arial"/>
          <w:sz w:val="17"/>
          <w:szCs w:val="17"/>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54"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72"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Class A common stock in this offering, you will experience substantial and immediate dilution.</w:t>
      </w:r>
    </w:p>
    <w:p>
      <w:pPr>
        <w:spacing w:after="0" w:line="11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If you purchase shares of Class A common stock in this offering, you will experience substantial and immediate dilution in the pro forma as adjusted net tangible book value per share of Class A common stock of $2.37 per share as of June 30, 2017. Investors purchasing Class A common stock in this offering will pay a price per share that substantially exceeds the pro forma as adjusted net tangible book value per share. As a result, investors purchasing Class A common stock in this offering will incur immediate dilution of $3.23 per share. This dilution is due in large part to the fact that some of our earlier investors paid substantially less than the initial public offering price when they purchased their shares of our capital stock. You may experience additional dilution upon exercise of options to purchase Class A common stock under our equity incentive plans or if we issue restricted stock to our employees under our equity incentive plans, and you may experience additional dilution in the future if we otherwise issue additional shares of Class A common stock.</w:t>
      </w:r>
    </w:p>
    <w:p>
      <w:pPr>
        <w:spacing w:after="0" w:line="270"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54"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Class B common stock has twenty votes per share and Class A common stock has one vote per share. Stockholders who hold shares of Class B common stock, who consist principally of our executive officers, employees, directors and their respective affiliates, will collectively hold 79.1% of the voting power of our outstanding capital stock following this offering and the concurrent private placement.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72"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8"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by existing stockholders, or the perception that such sales may occur, could cause our stock price to decline.</w:t>
      </w:r>
    </w:p>
    <w:p>
      <w:pPr>
        <w:spacing w:after="0" w:line="12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Class A common stock in the public market, or are perceived by the public market as intending to sell substantial numbers of shares of Class A common stock, the trading price of Class A common stock could decline below the initial public offering price. Based on shares outstanding as of November 2, 2017, upon completion of this offering and the concurrent private placement, we will have 15,112,184 outstanding shares of common stock. Of these shares, only the shares of Class A common stock sold in this offering and registered shares issued pursuant to our equity plans will be freely tradable in the public market, subject to any applicable lock-up agreements or Rule 144 transfer restrictions applicable to affiliates. Our officers, directors and certain holders of our equity securities have entered into contractual lock-up agreements with the underwriters pursuant to which they have agreed, subject to certain exceptions, not to sell or otherwise transfer any of their common stock or securities convertible into or exchangeable for shares of common stock for a period of 180 days after the date of the final prospectus for this offering. We and the lead underwriter in this offering may, however, permit these holders to sell shares prior to the expiration of the lock-up agreements with the underwriters.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on shares outstanding as of November 2, 2017, of the 13,112,284 shares of common stock that were not offered and sold in this offering:</w:t>
      </w:r>
    </w:p>
    <w:p>
      <w:pPr>
        <w:spacing w:after="0" w:line="130" w:lineRule="exact"/>
        <w:rPr>
          <w:sz w:val="20"/>
          <w:szCs w:val="20"/>
          <w:color w:val="auto"/>
        </w:rPr>
      </w:pPr>
    </w:p>
    <w:p>
      <w:pPr>
        <w:ind w:left="900" w:hanging="43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129,891 shares will be eligible for sale in the public market immediately upon completion of this offering; and</w:t>
      </w:r>
    </w:p>
    <w:p>
      <w:pPr>
        <w:spacing w:after="0" w:line="130" w:lineRule="exact"/>
        <w:rPr>
          <w:rFonts w:ascii="Arial" w:cs="Arial" w:eastAsia="Arial" w:hAnsi="Arial"/>
          <w:sz w:val="17"/>
          <w:szCs w:val="17"/>
          <w:color w:val="auto"/>
        </w:rPr>
      </w:pPr>
    </w:p>
    <w:p>
      <w:pPr>
        <w:ind w:left="900" w:right="20" w:hanging="439"/>
        <w:spacing w:after="0" w:line="320"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 to 12,982,393 shares will be eligible for sale in the public market beginning 180 days from the date of this prospectus, 8,790,975 of which are held by directors, executive officers and other affiliates and will be subject to volume and other limitations under Rule 144 under the Securities Act.</w:t>
      </w:r>
    </w:p>
    <w:p>
      <w:pPr>
        <w:spacing w:after="0" w:line="239"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i w:val="1"/>
          <w:iCs w:val="1"/>
          <w:color w:val="auto"/>
        </w:rPr>
        <w:t>Delaware law and provisions in our restated charter and bylaws could make a merger, tender offer or proxy contest difficult, thereby depressing the trading price of Class A common stock.</w:t>
      </w:r>
    </w:p>
    <w:p>
      <w:pPr>
        <w:spacing w:after="0" w:line="54"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restated charter and bylaws contain provisions that may make the acquisition of our company more difficult, including the following:</w:t>
      </w:r>
    </w:p>
    <w:p>
      <w:pPr>
        <w:spacing w:after="0" w:line="85" w:lineRule="exact"/>
        <w:rPr>
          <w:sz w:val="20"/>
          <w:szCs w:val="20"/>
          <w:color w:val="auto"/>
        </w:rPr>
      </w:pPr>
    </w:p>
    <w:p>
      <w:pPr>
        <w:ind w:left="900" w:right="240" w:hanging="439"/>
        <w:spacing w:after="0" w:line="271"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combined voting power of common stock:</w:t>
      </w:r>
    </w:p>
    <w:p>
      <w:pPr>
        <w:spacing w:after="0" w:line="130" w:lineRule="exact"/>
        <w:rPr>
          <w:rFonts w:ascii="Arial" w:cs="Arial" w:eastAsia="Arial" w:hAnsi="Arial"/>
          <w:sz w:val="17"/>
          <w:szCs w:val="17"/>
          <w:color w:val="auto"/>
        </w:rPr>
      </w:pPr>
    </w:p>
    <w:p>
      <w:pPr>
        <w:ind w:left="1480" w:right="140" w:hanging="563"/>
        <w:spacing w:after="0" w:line="287" w:lineRule="auto"/>
        <w:tabs>
          <w:tab w:leader="none" w:pos="14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amendments to our restated charter or bylaws will require the approval of two-thirds of the combined vote of our then-outstanding shares of Class A and Class B common stock;</w:t>
      </w:r>
    </w:p>
    <w:p>
      <w:pPr>
        <w:spacing w:after="0" w:line="66" w:lineRule="exact"/>
        <w:rPr>
          <w:rFonts w:ascii="Arial" w:cs="Arial" w:eastAsia="Arial" w:hAnsi="Arial"/>
          <w:sz w:val="17"/>
          <w:szCs w:val="17"/>
          <w:color w:val="auto"/>
        </w:rPr>
      </w:pPr>
    </w:p>
    <w:p>
      <w:pPr>
        <w:ind w:left="1480" w:hanging="563"/>
        <w:spacing w:after="0"/>
        <w:tabs>
          <w:tab w:leader="none" w:pos="14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vacancies on the board of directors will be able to be filled only by the board and not by stockholders;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board, which currently is not staggered, will be automatically separated into three classes with staggered three-year terms;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directors will only be able to be removed from office for cause; and</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our stockholders will only be able to take action at a meeting and not by written consent;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only our chair, our chief executive officer or a majority of our directors will be authorized to call a special meeting of stockholders;</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advance notice procedures will apply for stockholders to nominate candidates for election as directors or to bring matters before an annual meeting of stockholders;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40"/>
          </w:cols>
          <w:pgMar w:left="240" w:top="448" w:right="3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240" w:hanging="439"/>
        <w:spacing w:after="0" w:line="28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restated charter will authorize undesignated preferred stock, the terms of which may be established, and shares of which may be issued, without stockholder approval;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cumulative voting in the election of directors is prohibited.</w:t>
      </w:r>
    </w:p>
    <w:p>
      <w:pPr>
        <w:spacing w:after="0" w:line="22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264"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Our restated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restated charter provides that the Court of Chancery of the State of Delaware will, to the fullest extent permitted by law, be the sole and exclusive forum</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118" w:lineRule="exact"/>
        <w:rPr>
          <w:sz w:val="20"/>
          <w:szCs w:val="20"/>
          <w:color w:val="auto"/>
        </w:rPr>
      </w:pPr>
    </w:p>
    <w:p>
      <w:pPr>
        <w:ind w:left="900" w:hanging="43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30" w:lineRule="exact"/>
        <w:rPr>
          <w:rFonts w:ascii="Arial" w:cs="Arial" w:eastAsia="Arial" w:hAnsi="Arial"/>
          <w:sz w:val="17"/>
          <w:szCs w:val="17"/>
          <w:color w:val="auto"/>
        </w:rPr>
      </w:pPr>
    </w:p>
    <w:p>
      <w:pPr>
        <w:ind w:left="900" w:right="60" w:hanging="439"/>
        <w:spacing w:after="0" w:line="287"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to us, our stockholders, creditors or other constituents by any of our directors, officers, other employees, agents or stockholders;</w:t>
      </w:r>
    </w:p>
    <w:p>
      <w:pPr>
        <w:spacing w:after="0" w:line="66"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that is governed by the internal affairs doctrine.</w:t>
      </w:r>
    </w:p>
    <w:p>
      <w:pPr>
        <w:spacing w:after="0" w:line="222"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restated charter related to choice of forum. The choice of forum provision in our restated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restated charter to be inapplicable or unenforceable in an action, we may incur additional costs associated with resolving such action in other jurisdictions, which could harm our business, results of operations and financial condition.</w:t>
      </w:r>
    </w:p>
    <w:p>
      <w:pPr>
        <w:spacing w:after="0" w:line="267"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5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In this prospectus, we have not included all of the executive compensation related information that would be required if we were not an emerging growth company.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48"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spacing w:after="0" w:line="357"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8" w:lineRule="exact"/>
        <w:rPr>
          <w:sz w:val="20"/>
          <w:szCs w:val="20"/>
          <w:color w:val="auto"/>
        </w:rPr>
      </w:pPr>
    </w:p>
    <w:p>
      <w:pPr>
        <w:ind w:right="100" w:firstLine="457"/>
        <w:spacing w:after="0" w:line="280" w:lineRule="auto"/>
        <w:rPr>
          <w:sz w:val="20"/>
          <w:szCs w:val="20"/>
          <w:color w:val="auto"/>
        </w:rPr>
      </w:pPr>
      <w:r>
        <w:rPr>
          <w:rFonts w:ascii="Arial" w:cs="Arial" w:eastAsia="Arial" w:hAnsi="Arial"/>
          <w:sz w:val="16"/>
          <w:szCs w:val="16"/>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66"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will require our management to perform system and process evaluation and testing to allow it to report on the effectiveness of our internal control over financial reporting.</w:t>
      </w:r>
    </w:p>
    <w:p>
      <w:pPr>
        <w:spacing w:after="0" w:line="176"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76" w:lineRule="exact"/>
        <w:rPr>
          <w:sz w:val="20"/>
          <w:szCs w:val="20"/>
          <w:color w:val="auto"/>
        </w:rPr>
      </w:pPr>
    </w:p>
    <w:p>
      <w:pPr>
        <w:ind w:right="300" w:firstLine="457"/>
        <w:spacing w:after="0" w:line="288"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6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448"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FORWARD-LOOKING STATEMENTS AND STATISTICAL DATA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historical facts, included in this prospectus regarding our strategy, future operations, future financial position, future revenue, projected costs, prospects, plans and objectives of management are forward-looking statements. The forward-looking statements are contained principally in “Prospectus Summary,” “Risk Factors,” “Management’s Discussion and Analysis of Financial Condition and Results of Operations” and “Business.”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w:t>
      </w:r>
    </w:p>
    <w:p>
      <w:pPr>
        <w:spacing w:after="0" w:line="16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Some of the key factors that could cause actual results to differ from our expectations include:</w:t>
      </w:r>
    </w:p>
    <w:p>
      <w:pPr>
        <w:spacing w:after="0" w:line="72" w:lineRule="exact"/>
        <w:rPr>
          <w:sz w:val="20"/>
          <w:szCs w:val="20"/>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expectations regarding our expenses and revenue, our ability to maintain and expand gross profit;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rate and degree of market acceptance of any of our products, particularly in the PRC;</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size and growth of the potential markets for our products and our ability to serve those markets;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progress and costs of developing and commercializing new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expectations regarding competition;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anticipated trends and challenges in our business and the market in which we operate;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anticipated growth strategies;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attract or retain key personnel;</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expectations regarding, and the stability of our, supply chain and manufacturing;</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expectations regarding federal, state and foreign regulatory requirements, including export controls, tax law changes and interpretations, economic sanctions and anti-corruption regulations;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for our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use of proceeds from this offering and the concurrent private placement.</w:t>
      </w:r>
    </w:p>
    <w:p>
      <w:pPr>
        <w:spacing w:after="0" w:line="222"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Any forward-looking statement made by us in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2"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60"/>
          </w:cols>
          <w:pgMar w:left="240" w:top="448" w:right="2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and Market Data</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This prospectus contains statistical data and estimates, including forecasts, that are based on independent industry and government organization publications or other publicly available information, as well as other information based on our internal sources. While we are not aware of any misstatements regarding any third-party data presented in this prospectus, estimates, and in particular forecasts, involve numerous assumptions and are subject to risks and uncertainties as well as change based on various factors, including those discussed under “Risk Factors” and elsewhere in this prospectus. These and other factors could cause results to differ materially from those expressed in the estimates included in this prospectus.</w:t>
      </w:r>
    </w:p>
    <w:p>
      <w:pPr>
        <w:spacing w:after="0" w:line="180" w:lineRule="exact"/>
        <w:rPr>
          <w:sz w:val="20"/>
          <w:szCs w:val="20"/>
          <w:color w:val="auto"/>
        </w:rPr>
      </w:pPr>
    </w:p>
    <w:p>
      <w:pPr>
        <w:ind w:right="260" w:firstLine="457"/>
        <w:spacing w:after="0" w:line="357" w:lineRule="auto"/>
        <w:rPr>
          <w:sz w:val="20"/>
          <w:szCs w:val="20"/>
          <w:color w:val="auto"/>
        </w:rPr>
      </w:pPr>
      <w:r>
        <w:rPr>
          <w:rFonts w:ascii="Arial" w:cs="Arial" w:eastAsia="Arial" w:hAnsi="Arial"/>
          <w:sz w:val="15"/>
          <w:szCs w:val="15"/>
          <w:color w:val="auto"/>
        </w:rPr>
        <w:t>The following list identifies the sources of certain of the third-party forecasts and other estimates included in this prospectus, together with the section or subsection of this prospectus in which that estimate appears. As of September 30, 2017, each of the following sources was publicly available without charge:</w:t>
      </w:r>
    </w:p>
    <w:p>
      <w:pPr>
        <w:spacing w:after="0" w:line="21" w:lineRule="exact"/>
        <w:rPr>
          <w:sz w:val="20"/>
          <w:szCs w:val="20"/>
          <w:color w:val="auto"/>
        </w:rPr>
      </w:pPr>
    </w:p>
    <w:p>
      <w:pPr>
        <w:ind w:left="900" w:right="260" w:hanging="439"/>
        <w:spacing w:after="0" w:line="287"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PricewaterhouseCoopers, </w:t>
      </w:r>
      <w:r>
        <w:rPr>
          <w:rFonts w:ascii="Arial" w:cs="Arial" w:eastAsia="Arial" w:hAnsi="Arial"/>
          <w:sz w:val="17"/>
          <w:szCs w:val="17"/>
          <w:i w:val="1"/>
          <w:iCs w:val="1"/>
          <w:color w:val="auto"/>
        </w:rPr>
        <w:t>China’s impact on the semiconductor industry: 2016 update</w:t>
      </w:r>
      <w:r>
        <w:rPr>
          <w:rFonts w:ascii="Arial" w:cs="Arial" w:eastAsia="Arial" w:hAnsi="Arial"/>
          <w:sz w:val="17"/>
          <w:szCs w:val="17"/>
          <w:color w:val="auto"/>
        </w:rPr>
        <w:t>, January 2017 (“Prospectus Summary—Our Company” and “Business—Industry Background—Growing Influence of the PRC Across the Semiconductor Industry”);</w:t>
      </w:r>
    </w:p>
    <w:p>
      <w:pPr>
        <w:spacing w:after="0" w:line="66" w:lineRule="exact"/>
        <w:rPr>
          <w:rFonts w:ascii="Arial" w:cs="Arial" w:eastAsia="Arial" w:hAnsi="Arial"/>
          <w:sz w:val="17"/>
          <w:szCs w:val="17"/>
          <w:color w:val="auto"/>
        </w:rPr>
      </w:pPr>
    </w:p>
    <w:p>
      <w:pPr>
        <w:ind w:left="900" w:right="760" w:hanging="439"/>
        <w:spacing w:after="0" w:line="287"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IC Insights, Inc., </w:t>
      </w:r>
      <w:r>
        <w:rPr>
          <w:rFonts w:ascii="Arial" w:cs="Arial" w:eastAsia="Arial" w:hAnsi="Arial"/>
          <w:sz w:val="17"/>
          <w:szCs w:val="17"/>
          <w:i w:val="1"/>
          <w:iCs w:val="1"/>
          <w:color w:val="auto"/>
        </w:rPr>
        <w:t>Semiconductor Unit Shipments To Exceed One Trillion Devices in 2018</w:t>
      </w:r>
      <w:r>
        <w:rPr>
          <w:rFonts w:ascii="Arial" w:cs="Arial" w:eastAsia="Arial" w:hAnsi="Arial"/>
          <w:sz w:val="17"/>
          <w:szCs w:val="17"/>
          <w:color w:val="auto"/>
        </w:rPr>
        <w:t>, March 7, 2016 (“Prospectus Summary—Industry Background and Trends” and “Business—Industry Background”);</w:t>
      </w:r>
    </w:p>
    <w:p>
      <w:pPr>
        <w:spacing w:after="0" w:line="66" w:lineRule="exact"/>
        <w:rPr>
          <w:rFonts w:ascii="Arial" w:cs="Arial" w:eastAsia="Arial" w:hAnsi="Arial"/>
          <w:sz w:val="17"/>
          <w:szCs w:val="17"/>
          <w:color w:val="auto"/>
        </w:rPr>
      </w:pPr>
    </w:p>
    <w:p>
      <w:pPr>
        <w:ind w:left="900" w:right="480" w:hanging="439"/>
        <w:spacing w:after="0" w:line="271"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Semiconductor Industry Association and Nathan Associates, </w:t>
      </w:r>
      <w:r>
        <w:rPr>
          <w:rFonts w:ascii="Arial" w:cs="Arial" w:eastAsia="Arial" w:hAnsi="Arial"/>
          <w:sz w:val="17"/>
          <w:szCs w:val="17"/>
          <w:i w:val="1"/>
          <w:iCs w:val="1"/>
          <w:color w:val="auto"/>
        </w:rPr>
        <w:t>Beyond Borders: The Global Semiconductor Value Chain: How an Interconnected</w:t>
      </w:r>
      <w:r>
        <w:rPr>
          <w:rFonts w:ascii="Arial" w:cs="Arial" w:eastAsia="Arial" w:hAnsi="Arial"/>
          <w:sz w:val="17"/>
          <w:szCs w:val="17"/>
          <w:color w:val="auto"/>
        </w:rPr>
        <w:t xml:space="preserve"> </w:t>
      </w:r>
      <w:r>
        <w:rPr>
          <w:rFonts w:ascii="Arial" w:cs="Arial" w:eastAsia="Arial" w:hAnsi="Arial"/>
          <w:sz w:val="17"/>
          <w:szCs w:val="17"/>
          <w:i w:val="1"/>
          <w:iCs w:val="1"/>
          <w:color w:val="auto"/>
        </w:rPr>
        <w:t>Industry Promotes Innovation and Growth</w:t>
      </w:r>
      <w:r>
        <w:rPr>
          <w:rFonts w:ascii="Arial" w:cs="Arial" w:eastAsia="Arial" w:hAnsi="Arial"/>
          <w:sz w:val="17"/>
          <w:szCs w:val="17"/>
          <w:color w:val="auto"/>
        </w:rPr>
        <w:t>, May 2016 (“Business—Industry Background—Ongoing Need for Improved Chip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w:t>
      </w:r>
    </w:p>
    <w:p>
      <w:pPr>
        <w:spacing w:after="0" w:line="8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Semiconductor Equipment and Materials International, </w:t>
      </w:r>
      <w:r>
        <w:rPr>
          <w:rFonts w:ascii="Arial" w:cs="Arial" w:eastAsia="Arial" w:hAnsi="Arial"/>
          <w:sz w:val="17"/>
          <w:szCs w:val="17"/>
          <w:i w:val="1"/>
          <w:iCs w:val="1"/>
          <w:color w:val="auto"/>
        </w:rPr>
        <w:t>Fab Equipment Spending Trending Upward in 2016 and 2017</w:t>
      </w:r>
      <w:r>
        <w:rPr>
          <w:rFonts w:ascii="Arial" w:cs="Arial" w:eastAsia="Arial" w:hAnsi="Arial"/>
          <w:sz w:val="17"/>
          <w:szCs w:val="17"/>
          <w:color w:val="auto"/>
        </w:rPr>
        <w:t>, September 6, 2016 (“Business —Industry Background—Escalating Need for Advanced Chip Manufacturing Equipment”);</w:t>
      </w:r>
    </w:p>
    <w:p>
      <w:pPr>
        <w:spacing w:after="0" w:line="66" w:lineRule="exact"/>
        <w:rPr>
          <w:rFonts w:ascii="Arial" w:cs="Arial" w:eastAsia="Arial" w:hAnsi="Arial"/>
          <w:sz w:val="17"/>
          <w:szCs w:val="17"/>
          <w:color w:val="auto"/>
        </w:rPr>
      </w:pPr>
    </w:p>
    <w:p>
      <w:pPr>
        <w:ind w:left="900" w:right="340" w:hanging="439"/>
        <w:spacing w:after="0" w:line="271"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International Trade Administration of the United States Department of Commerce, </w:t>
      </w:r>
      <w:r>
        <w:rPr>
          <w:rFonts w:ascii="Arial" w:cs="Arial" w:eastAsia="Arial" w:hAnsi="Arial"/>
          <w:sz w:val="17"/>
          <w:szCs w:val="17"/>
          <w:i w:val="1"/>
          <w:iCs w:val="1"/>
          <w:color w:val="auto"/>
        </w:rPr>
        <w:t>2016 Top Markets Report Semiconductors and Semiconductor</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Manufacturing Equipment Country Case Study</w:t>
      </w:r>
      <w:r>
        <w:rPr>
          <w:rFonts w:ascii="Arial" w:cs="Arial" w:eastAsia="Arial" w:hAnsi="Arial"/>
          <w:sz w:val="17"/>
          <w:szCs w:val="17"/>
          <w:color w:val="auto"/>
        </w:rPr>
        <w:t>, July 1, 2016 (“Business—Industry Background—Growing Influence of the PRC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Industry”); and</w:t>
      </w:r>
    </w:p>
    <w:p>
      <w:pPr>
        <w:spacing w:after="0" w:line="80" w:lineRule="exact"/>
        <w:rPr>
          <w:rFonts w:ascii="Arial" w:cs="Arial" w:eastAsia="Arial" w:hAnsi="Arial"/>
          <w:sz w:val="17"/>
          <w:szCs w:val="17"/>
          <w:color w:val="auto"/>
        </w:rPr>
      </w:pPr>
    </w:p>
    <w:p>
      <w:pPr>
        <w:ind w:left="900" w:right="460" w:hanging="439"/>
        <w:spacing w:after="0" w:line="287"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Semiconductor Equipment and Materials International, </w:t>
      </w:r>
      <w:r>
        <w:rPr>
          <w:rFonts w:ascii="Arial" w:cs="Arial" w:eastAsia="Arial" w:hAnsi="Arial"/>
          <w:sz w:val="17"/>
          <w:szCs w:val="17"/>
          <w:i w:val="1"/>
          <w:iCs w:val="1"/>
          <w:color w:val="auto"/>
        </w:rPr>
        <w:t>World Fab Forecast Report</w:t>
      </w:r>
      <w:r>
        <w:rPr>
          <w:rFonts w:ascii="Arial" w:cs="Arial" w:eastAsia="Arial" w:hAnsi="Arial"/>
          <w:sz w:val="17"/>
          <w:szCs w:val="17"/>
          <w:color w:val="auto"/>
        </w:rPr>
        <w:t>, November 2016 (“Business—Our Solutions—China-based operations”).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40"/>
          </w:cols>
          <w:pgMar w:left="240" w:top="448" w:right="3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CONCURRENT PRIVATE PLACEMENT</w:t>
      </w:r>
    </w:p>
    <w:p>
      <w:pPr>
        <w:spacing w:after="0" w:line="22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have entered into agreements pursuant to which we expect to issue and sell, in a concurrent private placement, an aggregate of 1,333,334 shares of Class A common stock, of which 833,334 shares would be issued to Xinxin (Hongkong) Capital Co., Limited, a subsidiary of Sino IC Capital Co., Ltd., and 500,000 shares would be issued to Victorious Way Limited, a subsidiary of China Everbright Limited. The shares in the concurrent private placement would be sold at a price of $5.60 per share. The concurrent private placement is conditioned upon the closing of this offering, as well as other standard closing conditions. We expect the closing of the concurrent private placement to occur immediately after the closing of the offering made hereby, but the closing of this offering is not contingent on the closing of the concurrent private placement.</w:t>
      </w:r>
    </w:p>
    <w:p>
      <w:pPr>
        <w:spacing w:after="0" w:line="180" w:lineRule="exact"/>
        <w:rPr>
          <w:sz w:val="20"/>
          <w:szCs w:val="20"/>
          <w:color w:val="auto"/>
        </w:rPr>
      </w:pPr>
    </w:p>
    <w:p>
      <w:pPr>
        <w:ind w:right="60" w:firstLine="457"/>
        <w:spacing w:after="0" w:line="320" w:lineRule="auto"/>
        <w:rPr>
          <w:sz w:val="20"/>
          <w:szCs w:val="20"/>
          <w:color w:val="auto"/>
        </w:rPr>
      </w:pPr>
      <w:r>
        <w:rPr>
          <w:rFonts w:ascii="Arial" w:cs="Arial" w:eastAsia="Arial" w:hAnsi="Arial"/>
          <w:sz w:val="16"/>
          <w:szCs w:val="16"/>
          <w:color w:val="auto"/>
        </w:rPr>
        <w:t>The private placement investors have agreed with us not to, directly or indirectly, sell, transfer or dispose of any shares of Class A common stock acquired in the private placement for a period of 180 days after the closing of the private placement. See “Shares Eligible for Future Sale—Lock-up Agreements.”</w:t>
      </w:r>
    </w:p>
    <w:p>
      <w:pPr>
        <w:spacing w:after="0" w:line="135"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We have granted the investors certain registration rights, including demand registration rights, with respect to Class A common stock issued in the concurrent private placement, as described under “Description of Capital Stock—Registration Rights.”</w:t>
      </w:r>
    </w:p>
    <w:p>
      <w:pPr>
        <w:spacing w:after="0" w:line="158"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color w:val="auto"/>
        </w:rPr>
        <w:t>Xinxin (Hongkong) Capital Co., Limited will have the right, as described under “Management—Board of Directors—Director Nomination Rights,” to designate one individual for nomination to our board of directors. David H. Wang, our Chair of the Board, Chief Executive Officer and President, members of Dr. Wang’s family, and Haiping Dun, our Lead Director, who collectively will beneficially own shares having 51.2% of the voting power of common stock immediately after the closing of this offering and the concurrent private placement, have agreed to vote their shares for the election of the nominee. We expect Xinxin (Hongkong) Capital Co., Limited to designate an individual for nomination to our board shortly after the consummation of this offering and the concurrent private placement.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8"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USE OF PROCEEDS</w:t>
      </w:r>
    </w:p>
    <w:p>
      <w:pPr>
        <w:spacing w:after="0" w:line="228" w:lineRule="exact"/>
        <w:rPr>
          <w:sz w:val="20"/>
          <w:szCs w:val="20"/>
          <w:color w:val="auto"/>
        </w:rPr>
      </w:pPr>
    </w:p>
    <w:p>
      <w:pPr>
        <w:ind w:right="300" w:firstLine="457"/>
        <w:spacing w:after="0" w:line="271" w:lineRule="auto"/>
        <w:rPr>
          <w:sz w:val="20"/>
          <w:szCs w:val="20"/>
          <w:color w:val="auto"/>
        </w:rPr>
      </w:pPr>
      <w:r>
        <w:rPr>
          <w:rFonts w:ascii="Arial" w:cs="Arial" w:eastAsia="Arial" w:hAnsi="Arial"/>
          <w:sz w:val="17"/>
          <w:szCs w:val="17"/>
          <w:color w:val="auto"/>
        </w:rPr>
        <w:t>We estimate that we will receive net proceeds from this offering and the concurrent private placement of $15.3 million, after deducting underwriting discounts and commissions, private placement fees, and estimated offering expenses. If the underwriters’ option to purchase additional shares in this offering is exercised in full, we estimate that our net proceeds will be $16.8 million.</w:t>
      </w:r>
    </w:p>
    <w:p>
      <w:pPr>
        <w:spacing w:after="0" w:line="172" w:lineRule="exact"/>
        <w:rPr>
          <w:sz w:val="20"/>
          <w:szCs w:val="20"/>
          <w:color w:val="auto"/>
        </w:rPr>
      </w:pPr>
    </w:p>
    <w:p>
      <w:pPr>
        <w:ind w:right="40" w:firstLine="457"/>
        <w:spacing w:after="0" w:line="312" w:lineRule="auto"/>
        <w:rPr>
          <w:sz w:val="20"/>
          <w:szCs w:val="20"/>
          <w:color w:val="auto"/>
        </w:rPr>
      </w:pPr>
      <w:r>
        <w:rPr>
          <w:rFonts w:ascii="Arial" w:cs="Arial" w:eastAsia="Arial" w:hAnsi="Arial"/>
          <w:sz w:val="15"/>
          <w:szCs w:val="15"/>
          <w:color w:val="auto"/>
        </w:rPr>
        <w:t>We expect the closing of the concurrent private placement to occur immediately after the closing of the offering made hereby, but the closing of this offering is not contingent on the closing of the concurrent private placement. We estimate that, if no shares were to be purchased in the concurrent private placement, we would receive net proceeds from this offering of $8.2 million, after deducting underwriting discounts and commissions and estimated offering expenses. If the underwriters’ option to purchase additional shares in this offering were exercised in full, we estimate that our net proceeds of this offering would be $9.7 million.</w:t>
      </w:r>
    </w:p>
    <w:p>
      <w:pPr>
        <w:spacing w:after="0" w:line="146"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We intend to use the net proceeds from this offering and the concurrent private placement for working capital and other general corporate purposes, which may include financing our growth and developing new products. The other principal purposes for this offering are to:</w:t>
      </w:r>
    </w:p>
    <w:p>
      <w:pPr>
        <w:spacing w:after="0" w:line="67" w:lineRule="exact"/>
        <w:rPr>
          <w:sz w:val="20"/>
          <w:szCs w:val="20"/>
          <w:color w:val="auto"/>
        </w:rPr>
      </w:pPr>
    </w:p>
    <w:p>
      <w:pPr>
        <w:ind w:left="900" w:hanging="43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create a public market for Class A common stock, which will, among other things, provide future liquidity for our existing security 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facilitate our future access to the public capital markets;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improve the effectiveness of our equity compensation plans in attracting and retaining directors and key employees.</w:t>
      </w:r>
    </w:p>
    <w:p>
      <w:pPr>
        <w:spacing w:after="0" w:line="222" w:lineRule="exact"/>
        <w:rPr>
          <w:sz w:val="20"/>
          <w:szCs w:val="20"/>
          <w:color w:val="auto"/>
        </w:rPr>
      </w:pPr>
    </w:p>
    <w:p>
      <w:pPr>
        <w:jc w:val="both"/>
        <w:ind w:right="100" w:firstLine="457"/>
        <w:spacing w:after="0" w:line="323" w:lineRule="auto"/>
        <w:rPr>
          <w:sz w:val="20"/>
          <w:szCs w:val="20"/>
          <w:color w:val="auto"/>
        </w:rPr>
      </w:pPr>
      <w:r>
        <w:rPr>
          <w:rFonts w:ascii="Arial" w:cs="Arial" w:eastAsia="Arial" w:hAnsi="Arial"/>
          <w:sz w:val="15"/>
          <w:szCs w:val="15"/>
          <w:color w:val="auto"/>
        </w:rPr>
        <w:t>We may use a portion of our net proceeds to acquire businesses, technologies and products that will help us expand the breadth and features of our product offerings, provide access to new markets or customers, or otherwise complement our existing operations. We assess acquisition opportunities on an ongoing basis. We do not currently have any agreement with respect to an acquisition, and we cannot assure you that we will make any acquisitions in the future.</w:t>
      </w:r>
    </w:p>
    <w:p>
      <w:pPr>
        <w:spacing w:after="0" w:line="138"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Our expected use of the net proceeds of this offering and the concurrent private placement represents our current intentions based upon our present plans and business conditions. The amounts and timing of our actual expenditures may vary significantly from our expectations depending upon numerous factors, including our operating costs and capital expenditures and the factors described under “Risk Factors.” Because we cannot currently specify with any certainty the particular uses of our net proceeds, our management will have broad discretion in the application of the net proceeds.</w:t>
      </w:r>
    </w:p>
    <w:p>
      <w:pPr>
        <w:spacing w:after="0" w:line="160"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Pending use of our net proceeds, we intend to invest the net proceeds in short-term, investment-grade, interest-bearing instruments, certificates of deposit, or direct or guaranteed obligation of the U.S. government.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448" w:right="2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future determination to pay dividends on Class A and Class B common stock is subject to the discretion of the board of directors and will depend upon various factors, including our results of operations, financial condition, liquidity requirements, capital requirements, level of indebtedness, contractual restrictions with respect to payment of dividends, restrictions imposed by applicable law, general business conditions and other factors that the board may deem relevant.</w:t>
      </w:r>
    </w:p>
    <w:p>
      <w:pPr>
        <w:spacing w:after="0" w:line="18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ability to pay dividends on Class A and Class B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As of June 30, 2017, no cash was restricted under those PRC regulations or our subsidiaries’ articles because our subsidiaries had never generated net after-tax profits. In addition, our subsidiaries’ short-term bank loans restrict their ability to pay dividends to us.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40"/>
          </w:cols>
          <w:pgMar w:left="240" w:top="448" w:right="31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our capitalization as of June 30, 2017:</w:t>
      </w:r>
    </w:p>
    <w:p>
      <w:pPr>
        <w:spacing w:after="0" w:line="130" w:lineRule="exact"/>
        <w:rPr>
          <w:sz w:val="20"/>
          <w:szCs w:val="20"/>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adjusted to reflect the following:</w:t>
      </w:r>
    </w:p>
    <w:p>
      <w:pPr>
        <w:spacing w:after="0" w:line="130" w:lineRule="exact"/>
        <w:rPr>
          <w:rFonts w:ascii="Arial" w:cs="Arial" w:eastAsia="Arial" w:hAnsi="Arial"/>
          <w:sz w:val="17"/>
          <w:szCs w:val="17"/>
          <w:color w:val="auto"/>
        </w:rPr>
      </w:pPr>
    </w:p>
    <w:p>
      <w:pPr>
        <w:ind w:left="1480" w:right="200" w:hanging="563"/>
        <w:spacing w:after="0" w:line="271" w:lineRule="auto"/>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closing of strategic investment transactions on September 11, 2017, with Ninebell Co., Ltd. or Ninebell, one of our key subassembly providers, in which we issued 133,334 shares of Class A common stock to Ninebell for a purchase price of $1.0 million and Ninebell issued ordinary shares, representing 20% of its post-closing equity, to us for a purchase price of $1.2 million;</w:t>
      </w:r>
    </w:p>
    <w:p>
      <w:pPr>
        <w:spacing w:after="0" w:line="80" w:lineRule="exact"/>
        <w:rPr>
          <w:rFonts w:ascii="Arial" w:cs="Arial" w:eastAsia="Arial" w:hAnsi="Arial"/>
          <w:sz w:val="17"/>
          <w:szCs w:val="17"/>
          <w:color w:val="auto"/>
        </w:rPr>
      </w:pPr>
    </w:p>
    <w:p>
      <w:pPr>
        <w:ind w:left="1480" w:right="20" w:hanging="563"/>
        <w:spacing w:after="0" w:line="261" w:lineRule="auto"/>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completion of transactions with minority investors in ACM Shanghai in the third-quarter of 2017, pursuant to which (i) we issued, capital stock consisting of (or convertible, upon the closing of this offering, into) a total of 3,572,844 shares of Class A common stock to the minority investors for an aggregate purchase price of $20.1 million and (ii) ACM Research acquired 18.77% of the outstanding ACM Shanghai equity interests for a purchase price of $5.8 million and will acquire, in the fourth quarter of 2017, all of the remaining outstanding minority ACM Shanghai equity interests for an aggregate purchase price of $14.3 million, as described under “Management’s Discussion and Analysis of Financial Condition and Results of Operations—Recent Equity Transactions—Acquisition of Outstanding Minority Interests in Our Operating Company”; and</w:t>
      </w:r>
    </w:p>
    <w:p>
      <w:pPr>
        <w:spacing w:after="0" w:line="89" w:lineRule="exact"/>
        <w:rPr>
          <w:rFonts w:ascii="Arial" w:cs="Arial" w:eastAsia="Arial" w:hAnsi="Arial"/>
          <w:sz w:val="17"/>
          <w:szCs w:val="17"/>
          <w:color w:val="auto"/>
        </w:rPr>
      </w:pPr>
    </w:p>
    <w:p>
      <w:pPr>
        <w:ind w:left="1480" w:hanging="563"/>
        <w:spacing w:after="0"/>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exercises of stock options in the third quarter of 2017 to acquire 74,334 shares of Class A common stock;</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pro forma basis to further reflect the automatic conversion of all outstanding shares of our convertible preferred stock into Class A common stock and the restatement of our charter, all of which will occur upon completion of this offering; and</w:t>
      </w:r>
    </w:p>
    <w:p>
      <w:pPr>
        <w:spacing w:after="0" w:line="66" w:lineRule="exact"/>
        <w:rPr>
          <w:rFonts w:ascii="Arial" w:cs="Arial" w:eastAsia="Arial" w:hAnsi="Arial"/>
          <w:sz w:val="17"/>
          <w:szCs w:val="17"/>
          <w:color w:val="auto"/>
        </w:rPr>
      </w:pPr>
    </w:p>
    <w:p>
      <w:pPr>
        <w:jc w:val="both"/>
        <w:ind w:left="900" w:hanging="439"/>
        <w:spacing w:after="0" w:line="271"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pro forma basis as further adjusted to reflect our issuance and sale of 2,000,000 shares of Class A common stock in this offering and of 1,333,334 shares of Class A common stock in the concurrent private placement, after deducting underwriting discounts and commissions, private placement fees, and estimated offering expenses.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448" w:right="2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You should read the information in this table together with “Management’s Discussion and Analysis of Financial Condition and Results of Operations” and our consolidated financial statements and related notes appearing at the end of this prospectus.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As of June 30, 2017</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7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Adjusted</w:t>
            </w:r>
          </w:p>
        </w:tc>
        <w:tc>
          <w:tcPr>
            <w:tcW w:w="180" w:type="dxa"/>
            <w:vAlign w:val="bottom"/>
          </w:tcPr>
          <w:p>
            <w:pPr>
              <w:spacing w:after="0"/>
              <w:rPr>
                <w:sz w:val="9"/>
                <w:szCs w:val="9"/>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740" w:type="dxa"/>
            <w:vAlign w:val="bottom"/>
            <w:gridSpan w:val="2"/>
          </w:tcPr>
          <w:p>
            <w:pPr>
              <w:jc w:val="right"/>
              <w:spacing w:after="0" w:line="114"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36"/>
        </w:trPr>
        <w:tc>
          <w:tcPr>
            <w:tcW w:w="7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gridSpan w:val="9"/>
          </w:tcPr>
          <w:p>
            <w:pPr>
              <w:ind w:left="20"/>
              <w:spacing w:after="0" w:line="137" w:lineRule="exact"/>
              <w:rPr>
                <w:sz w:val="20"/>
                <w:szCs w:val="20"/>
                <w:color w:val="auto"/>
              </w:rPr>
            </w:pPr>
            <w:r>
              <w:rPr>
                <w:rFonts w:ascii="Arial" w:cs="Arial" w:eastAsia="Arial" w:hAnsi="Arial"/>
                <w:sz w:val="14"/>
                <w:szCs w:val="14"/>
                <w:i w:val="1"/>
                <w:iCs w:val="1"/>
                <w:color w:val="auto"/>
                <w:w w:val="90"/>
              </w:rPr>
              <w:t>(in thousands, except share and per share data)</w:t>
            </w: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Short-term debt</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4,595</w:t>
            </w:r>
          </w:p>
        </w:tc>
        <w:tc>
          <w:tcPr>
            <w:tcW w:w="52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4,595</w:t>
            </w:r>
          </w:p>
        </w:tc>
        <w:tc>
          <w:tcPr>
            <w:tcW w:w="32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4,595</w:t>
            </w:r>
          </w:p>
        </w:tc>
        <w:tc>
          <w:tcPr>
            <w:tcW w:w="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4,595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line="157" w:lineRule="exact"/>
              <w:rPr>
                <w:sz w:val="20"/>
                <w:szCs w:val="20"/>
                <w:color w:val="auto"/>
              </w:rPr>
            </w:pPr>
            <w:r>
              <w:rPr>
                <w:rFonts w:ascii="Arial" w:cs="Arial" w:eastAsia="Arial" w:hAnsi="Arial"/>
                <w:sz w:val="14"/>
                <w:szCs w:val="14"/>
                <w:color w:val="auto"/>
                <w:w w:val="92"/>
              </w:rPr>
              <w:t>Redeemable convertible preferred stock, without par value, actual, $0.0001 par value per share, as adjusted, pro forma and</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140"/>
              <w:spacing w:after="0"/>
              <w:rPr>
                <w:sz w:val="20"/>
                <w:szCs w:val="20"/>
                <w:color w:val="auto"/>
              </w:rPr>
            </w:pPr>
            <w:r>
              <w:rPr>
                <w:rFonts w:ascii="Arial" w:cs="Arial" w:eastAsia="Arial" w:hAnsi="Arial"/>
                <w:sz w:val="14"/>
                <w:szCs w:val="14"/>
                <w:color w:val="auto"/>
              </w:rPr>
              <w:t>pro forma as adjusted: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280"/>
              <w:spacing w:after="0" w:line="125" w:lineRule="exact"/>
              <w:rPr>
                <w:sz w:val="20"/>
                <w:szCs w:val="20"/>
                <w:color w:val="auto"/>
              </w:rPr>
            </w:pPr>
            <w:r>
              <w:rPr>
                <w:rFonts w:ascii="Arial" w:cs="Arial" w:eastAsia="Arial" w:hAnsi="Arial"/>
                <w:sz w:val="14"/>
                <w:szCs w:val="14"/>
                <w:color w:val="auto"/>
                <w:w w:val="93"/>
              </w:rPr>
              <w:t>Series A: 385,000 shares authorized, issued and outstanding, actual and as adjusted; no shares authorized, issued or</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tcPr>
          <w:p>
            <w:pPr>
              <w:ind w:left="280"/>
              <w:spacing w:after="0" w:line="125" w:lineRule="exact"/>
              <w:rPr>
                <w:sz w:val="20"/>
                <w:szCs w:val="20"/>
                <w:color w:val="auto"/>
              </w:rPr>
            </w:pPr>
            <w:r>
              <w:rPr>
                <w:rFonts w:ascii="Arial" w:cs="Arial" w:eastAsia="Arial" w:hAnsi="Arial"/>
                <w:sz w:val="14"/>
                <w:szCs w:val="14"/>
                <w:color w:val="auto"/>
                <w:w w:val="91"/>
              </w:rPr>
              <w:t>Series B: 1,572,000 shares authorized, issued and outstanding, actual and as adjusted; no shares authorized, issued or</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1,572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1,572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280"/>
              <w:spacing w:after="0" w:line="125" w:lineRule="exact"/>
              <w:rPr>
                <w:sz w:val="20"/>
                <w:szCs w:val="20"/>
                <w:color w:val="auto"/>
              </w:rPr>
            </w:pPr>
            <w:r>
              <w:rPr>
                <w:rFonts w:ascii="Arial" w:cs="Arial" w:eastAsia="Arial" w:hAnsi="Arial"/>
                <w:sz w:val="14"/>
                <w:szCs w:val="14"/>
                <w:color w:val="auto"/>
                <w:w w:val="91"/>
              </w:rPr>
              <w:t>Series C: 1,360,962 shares authorized, issued and outstanding, actual and as adjusted; no shares authorized, issued or</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2,041</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2,041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tcPr>
          <w:p>
            <w:pPr>
              <w:ind w:left="280"/>
              <w:spacing w:after="0" w:line="125" w:lineRule="exact"/>
              <w:rPr>
                <w:sz w:val="20"/>
                <w:szCs w:val="20"/>
                <w:color w:val="auto"/>
              </w:rPr>
            </w:pPr>
            <w:r>
              <w:rPr>
                <w:rFonts w:ascii="Arial" w:cs="Arial" w:eastAsia="Arial" w:hAnsi="Arial"/>
                <w:sz w:val="14"/>
                <w:szCs w:val="14"/>
                <w:color w:val="auto"/>
                <w:w w:val="91"/>
              </w:rPr>
              <w:t>Series D: 2,659,975 shares authorized and 1,326,642 shares issued and outstanding, actual and as adjusted; no shares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420"/>
              <w:spacing w:after="0"/>
              <w:rPr>
                <w:sz w:val="20"/>
                <w:szCs w:val="20"/>
                <w:color w:val="auto"/>
              </w:rPr>
            </w:pPr>
            <w:r>
              <w:rPr>
                <w:rFonts w:ascii="Arial" w:cs="Arial" w:eastAsia="Arial" w:hAnsi="Arial"/>
                <w:sz w:val="14"/>
                <w:szCs w:val="14"/>
                <w:color w:val="auto"/>
              </w:rPr>
              <w:t>authorized, issued or outstanding, pro forma and pro forma as adjusted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4,975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4,975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280"/>
              <w:spacing w:after="0" w:line="125" w:lineRule="exact"/>
              <w:rPr>
                <w:sz w:val="20"/>
                <w:szCs w:val="20"/>
                <w:color w:val="auto"/>
              </w:rPr>
            </w:pPr>
            <w:r>
              <w:rPr>
                <w:rFonts w:ascii="Arial" w:cs="Arial" w:eastAsia="Arial" w:hAnsi="Arial"/>
                <w:sz w:val="14"/>
                <w:szCs w:val="14"/>
                <w:color w:val="auto"/>
                <w:w w:val="90"/>
              </w:rPr>
              <w:t>Series E: 10,718,530 shares authorized and no shares issued and outstanding, actual; 10,718,530 shares authorized and</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90"/>
              </w:rPr>
              <w:t>4,998,530 shares issued and outstanding, as adjusted; no shares authorized, issued or outstanding, pro forma and pro</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forma as adjusted</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100" w:type="dxa"/>
            <w:vAlign w:val="bottom"/>
          </w:tcPr>
          <w:p>
            <w:pPr>
              <w:ind w:left="280"/>
              <w:spacing w:after="0" w:line="125" w:lineRule="exact"/>
              <w:rPr>
                <w:sz w:val="20"/>
                <w:szCs w:val="20"/>
                <w:color w:val="auto"/>
              </w:rPr>
            </w:pPr>
            <w:r>
              <w:rPr>
                <w:rFonts w:ascii="Arial" w:cs="Arial" w:eastAsia="Arial" w:hAnsi="Arial"/>
                <w:sz w:val="14"/>
                <w:szCs w:val="14"/>
                <w:color w:val="auto"/>
                <w:w w:val="91"/>
              </w:rPr>
              <w:t>Series F: 6,000,000 shares authorized and 3,663,254 shares, issued and outstanding, actual and as adjusted; no shares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100" w:type="dxa"/>
            <w:vAlign w:val="bottom"/>
          </w:tcPr>
          <w:p>
            <w:pPr>
              <w:ind w:left="420"/>
              <w:spacing w:after="0"/>
              <w:rPr>
                <w:sz w:val="20"/>
                <w:szCs w:val="20"/>
                <w:color w:val="auto"/>
              </w:rPr>
            </w:pPr>
            <w:r>
              <w:rPr>
                <w:rFonts w:ascii="Arial" w:cs="Arial" w:eastAsia="Arial" w:hAnsi="Arial"/>
                <w:sz w:val="14"/>
                <w:szCs w:val="14"/>
                <w:color w:val="auto"/>
              </w:rPr>
              <w:t>authorized, issued or outstanding, pro forma and pro forma as adjusted</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9,158</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auto"/>
              </w:rPr>
              <w:t>Total redeemable convertible preferred stock</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7"/>
              </w:rPr>
              <w:t>18,034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23,834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Stockholders’ (deficit) equity:</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280"/>
              <w:spacing w:after="0" w:line="125" w:lineRule="exact"/>
              <w:rPr>
                <w:sz w:val="20"/>
                <w:szCs w:val="20"/>
                <w:color w:val="auto"/>
              </w:rPr>
            </w:pPr>
            <w:r>
              <w:rPr>
                <w:rFonts w:ascii="Arial" w:cs="Arial" w:eastAsia="Arial" w:hAnsi="Arial"/>
                <w:sz w:val="14"/>
                <w:szCs w:val="14"/>
                <w:color w:val="auto"/>
                <w:w w:val="92"/>
              </w:rPr>
              <w:t>Undesignated preferred stock, $0.0001 par value per share: no shares authorized, issued and outstanding, actual or as</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adjusted; 25,000,000 shares authorized and no shares issued or outstanding, pro forma and pro forma as adjusted</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100" w:type="dxa"/>
            <w:vAlign w:val="bottom"/>
          </w:tcPr>
          <w:p>
            <w:pPr>
              <w:ind w:left="280"/>
              <w:spacing w:after="0" w:line="143" w:lineRule="exact"/>
              <w:rPr>
                <w:sz w:val="20"/>
                <w:szCs w:val="20"/>
                <w:color w:val="auto"/>
              </w:rPr>
            </w:pPr>
            <w:r>
              <w:rPr>
                <w:rFonts w:ascii="Arial" w:cs="Arial" w:eastAsia="Arial" w:hAnsi="Arial"/>
                <w:sz w:val="14"/>
                <w:szCs w:val="14"/>
                <w:color w:val="auto"/>
              </w:rPr>
              <w:t>Common stock, $0.0001 par value per share: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100" w:type="dxa"/>
            <w:vAlign w:val="bottom"/>
            <w:shd w:val="clear" w:color="auto" w:fill="CCEEFF"/>
          </w:tcPr>
          <w:p>
            <w:pPr>
              <w:ind w:left="560"/>
              <w:spacing w:after="0" w:line="125" w:lineRule="exact"/>
              <w:rPr>
                <w:sz w:val="20"/>
                <w:szCs w:val="20"/>
                <w:color w:val="auto"/>
              </w:rPr>
            </w:pPr>
            <w:r>
              <w:rPr>
                <w:rFonts w:ascii="Arial" w:cs="Arial" w:eastAsia="Arial" w:hAnsi="Arial"/>
                <w:sz w:val="14"/>
                <w:szCs w:val="14"/>
                <w:color w:val="auto"/>
                <w:w w:val="90"/>
              </w:rPr>
              <w:t>Class A: 100,000,000 shares authorized; 2,627,293 shares issued and outstanding, actual; 4,741,635 shares issued</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700"/>
              <w:spacing w:after="0" w:line="143" w:lineRule="exact"/>
              <w:rPr>
                <w:sz w:val="20"/>
                <w:szCs w:val="20"/>
                <w:color w:val="auto"/>
              </w:rPr>
            </w:pPr>
            <w:r>
              <w:rPr>
                <w:rFonts w:ascii="Arial" w:cs="Arial" w:eastAsia="Arial" w:hAnsi="Arial"/>
                <w:sz w:val="14"/>
                <w:szCs w:val="14"/>
                <w:color w:val="auto"/>
                <w:w w:val="90"/>
              </w:rPr>
              <w:t>and outstanding, as adjusted; 9,369,212 shares issued and outstanding pro forma; 12,702,546 shares issued and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outstanding, pro forma as adjusted</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5"/>
        </w:trPr>
        <w:tc>
          <w:tcPr>
            <w:tcW w:w="7100" w:type="dxa"/>
            <w:vAlign w:val="bottom"/>
          </w:tcPr>
          <w:p>
            <w:pPr>
              <w:ind w:left="560"/>
              <w:spacing w:after="0" w:line="125" w:lineRule="exact"/>
              <w:rPr>
                <w:sz w:val="20"/>
                <w:szCs w:val="20"/>
                <w:color w:val="auto"/>
              </w:rPr>
            </w:pPr>
            <w:r>
              <w:rPr>
                <w:rFonts w:ascii="Arial" w:cs="Arial" w:eastAsia="Arial" w:hAnsi="Arial"/>
                <w:sz w:val="14"/>
                <w:szCs w:val="14"/>
                <w:color w:val="auto"/>
                <w:w w:val="96"/>
              </w:rPr>
              <w:t>Class B: 7,303,533 shares authorized and 2,409,738 shares issued and outstanding, actual, and as adjusted;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700"/>
              <w:spacing w:after="0"/>
              <w:rPr>
                <w:sz w:val="20"/>
                <w:szCs w:val="20"/>
                <w:color w:val="auto"/>
              </w:rPr>
            </w:pPr>
            <w:r>
              <w:rPr>
                <w:rFonts w:ascii="Arial" w:cs="Arial" w:eastAsia="Arial" w:hAnsi="Arial"/>
                <w:sz w:val="14"/>
                <w:szCs w:val="14"/>
                <w:color w:val="auto"/>
              </w:rPr>
              <w:t>2,409,738 shares authorized, issued and outstanding, pro forma and pro forma as adjusted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9,346</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9,411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33,245</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48,516</w:t>
            </w:r>
          </w:p>
        </w:tc>
        <w:tc>
          <w:tcPr>
            <w:tcW w:w="0" w:type="dxa"/>
            <w:vAlign w:val="bottom"/>
          </w:tcPr>
          <w:p>
            <w:pPr>
              <w:spacing w:after="0"/>
              <w:rPr>
                <w:sz w:val="1"/>
                <w:szCs w:val="1"/>
                <w:color w:val="auto"/>
              </w:rPr>
            </w:pPr>
          </w:p>
        </w:tc>
      </w:tr>
      <w:tr>
        <w:trPr>
          <w:trHeight w:val="143"/>
        </w:trPr>
        <w:tc>
          <w:tcPr>
            <w:tcW w:w="7100" w:type="dxa"/>
            <w:vAlign w:val="bottom"/>
          </w:tcPr>
          <w:p>
            <w:pPr>
              <w:ind w:left="280"/>
              <w:spacing w:after="0" w:line="143" w:lineRule="exact"/>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88"/>
              </w:rPr>
              <w:t>(12,390)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(12,390)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(12,390)</w:t>
            </w:r>
          </w:p>
        </w:tc>
        <w:tc>
          <w:tcPr>
            <w:tcW w:w="240" w:type="dxa"/>
            <w:vAlign w:val="bottom"/>
          </w:tcPr>
          <w:p>
            <w:pPr>
              <w:spacing w:after="0"/>
              <w:rPr>
                <w:sz w:val="12"/>
                <w:szCs w:val="12"/>
                <w:color w:val="auto"/>
              </w:rPr>
            </w:pPr>
          </w:p>
        </w:tc>
        <w:tc>
          <w:tcPr>
            <w:tcW w:w="5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99"/>
              </w:rPr>
              <w:t>(12,390)</w:t>
            </w: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(247)</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(247)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(247)</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7100" w:type="dxa"/>
            <w:vAlign w:val="bottom"/>
          </w:tcPr>
          <w:p>
            <w:pPr>
              <w:ind w:left="560"/>
              <w:spacing w:after="0" w:line="149" w:lineRule="exact"/>
              <w:rPr>
                <w:sz w:val="20"/>
                <w:szCs w:val="20"/>
                <w:color w:val="auto"/>
              </w:rPr>
            </w:pPr>
            <w:r>
              <w:rPr>
                <w:rFonts w:ascii="Arial" w:cs="Arial" w:eastAsia="Arial" w:hAnsi="Arial"/>
                <w:sz w:val="14"/>
                <w:szCs w:val="14"/>
                <w:color w:val="auto"/>
              </w:rPr>
              <w:t>Total ACM Research, Inc. stockholders’ (deficit) equity</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(3,289)</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(3,224)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20,610</w:t>
            </w: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35,881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Non-controlling interests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4,809</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100" w:type="dxa"/>
            <w:vAlign w:val="bottom"/>
          </w:tcPr>
          <w:p>
            <w:pPr>
              <w:ind w:left="560"/>
              <w:spacing w:after="0" w:line="149" w:lineRule="exact"/>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20,610</w:t>
            </w:r>
          </w:p>
        </w:tc>
        <w:tc>
          <w:tcPr>
            <w:tcW w:w="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35,881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capitalization</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88"/>
              </w:rPr>
              <w:t>(19,554)</w:t>
            </w:r>
          </w:p>
        </w:tc>
        <w:tc>
          <w:tcPr>
            <w:tcW w:w="52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(20,610)</w:t>
            </w:r>
          </w:p>
        </w:tc>
        <w:tc>
          <w:tcPr>
            <w:tcW w:w="32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20,610</w:t>
            </w:r>
          </w:p>
        </w:tc>
        <w:tc>
          <w:tcPr>
            <w:tcW w:w="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35,881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The table above excludes the shares of Class A common stock issuable upon the exercise of an outstanding warrant and outstanding options as well as shares of Class A common stock reserved for future issuance under our equity incentive plan, which consisted of:</w:t>
      </w:r>
    </w:p>
    <w:p>
      <w:pPr>
        <w:spacing w:after="0" w:line="67" w:lineRule="exact"/>
        <w:rPr>
          <w:sz w:val="20"/>
          <w:szCs w:val="20"/>
          <w:color w:val="auto"/>
        </w:rPr>
      </w:pPr>
    </w:p>
    <w:p>
      <w:pPr>
        <w:ind w:left="900" w:right="180" w:hanging="439"/>
        <w:spacing w:after="0" w:line="287"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the exercise of an outstanding warrant, with an exercise price of $7.50 per share, at June 30, 2017 and November 2, 2017, as described under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80"/>
          </w:cols>
          <w:pgMar w:left="240" w:top="448" w:right="2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“Management’s Discussion and Analysis of Financial Condition and Results of Operations—Recent Equity Transactions—Issuance of Warrant”);</w:t>
      </w:r>
    </w:p>
    <w:p>
      <w:pPr>
        <w:spacing w:after="0" w:line="142" w:lineRule="exact"/>
        <w:rPr>
          <w:sz w:val="20"/>
          <w:szCs w:val="20"/>
          <w:color w:val="auto"/>
        </w:rPr>
      </w:pPr>
    </w:p>
    <w:p>
      <w:pPr>
        <w:ind w:left="900" w:hanging="439"/>
        <w:spacing w:after="0" w:line="271"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3,489,959 shares of Class A common stock issuable upon the exercise of outstanding options with a weighted-average exercise price of $2.29 per share at June 30, 2017 and 3,396,076 shares of Class A common stock issuable upon the exercise of outstanding options with a weighted-average exercise price of $2.50 per share at November 2, 2017; and</w:t>
      </w:r>
    </w:p>
    <w:p>
      <w:pPr>
        <w:spacing w:after="0" w:line="80" w:lineRule="exact"/>
        <w:rPr>
          <w:rFonts w:ascii="Arial" w:cs="Arial" w:eastAsia="Arial" w:hAnsi="Arial"/>
          <w:sz w:val="17"/>
          <w:szCs w:val="17"/>
          <w:color w:val="auto"/>
        </w:rPr>
      </w:pPr>
    </w:p>
    <w:p>
      <w:pPr>
        <w:ind w:left="900" w:right="600" w:hanging="439"/>
        <w:spacing w:after="0" w:line="287"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705,383 shares of Class A common stock reserved for issuance under our equity incentive plan at June 30, 2017 and 585,381 shares of Class A common stock reserved for issuance under our equity incentive plan at November 2, 2017.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8"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right="80" w:firstLine="457"/>
        <w:spacing w:after="0" w:line="271" w:lineRule="auto"/>
        <w:rPr>
          <w:sz w:val="20"/>
          <w:szCs w:val="20"/>
          <w:color w:val="auto"/>
        </w:rPr>
      </w:pPr>
      <w:r>
        <w:rPr>
          <w:rFonts w:ascii="Arial" w:cs="Arial" w:eastAsia="Arial" w:hAnsi="Arial"/>
          <w:sz w:val="17"/>
          <w:szCs w:val="17"/>
          <w:color w:val="auto"/>
        </w:rPr>
        <w:t>If you invest in Class A common stock in this offering, your ownership interest will be diluted immediately to the extent of the difference between the initial public offering price per share you pay in this offering and the pro forma as adjusted net tangible book value per share of Class A common stock immediately after this offering.</w:t>
      </w:r>
    </w:p>
    <w:p>
      <w:pPr>
        <w:spacing w:after="0" w:line="172"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As of June 30, 2017, the actual net tangible book value of Class A and Class B common stock was $14.7 million, or $1.84 per share. Actual net tangible book value per share of common stock represents (a) total tangible assets less total liabilities and non-controlling interests, divided by (b) the total number of shares of common stock outstanding on an as-converted basis, assuming the conversion of all outstanding shares of our convertible preferred stock into an aggregate of 2,960,968 shares of Class A common stock, upon completion of this offering.</w:t>
      </w:r>
    </w:p>
    <w:p>
      <w:pPr>
        <w:spacing w:after="0" w:line="176"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As of June 30, 2017, the as adjusted net tangible book value of Class A and Class B common stock was $20.6 million, or $1.75 per share. Our as adjusted net tangible book value per share gives effect to:</w:t>
      </w:r>
    </w:p>
    <w:p>
      <w:pPr>
        <w:spacing w:after="0" w:line="67" w:lineRule="exact"/>
        <w:rPr>
          <w:sz w:val="20"/>
          <w:szCs w:val="20"/>
          <w:color w:val="auto"/>
        </w:rPr>
      </w:pPr>
    </w:p>
    <w:p>
      <w:pPr>
        <w:ind w:left="900" w:right="60" w:hanging="439"/>
        <w:spacing w:after="0" w:line="271"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closing of strategic investment transactions on September 11, 2017, with Ninebell, in which we issued 133,334 shares of Class A common stock to Ninebell for a purchase price of $1.0 million and Ninebell issued ordinary shares, representing 20% of its post-closing equity, to us for a purchase price of $1.2 million;</w:t>
      </w:r>
    </w:p>
    <w:p>
      <w:pPr>
        <w:spacing w:after="0" w:line="80" w:lineRule="exact"/>
        <w:rPr>
          <w:rFonts w:ascii="Arial" w:cs="Arial" w:eastAsia="Arial" w:hAnsi="Arial"/>
          <w:sz w:val="17"/>
          <w:szCs w:val="17"/>
          <w:color w:val="auto"/>
        </w:rPr>
      </w:pPr>
    </w:p>
    <w:p>
      <w:pPr>
        <w:ind w:left="900" w:right="60" w:hanging="439"/>
        <w:spacing w:after="0" w:line="262"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completion of transactions with minority investors in ACM Shanghai, pursuant to which in the third-quarter of 2017 (i) we issued, 3,572,844 shares of Class A common stock (on an as-converted basis) to the minority investors for an aggregate purchase price of $20.1 million and (ii) ACM Research acquired 18.77% of the outstanding ACM Shanghai equity interests for a purchase price of $5.8 million and will acquire, in the fourth quarter of 2017, all of the remaining outstanding minority ACM Shanghai equity interests for an aggregate purchase price of $14.3 million, as described in “Management’s Discussion and Analysis of Financial Condition and Results of Operations—Recent Equity Transactions—Acquisition of Outstanding Minority Interests in Our Operating Company”;</w:t>
      </w:r>
    </w:p>
    <w:p>
      <w:pPr>
        <w:spacing w:after="0" w:line="88" w:lineRule="exact"/>
        <w:rPr>
          <w:rFonts w:ascii="Arial" w:cs="Arial" w:eastAsia="Arial" w:hAnsi="Arial"/>
          <w:sz w:val="17"/>
          <w:szCs w:val="17"/>
          <w:color w:val="auto"/>
        </w:rPr>
      </w:pPr>
    </w:p>
    <w:p>
      <w:pPr>
        <w:ind w:left="900" w:hanging="439"/>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exercises of stock options in the third quarter of 2017 to acquire 74,334 shares of Class A common stock; and</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conversion, upon completion of this offering, of all outstanding shares of our convertible preferred stock into an aggregate of 4,627,577 shares of Class A common stock.</w:t>
      </w:r>
    </w:p>
    <w:p>
      <w:pPr>
        <w:spacing w:after="0" w:line="158"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color w:val="auto"/>
        </w:rPr>
        <w:t>Our pro forma as adjusted net tangible book value of Class A common stock as of June 30, 2017 would have been $35.8 million, or $2.37 per share. Pro forma as adjusted net tangible book value further adjusts as adjusted data to reflect our sale of 2,000,000 shares of Class A common stock in this offering and 1,333,334 shares of Class A common stock in the concurrent private placement, after deducting underwriting discounts and commissions, private placement fees, and estimated offering expenses. This represents an immediate increase in pro forma as adjusted net tangible book value of $0.62 per share to our existing stockholders and an immediate dilution of $3.23 per share to purchasers.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 per share</w:t>
            </w:r>
          </w:p>
        </w:tc>
        <w:tc>
          <w:tcPr>
            <w:tcW w:w="23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7"/>
                <w:szCs w:val="17"/>
                <w:color w:val="auto"/>
              </w:rPr>
              <w:t>As adjusted net tangible book value per share as of June 30, 2017</w:t>
            </w:r>
          </w:p>
        </w:tc>
        <w:tc>
          <w:tcPr>
            <w:tcW w:w="1880" w:type="dxa"/>
            <w:vAlign w:val="bottom"/>
            <w:gridSpan w:val="3"/>
          </w:tcPr>
          <w:p>
            <w:pPr>
              <w:jc w:val="right"/>
              <w:ind w:right="380"/>
              <w:spacing w:after="0"/>
              <w:rPr>
                <w:sz w:val="20"/>
                <w:szCs w:val="20"/>
                <w:color w:val="auto"/>
              </w:rPr>
            </w:pPr>
            <w:r>
              <w:rPr>
                <w:rFonts w:ascii="Arial" w:cs="Arial" w:eastAsia="Arial" w:hAnsi="Arial"/>
                <w:sz w:val="17"/>
                <w:szCs w:val="17"/>
                <w:color w:val="auto"/>
              </w:rPr>
              <w:t>$1.75</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in net tangible book value per share attributable to this offering and the concurrent private placement</w:t>
            </w:r>
          </w:p>
        </w:tc>
        <w:tc>
          <w:tcPr>
            <w:tcW w:w="1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80" w:type="dxa"/>
            <w:vAlign w:val="bottom"/>
            <w:gridSpan w:val="2"/>
          </w:tcPr>
          <w:p>
            <w:pPr>
              <w:spacing w:after="0"/>
              <w:rPr>
                <w:sz w:val="20"/>
                <w:szCs w:val="20"/>
                <w:color w:val="auto"/>
              </w:rPr>
            </w:pPr>
            <w:r>
              <w:rPr>
                <w:rFonts w:ascii="Arial" w:cs="Arial" w:eastAsia="Arial" w:hAnsi="Arial"/>
                <w:sz w:val="17"/>
                <w:szCs w:val="17"/>
                <w:color w:val="auto"/>
              </w:rPr>
              <w:t>Pro forma as adjusted net tangible book value per share after this offering and the concurrent private placement</w:t>
            </w:r>
          </w:p>
        </w:tc>
        <w:tc>
          <w:tcPr>
            <w:tcW w:w="1880" w:type="dxa"/>
            <w:vAlign w:val="bottom"/>
            <w:gridSpan w:val="3"/>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purchasers of Class A common stock in this offering and the concurrent private placement</w:t>
            </w:r>
          </w:p>
        </w:tc>
        <w:tc>
          <w:tcPr>
            <w:tcW w:w="23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jc w:val="right"/>
              <w:ind w:right="3193"/>
              <w:spacing w:after="0"/>
              <w:rPr>
                <w:sz w:val="20"/>
                <w:szCs w:val="20"/>
                <w:color w:val="auto"/>
              </w:rPr>
            </w:pPr>
            <w:r>
              <w:rPr>
                <w:rFonts w:ascii="Arial" w:cs="Arial" w:eastAsia="Arial" w:hAnsi="Arial"/>
                <w:sz w:val="17"/>
                <w:szCs w:val="17"/>
                <w:color w:val="auto"/>
              </w:rPr>
              <w:t>47</w:t>
            </w: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The following table summarizes, on a pro forma as adjusted basis as of June 30, 2017, the differences between existing stockholders, the purchasers of Class A common stock in the concurrent private placement and purchasers of Class A common stock in this offering with respect to the number of shares of Class A common stock purchased from us, the total consideration paid to us and the average price per share paid.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60" w:type="dxa"/>
            <w:vAlign w:val="bottom"/>
          </w:tcPr>
          <w:p>
            <w:pPr>
              <w:spacing w:after="0"/>
              <w:rPr>
                <w:sz w:val="14"/>
                <w:szCs w:val="14"/>
                <w:color w:val="auto"/>
              </w:rPr>
            </w:pPr>
          </w:p>
        </w:tc>
        <w:tc>
          <w:tcPr>
            <w:tcW w:w="23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Shares Purchased</w:t>
            </w:r>
          </w:p>
        </w:tc>
        <w:tc>
          <w:tcPr>
            <w:tcW w:w="2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Total Consideration</w:t>
            </w:r>
          </w:p>
        </w:tc>
        <w:tc>
          <w:tcPr>
            <w:tcW w:w="240" w:type="dxa"/>
            <w:vAlign w:val="bottom"/>
          </w:tcPr>
          <w:p>
            <w:pPr>
              <w:spacing w:after="0"/>
              <w:rPr>
                <w:sz w:val="14"/>
                <w:szCs w:val="14"/>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136"/>
        </w:trPr>
        <w:tc>
          <w:tcPr>
            <w:tcW w:w="566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99"/>
              <w:spacing w:after="0" w:line="137"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5"/>
              </w:rPr>
              <w:t>Percent</w:t>
            </w:r>
          </w:p>
        </w:tc>
        <w:tc>
          <w:tcPr>
            <w:tcW w:w="62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159"/>
              <w:spacing w:after="0" w:line="137"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5"/>
              </w:rPr>
              <w:t>Percent</w:t>
            </w:r>
          </w:p>
        </w:tc>
        <w:tc>
          <w:tcPr>
            <w:tcW w:w="3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53"/>
              <w:spacing w:after="0" w:line="137" w:lineRule="exact"/>
              <w:rPr>
                <w:sz w:val="20"/>
                <w:szCs w:val="20"/>
                <w:color w:val="auto"/>
              </w:rPr>
            </w:pPr>
            <w:r>
              <w:rPr>
                <w:rFonts w:ascii="Arial" w:cs="Arial" w:eastAsia="Arial" w:hAnsi="Arial"/>
                <w:sz w:val="14"/>
                <w:szCs w:val="14"/>
                <w:b w:val="1"/>
                <w:bCs w:val="1"/>
                <w:color w:val="auto"/>
                <w:w w:val="88"/>
              </w:rPr>
              <w:t>Per Share</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11,778,950</w:t>
            </w: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78.0%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$ 43,003,811</w:t>
            </w:r>
          </w:p>
        </w:tc>
        <w:tc>
          <w:tcPr>
            <w:tcW w:w="4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69.7%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7"/>
                <w:szCs w:val="17"/>
                <w:color w:val="auto"/>
              </w:rPr>
              <w:t>Purchasers of Class A common stock in the concurrent private placement</w:t>
            </w:r>
          </w:p>
        </w:tc>
        <w:tc>
          <w:tcPr>
            <w:tcW w:w="1300" w:type="dxa"/>
            <w:vAlign w:val="bottom"/>
            <w:gridSpan w:val="2"/>
          </w:tcPr>
          <w:p>
            <w:pPr>
              <w:jc w:val="right"/>
              <w:ind w:right="460"/>
              <w:spacing w:after="0"/>
              <w:rPr>
                <w:sz w:val="20"/>
                <w:szCs w:val="20"/>
                <w:color w:val="auto"/>
              </w:rPr>
            </w:pPr>
            <w:r>
              <w:rPr>
                <w:rFonts w:ascii="Arial" w:cs="Arial" w:eastAsia="Arial" w:hAnsi="Arial"/>
                <w:sz w:val="17"/>
                <w:szCs w:val="17"/>
                <w:color w:val="auto"/>
              </w:rPr>
              <w:t>1,333,334</w:t>
            </w:r>
          </w:p>
        </w:tc>
        <w:tc>
          <w:tcPr>
            <w:tcW w:w="1080" w:type="dxa"/>
            <w:vAlign w:val="bottom"/>
            <w:gridSpan w:val="2"/>
          </w:tcPr>
          <w:p>
            <w:pPr>
              <w:jc w:val="right"/>
              <w:ind w:right="620"/>
              <w:spacing w:after="0"/>
              <w:rPr>
                <w:sz w:val="20"/>
                <w:szCs w:val="20"/>
                <w:color w:val="auto"/>
              </w:rPr>
            </w:pPr>
            <w:r>
              <w:rPr>
                <w:rFonts w:ascii="Arial" w:cs="Arial" w:eastAsia="Arial" w:hAnsi="Arial"/>
                <w:sz w:val="17"/>
                <w:szCs w:val="17"/>
                <w:color w:val="auto"/>
              </w:rPr>
              <w:t>8.8</w:t>
            </w:r>
          </w:p>
        </w:tc>
        <w:tc>
          <w:tcPr>
            <w:tcW w:w="960" w:type="dxa"/>
            <w:vAlign w:val="bottom"/>
          </w:tcPr>
          <w:p>
            <w:pPr>
              <w:jc w:val="right"/>
              <w:spacing w:after="0"/>
              <w:rPr>
                <w:sz w:val="20"/>
                <w:szCs w:val="20"/>
                <w:color w:val="auto"/>
              </w:rPr>
            </w:pPr>
            <w:r>
              <w:rPr>
                <w:rFonts w:ascii="Arial" w:cs="Arial" w:eastAsia="Arial" w:hAnsi="Arial"/>
                <w:sz w:val="17"/>
                <w:szCs w:val="17"/>
                <w:color w:val="auto"/>
              </w:rPr>
              <w:t>7,466,670</w:t>
            </w:r>
          </w:p>
        </w:tc>
        <w:tc>
          <w:tcPr>
            <w:tcW w:w="4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7"/>
                <w:szCs w:val="17"/>
                <w:color w:val="auto"/>
              </w:rPr>
              <w:t>Purchasers of Class A common stock in this offering</w:t>
            </w:r>
          </w:p>
        </w:tc>
        <w:tc>
          <w:tcPr>
            <w:tcW w:w="1300" w:type="dxa"/>
            <w:vAlign w:val="bottom"/>
            <w:tcBorders>
              <w:bottom w:val="single" w:sz="8" w:color="CCEEFF"/>
            </w:tcBorders>
            <w:gridSpan w:val="2"/>
            <w:shd w:val="clear" w:color="auto" w:fill="CCEEFF"/>
          </w:tcPr>
          <w:p>
            <w:pPr>
              <w:jc w:val="right"/>
              <w:ind w:right="460"/>
              <w:spacing w:after="0" w:line="170" w:lineRule="exact"/>
              <w:rPr>
                <w:sz w:val="20"/>
                <w:szCs w:val="20"/>
                <w:color w:val="auto"/>
              </w:rPr>
            </w:pPr>
            <w:r>
              <w:rPr>
                <w:rFonts w:ascii="Arial" w:cs="Arial" w:eastAsia="Arial" w:hAnsi="Arial"/>
                <w:sz w:val="17"/>
                <w:szCs w:val="17"/>
                <w:color w:val="auto"/>
              </w:rPr>
              <w:t>2,000,000</w:t>
            </w:r>
          </w:p>
        </w:tc>
        <w:tc>
          <w:tcPr>
            <w:tcW w:w="1080" w:type="dxa"/>
            <w:vAlign w:val="bottom"/>
            <w:tcBorders>
              <w:bottom w:val="single" w:sz="8" w:color="CCEEFF"/>
            </w:tcBorders>
            <w:gridSpan w:val="2"/>
            <w:shd w:val="clear" w:color="auto" w:fill="CCEEFF"/>
          </w:tcPr>
          <w:p>
            <w:pPr>
              <w:jc w:val="right"/>
              <w:ind w:right="620"/>
              <w:spacing w:after="0" w:line="170" w:lineRule="exact"/>
              <w:rPr>
                <w:sz w:val="20"/>
                <w:szCs w:val="20"/>
                <w:color w:val="auto"/>
              </w:rPr>
            </w:pPr>
            <w:r>
              <w:rPr>
                <w:rFonts w:ascii="Arial" w:cs="Arial" w:eastAsia="Arial" w:hAnsi="Arial"/>
                <w:sz w:val="17"/>
                <w:szCs w:val="17"/>
                <w:color w:val="auto"/>
              </w:rPr>
              <w:t>13.2</w:t>
            </w:r>
          </w:p>
        </w:tc>
        <w:tc>
          <w:tcPr>
            <w:tcW w:w="1420" w:type="dxa"/>
            <w:vAlign w:val="bottom"/>
            <w:tcBorders>
              <w:bottom w:val="single" w:sz="8" w:color="CCEEFF"/>
            </w:tcBorders>
            <w:gridSpan w:val="2"/>
            <w:shd w:val="clear" w:color="auto" w:fill="CCEEFF"/>
          </w:tcPr>
          <w:p>
            <w:pPr>
              <w:jc w:val="right"/>
              <w:ind w:right="460"/>
              <w:spacing w:after="0" w:line="170" w:lineRule="exact"/>
              <w:rPr>
                <w:sz w:val="20"/>
                <w:szCs w:val="20"/>
                <w:color w:val="auto"/>
              </w:rPr>
            </w:pPr>
            <w:r>
              <w:rPr>
                <w:rFonts w:ascii="Arial" w:cs="Arial" w:eastAsia="Arial" w:hAnsi="Arial"/>
                <w:sz w:val="17"/>
                <w:szCs w:val="17"/>
                <w:color w:val="auto"/>
              </w:rPr>
              <w:t>11,200,000</w:t>
            </w:r>
          </w:p>
        </w:tc>
        <w:tc>
          <w:tcPr>
            <w:tcW w:w="840" w:type="dxa"/>
            <w:vAlign w:val="bottom"/>
            <w:tcBorders>
              <w:bottom w:val="single" w:sz="8" w:color="CCEEFF"/>
            </w:tcBorders>
            <w:gridSpan w:val="2"/>
            <w:shd w:val="clear" w:color="auto" w:fill="CCEEFF"/>
          </w:tcPr>
          <w:p>
            <w:pPr>
              <w:jc w:val="right"/>
              <w:ind w:right="380"/>
              <w:spacing w:after="0" w:line="170" w:lineRule="exact"/>
              <w:rPr>
                <w:sz w:val="20"/>
                <w:szCs w:val="20"/>
                <w:color w:val="auto"/>
              </w:rPr>
            </w:pPr>
            <w:r>
              <w:rPr>
                <w:rFonts w:ascii="Arial" w:cs="Arial" w:eastAsia="Arial" w:hAnsi="Arial"/>
                <w:sz w:val="17"/>
                <w:szCs w:val="17"/>
                <w:color w:val="auto"/>
              </w:rPr>
              <w:t>18.2</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w w:val="90"/>
              </w:rPr>
              <w:t>5.</w:t>
            </w:r>
            <w:r>
              <w:rPr>
                <w:rFonts w:ascii="Arial" w:cs="Arial" w:eastAsia="Arial" w:hAnsi="Arial"/>
                <w:sz w:val="17"/>
                <w:szCs w:val="17"/>
                <w:u w:val="single" w:color="auto"/>
                <w:color w:val="auto"/>
                <w:w w:val="90"/>
              </w:rPr>
              <w:t>60</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7"/>
                <w:szCs w:val="17"/>
                <w:color w:val="auto"/>
              </w:rPr>
              <w:t>Totals</w:t>
            </w: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4.08</w:t>
            </w:r>
          </w:p>
        </w:tc>
        <w:tc>
          <w:tcPr>
            <w:tcW w:w="0" w:type="dxa"/>
            <w:vAlign w:val="bottom"/>
          </w:tcPr>
          <w:p>
            <w:pPr>
              <w:spacing w:after="0" w:line="20" w:lineRule="exact"/>
              <w:rPr>
                <w:sz w:val="1"/>
                <w:szCs w:val="1"/>
                <w:color w:val="auto"/>
              </w:rPr>
            </w:pPr>
          </w:p>
        </w:tc>
      </w:tr>
      <w:tr>
        <w:trPr>
          <w:trHeight w:val="214"/>
        </w:trPr>
        <w:tc>
          <w:tcPr>
            <w:tcW w:w="56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15,112,284</w:t>
            </w:r>
          </w:p>
        </w:tc>
        <w:tc>
          <w:tcPr>
            <w:tcW w:w="4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100.0%</w:t>
            </w:r>
          </w:p>
        </w:tc>
        <w:tc>
          <w:tcPr>
            <w:tcW w:w="960" w:type="dxa"/>
            <w:vAlign w:val="bottom"/>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61,670,481</w:t>
            </w:r>
          </w:p>
        </w:tc>
        <w:tc>
          <w:tcPr>
            <w:tcW w:w="4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100.0%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40" w:firstLine="457"/>
        <w:spacing w:after="0" w:line="287" w:lineRule="auto"/>
        <w:rPr>
          <w:sz w:val="20"/>
          <w:szCs w:val="20"/>
          <w:color w:val="auto"/>
        </w:rPr>
      </w:pPr>
      <w:r>
        <w:rPr>
          <w:rFonts w:ascii="Arial" w:cs="Arial" w:eastAsia="Arial" w:hAnsi="Arial"/>
          <w:sz w:val="17"/>
          <w:szCs w:val="17"/>
          <w:color w:val="auto"/>
        </w:rPr>
        <w:t>The table above excludes the shares of Class A common stock issuable upon the exercise of an outstanding warrant and outstanding options as well as shares of Class A common stock reserved for future issuance under out equity incentive plan, which consisted of:</w:t>
      </w:r>
    </w:p>
    <w:p>
      <w:pPr>
        <w:spacing w:after="0" w:line="67" w:lineRule="exact"/>
        <w:rPr>
          <w:sz w:val="20"/>
          <w:szCs w:val="20"/>
          <w:color w:val="auto"/>
        </w:rPr>
      </w:pPr>
    </w:p>
    <w:p>
      <w:pPr>
        <w:ind w:left="900" w:right="140" w:hanging="439"/>
        <w:spacing w:after="0" w:line="271"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the exercise of an outstanding warrant, with an exercise price of $7.50 per share, at June 30, 2017 and November 2, 2017, as described under “Management’s Discussion and Analysis of Financial Condition and Results of Operations—Recent Equity Transactions—Issuance of Warrant”);</w:t>
      </w:r>
    </w:p>
    <w:p>
      <w:pPr>
        <w:spacing w:after="0" w:line="80" w:lineRule="exact"/>
        <w:rPr>
          <w:rFonts w:ascii="Arial" w:cs="Arial" w:eastAsia="Arial" w:hAnsi="Arial"/>
          <w:sz w:val="17"/>
          <w:szCs w:val="17"/>
          <w:color w:val="auto"/>
        </w:rPr>
      </w:pPr>
    </w:p>
    <w:p>
      <w:pPr>
        <w:jc w:val="both"/>
        <w:ind w:left="900" w:right="400" w:hanging="439"/>
        <w:spacing w:after="0" w:line="271"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3,489,959 shares of Class A common stock issuable upon the exercise of outstanding options with a weighted-average exercise price of $2.29 per share at June 30, 2017 and 3,396,076 shares of Class A common stock issuable upon the exercise of outstanding options with a weighted-average exercise price of $2.50 per share at November 2, 2017; and</w:t>
      </w:r>
    </w:p>
    <w:p>
      <w:pPr>
        <w:spacing w:after="0" w:line="80" w:lineRule="exact"/>
        <w:rPr>
          <w:rFonts w:ascii="Arial" w:cs="Arial" w:eastAsia="Arial" w:hAnsi="Arial"/>
          <w:sz w:val="17"/>
          <w:szCs w:val="17"/>
          <w:color w:val="auto"/>
        </w:rPr>
      </w:pPr>
    </w:p>
    <w:p>
      <w:pPr>
        <w:ind w:left="900" w:right="600" w:hanging="439"/>
        <w:spacing w:after="0" w:line="287"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705,383 shares of Class A common stock reserved for issuance under our equity incentive plan at June 30, 2017 and 585,381 shares of Class A common stock reserved for issuance under our equity incentive plan at November 2, 2017.</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8"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RATE INFORMATION</w:t>
      </w:r>
    </w:p>
    <w:p>
      <w:pPr>
        <w:spacing w:after="0" w:line="228"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This prospectus contains translations of Renminbi, or RMB, amounts into U.S. dollars at specific rates solely for the convenience of the reader.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 On September 29, 2017, the conversion rate was RMB 6.6369 to U.S. $1.00.</w:t>
      </w:r>
    </w:p>
    <w:p>
      <w:pPr>
        <w:spacing w:after="0" w:line="18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Exchange Rate</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980" w:type="dxa"/>
            <w:vAlign w:val="bottom"/>
            <w:gridSpan w:val="2"/>
            <w:vMerge w:val="continue"/>
          </w:tcPr>
          <w:p>
            <w:pPr>
              <w:spacing w:after="0"/>
              <w:rPr>
                <w:sz w:val="11"/>
                <w:szCs w:val="11"/>
                <w:color w:val="auto"/>
              </w:rPr>
            </w:pPr>
          </w:p>
        </w:tc>
        <w:tc>
          <w:tcPr>
            <w:tcW w:w="860" w:type="dxa"/>
            <w:vAlign w:val="bottom"/>
          </w:tcPr>
          <w:p>
            <w:pPr>
              <w:jc w:val="right"/>
              <w:ind w:right="76"/>
              <w:spacing w:after="0" w:line="137" w:lineRule="exact"/>
              <w:rPr>
                <w:sz w:val="20"/>
                <w:szCs w:val="20"/>
                <w:color w:val="auto"/>
              </w:rPr>
            </w:pPr>
            <w:r>
              <w:rPr>
                <w:rFonts w:ascii="Arial" w:cs="Arial" w:eastAsia="Arial" w:hAnsi="Arial"/>
                <w:sz w:val="14"/>
                <w:szCs w:val="14"/>
                <w:b w:val="1"/>
                <w:bCs w:val="1"/>
                <w:color w:val="auto"/>
                <w:w w:val="91"/>
              </w:rPr>
              <w:t>Period End</w:t>
            </w:r>
          </w:p>
        </w:tc>
        <w:tc>
          <w:tcPr>
            <w:tcW w:w="1000" w:type="dxa"/>
            <w:vAlign w:val="bottom"/>
          </w:tcPr>
          <w:p>
            <w:pPr>
              <w:jc w:val="right"/>
              <w:ind w:right="119"/>
              <w:spacing w:after="0" w:line="137" w:lineRule="exact"/>
              <w:rPr>
                <w:sz w:val="20"/>
                <w:szCs w:val="20"/>
                <w:color w:val="auto"/>
              </w:rPr>
            </w:pPr>
            <w:r>
              <w:rPr>
                <w:rFonts w:ascii="Arial" w:cs="Arial" w:eastAsia="Arial" w:hAnsi="Arial"/>
                <w:sz w:val="14"/>
                <w:szCs w:val="14"/>
                <w:b w:val="1"/>
                <w:bCs w:val="1"/>
                <w:color w:val="auto"/>
              </w:rPr>
              <w:t>Average(1)</w:t>
            </w:r>
          </w:p>
        </w:tc>
        <w:tc>
          <w:tcPr>
            <w:tcW w:w="860" w:type="dxa"/>
            <w:vAlign w:val="bottom"/>
          </w:tcPr>
          <w:p>
            <w:pPr>
              <w:jc w:val="right"/>
              <w:ind w:right="256"/>
              <w:spacing w:after="0" w:line="137" w:lineRule="exact"/>
              <w:rPr>
                <w:sz w:val="20"/>
                <w:szCs w:val="20"/>
                <w:color w:val="auto"/>
              </w:rPr>
            </w:pPr>
            <w:r>
              <w:rPr>
                <w:rFonts w:ascii="Arial" w:cs="Arial" w:eastAsia="Arial" w:hAnsi="Arial"/>
                <w:sz w:val="14"/>
                <w:szCs w:val="14"/>
                <w:b w:val="1"/>
                <w:bCs w:val="1"/>
                <w:color w:val="auto"/>
              </w:rPr>
              <w:t>Low</w:t>
            </w:r>
          </w:p>
        </w:tc>
        <w:tc>
          <w:tcPr>
            <w:tcW w:w="660" w:type="dxa"/>
            <w:vAlign w:val="bottom"/>
          </w:tcPr>
          <w:p>
            <w:pPr>
              <w:jc w:val="right"/>
              <w:ind w:right="56"/>
              <w:spacing w:after="0" w:line="137"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Borders>
              <w:top w:val="single" w:sz="8" w:color="auto"/>
            </w:tcBorders>
          </w:tcPr>
          <w:p>
            <w:pPr>
              <w:spacing w:after="0"/>
              <w:rPr>
                <w:sz w:val="11"/>
                <w:szCs w:val="11"/>
                <w:color w:val="auto"/>
              </w:rPr>
            </w:pPr>
          </w:p>
        </w:tc>
        <w:tc>
          <w:tcPr>
            <w:tcW w:w="75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2"/>
          </w:tcPr>
          <w:p>
            <w:pPr>
              <w:jc w:val="right"/>
              <w:ind w:right="296"/>
              <w:spacing w:after="0" w:line="137" w:lineRule="exact"/>
              <w:rPr>
                <w:sz w:val="20"/>
                <w:szCs w:val="20"/>
                <w:color w:val="auto"/>
              </w:rPr>
            </w:pPr>
            <w:r>
              <w:rPr>
                <w:rFonts w:ascii="Arial" w:cs="Arial" w:eastAsia="Arial" w:hAnsi="Arial"/>
                <w:sz w:val="14"/>
                <w:szCs w:val="14"/>
                <w:b w:val="1"/>
                <w:bCs w:val="1"/>
                <w:color w:val="auto"/>
              </w:rPr>
              <w:t>(RMB per U.S. $1.00)</w:t>
            </w: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6.3001</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6.2928</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6.2670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6.3495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Arial" w:cs="Arial" w:eastAsia="Arial" w:hAnsi="Arial"/>
                <w:sz w:val="17"/>
                <w:szCs w:val="17"/>
                <w:color w:val="auto"/>
              </w:rPr>
              <w:t>2013</w:t>
            </w:r>
          </w:p>
        </w:tc>
        <w:tc>
          <w:tcPr>
            <w:tcW w:w="758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6.2897</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6.1933</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6.0969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6.2898</w:t>
            </w: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6.0990</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6.1090</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6.0930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6.1710</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Arial" w:cs="Arial" w:eastAsia="Arial" w:hAnsi="Arial"/>
                <w:sz w:val="17"/>
                <w:szCs w:val="17"/>
                <w:color w:val="auto"/>
              </w:rPr>
              <w:t>2015</w:t>
            </w:r>
          </w:p>
        </w:tc>
        <w:tc>
          <w:tcPr>
            <w:tcW w:w="758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6.4936</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6.2284</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6.1079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6.4936</w:t>
            </w: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6.9370</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6.6423</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6.4565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6.9508</w:t>
            </w: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Arial" w:cs="Arial" w:eastAsia="Arial" w:hAnsi="Arial"/>
                <w:sz w:val="17"/>
                <w:szCs w:val="17"/>
                <w:color w:val="auto"/>
              </w:rPr>
              <w:t>2017 (through September 29)</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6.6369</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6.7983</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6.4997</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6.9526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283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Source: safe.gov.cn</w:t>
      </w:r>
    </w:p>
    <w:p>
      <w:pPr>
        <w:spacing w:after="0" w:line="130" w:lineRule="exact"/>
        <w:rPr>
          <w:sz w:val="20"/>
          <w:szCs w:val="20"/>
          <w:color w:val="auto"/>
        </w:rPr>
      </w:pPr>
    </w:p>
    <w:p>
      <w:pPr>
        <w:ind w:left="460" w:hanging="456"/>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Calculated using the average of the daily exchange rates during the relevant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INFORMATION</w:t>
      </w:r>
    </w:p>
    <w:p>
      <w:pPr>
        <w:spacing w:after="0" w:line="228"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The following tables set forth selected consolidated financial data. We derived the consolidated statement of operations data for the years ended December 31, 2015 and 2016 and the consolidated balance sheet data as of December 31, 2016 from our consolidated financial statements audited by BDO China Shu Lun Pan Certified Public Accountants LLP and included at the end of this prospectus. We derived the consolidated statement of operations data for the six months ended June 30, 2016 and June 30, 2017 and the consolidated balance sheet data as of June 30, 2017 from our unaudited consolidated financial statements included elsewhere in this prospectus. In the opinion of management, the unaudited consolidated financial statements have been prepared on the same basis as our audited consolidated financial statements and include all adjustments, consisting only of normal recurring adjustments, necessary for a fair presentation of the information set forth therein. The following tables also show certain operational and non-GAAP financial measures. Our historical results and key metrics are not necessarily indicative of the results to be expected for any future period, and the results for any interim period are not necessarily indicative of the results that may be expected for a full year. The following should be read in conjunction with “Management’s Discussion and Analysis of Financial Condition and Results of Operations” and our consolidated financial statements and related notes included at the end of this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48"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60" w:firstLine="457"/>
        <w:spacing w:after="0" w:line="296" w:lineRule="auto"/>
        <w:rPr>
          <w:sz w:val="20"/>
          <w:szCs w:val="20"/>
          <w:color w:val="auto"/>
        </w:rPr>
      </w:pPr>
      <w:r>
        <w:rPr>
          <w:rFonts w:ascii="Arial" w:cs="Arial" w:eastAsia="Arial" w:hAnsi="Arial"/>
          <w:sz w:val="16"/>
          <w:szCs w:val="16"/>
          <w:color w:val="auto"/>
        </w:rPr>
        <w:t>Pro forma information in the following tables gives effect to the automatic conversion of all outstanding shares of our convertible preferred stock into Class A common stock upon completion of this offering. See note 2 to the consolidated financial statements appearing at the end of this prospectus for an explanation of the method used to determine the number of shares used in computing historical and pro forma net income (loss)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23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gridSpan w:val="7"/>
          </w:tcPr>
          <w:p>
            <w:pPr>
              <w:jc w:val="right"/>
              <w:ind w:right="260"/>
              <w:spacing w:after="0" w:line="149" w:lineRule="exact"/>
              <w:rPr>
                <w:sz w:val="20"/>
                <w:szCs w:val="20"/>
                <w:color w:val="auto"/>
              </w:rPr>
            </w:pPr>
            <w:r>
              <w:rPr>
                <w:rFonts w:ascii="Arial" w:cs="Arial" w:eastAsia="Arial" w:hAnsi="Arial"/>
                <w:sz w:val="14"/>
                <w:szCs w:val="14"/>
                <w:i w:val="1"/>
                <w:iCs w:val="1"/>
                <w:color w:val="auto"/>
                <w:w w:val="95"/>
              </w:rPr>
              <w:t>(in thousands, except share and per share data)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Revenue</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14,423</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8,122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27,371</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8,570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5,292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14,042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5,853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2,830</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13,329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2,583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1,818</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3,907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1,486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3,259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3,158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1,089</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2,673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7,608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4,393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9,839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680"/>
              <w:spacing w:after="0"/>
              <w:rPr>
                <w:sz w:val="20"/>
                <w:szCs w:val="20"/>
                <w:color w:val="auto"/>
              </w:rPr>
            </w:pPr>
            <w:r>
              <w:rPr>
                <w:rFonts w:ascii="Arial" w:cs="Arial" w:eastAsia="Arial" w:hAnsi="Arial"/>
                <w:sz w:val="17"/>
                <w:szCs w:val="17"/>
                <w:color w:val="auto"/>
              </w:rPr>
              <w:t>Income (loss) from operations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(1,755)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(1,563)</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3,490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(292)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(343)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before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(1,102)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2,982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(749)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(595)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2,387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Less: Net income (loss) attributable to non-controlling interests(1)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(208)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1,356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 attributable to ACM Research, Inc.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7"/>
                <w:szCs w:val="17"/>
                <w:color w:val="auto"/>
              </w:rPr>
              <w:t>Net income (loss) per share of common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vMerge w:val="continue"/>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(0.56)</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(0.27)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0.18</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Weighted-average common shares outstanding used in computing per share</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4,927,973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w w:val="89"/>
              </w:rPr>
              <w:t>2,061,339</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w w:val="89"/>
              </w:rPr>
              <w:t>2,176,315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2,047,383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4,927,973</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89"/>
              </w:rPr>
              <w:t>2,061,339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3,792,137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3,144,120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7"/>
                <w:szCs w:val="17"/>
                <w:color w:val="auto"/>
              </w:rPr>
              <w:t>Pro forma net income (loss) per common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vMerge w:val="continue"/>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(0.35)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Pro forma weighted-average common shares outstanding used in computing</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 share amounts: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7,889,818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w w:val="89"/>
              </w:rPr>
              <w:t>5,137,211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7,889,818</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6,753,033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00" w:hanging="336"/>
        <w:spacing w:after="0" w:line="284" w:lineRule="auto"/>
        <w:tabs>
          <w:tab w:leader="none" w:pos="3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As of each date, ACM Research held 62.87% of the outstanding equity interests of ACM Shanghai and the remaining 37.13% was held by three third-party investors. As described under “Management’s Discussion and Analysis of Financial Condition and Results of Operations—Recent Equity Transactions—Acquisition of Minority Interests in Our Operating Company,” ACM Research acquired an additional 18.77% of the outstanding ACM Shanghai equity interests as of August 31, 2017 and will acquire, in the fourth quarter of 2017, all of the remaining outstanding equity interests held by the minority investors.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48"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940" w:type="dxa"/>
            <w:vAlign w:val="bottom"/>
            <w:gridSpan w:val="3"/>
          </w:tcPr>
          <w:p>
            <w:pPr>
              <w:ind w:left="15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2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35"/>
              <w:spacing w:after="0" w:line="137" w:lineRule="exact"/>
              <w:rPr>
                <w:sz w:val="20"/>
                <w:szCs w:val="20"/>
                <w:color w:val="auto"/>
              </w:rPr>
            </w:pPr>
            <w:r>
              <w:rPr>
                <w:rFonts w:ascii="Arial" w:cs="Arial" w:eastAsia="Arial" w:hAnsi="Arial"/>
                <w:sz w:val="14"/>
                <w:szCs w:val="14"/>
                <w:b w:val="1"/>
                <w:bCs w:val="1"/>
                <w:color w:val="auto"/>
                <w:w w:val="90"/>
              </w:rPr>
              <w:t>June 30, 2017</w:t>
            </w:r>
          </w:p>
        </w:tc>
        <w:tc>
          <w:tcPr>
            <w:tcW w:w="500" w:type="dxa"/>
            <w:vAlign w:val="bottom"/>
            <w:tcBorders>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531"/>
              <w:spacing w:after="0" w:line="137"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bottom w:val="single" w:sz="8" w:color="auto"/>
            </w:tcBorders>
          </w:tcPr>
          <w:p>
            <w:pPr>
              <w:jc w:val="right"/>
              <w:ind w:right="115"/>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60" w:type="dxa"/>
            <w:vAlign w:val="bottom"/>
            <w:gridSpan w:val="2"/>
          </w:tcPr>
          <w:p>
            <w:pPr>
              <w:jc w:val="right"/>
              <w:ind w:right="491"/>
              <w:spacing w:after="0" w:line="137" w:lineRule="exact"/>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680" w:type="dxa"/>
            <w:vAlign w:val="bottom"/>
            <w:gridSpan w:val="2"/>
          </w:tcPr>
          <w:p>
            <w:pPr>
              <w:ind w:left="156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13,206</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$ 10,119</w:t>
            </w:r>
          </w:p>
        </w:tc>
        <w:tc>
          <w:tcPr>
            <w:tcW w:w="1020" w:type="dxa"/>
            <w:vAlign w:val="bottom"/>
          </w:tcPr>
          <w:p>
            <w:pPr>
              <w:jc w:val="right"/>
              <w:spacing w:after="0"/>
              <w:rPr>
                <w:sz w:val="20"/>
                <w:szCs w:val="20"/>
                <w:color w:val="auto"/>
              </w:rPr>
            </w:pPr>
            <w:r>
              <w:rPr>
                <w:rFonts w:ascii="Arial" w:cs="Arial" w:eastAsia="Arial" w:hAnsi="Arial"/>
                <w:sz w:val="17"/>
                <w:szCs w:val="17"/>
                <w:color w:val="auto"/>
              </w:rPr>
              <w:t>$  4,401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23,433</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23,278</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7,381</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47,437</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44,467</w:t>
            </w:r>
          </w:p>
        </w:tc>
        <w:tc>
          <w:tcPr>
            <w:tcW w:w="1020" w:type="dxa"/>
            <w:vAlign w:val="bottom"/>
          </w:tcPr>
          <w:p>
            <w:pPr>
              <w:jc w:val="right"/>
              <w:spacing w:after="0"/>
              <w:rPr>
                <w:sz w:val="20"/>
                <w:szCs w:val="20"/>
                <w:color w:val="auto"/>
              </w:rPr>
            </w:pPr>
            <w:r>
              <w:rPr>
                <w:rFonts w:ascii="Arial" w:cs="Arial" w:eastAsia="Arial" w:hAnsi="Arial"/>
                <w:sz w:val="17"/>
                <w:szCs w:val="17"/>
                <w:color w:val="auto"/>
              </w:rPr>
              <w:t>32,151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indebtedness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4,595</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4,772</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9,691</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27,883</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23,948</w:t>
            </w:r>
          </w:p>
        </w:tc>
        <w:tc>
          <w:tcPr>
            <w:tcW w:w="1020" w:type="dxa"/>
            <w:vAlign w:val="bottom"/>
          </w:tcPr>
          <w:p>
            <w:pPr>
              <w:jc w:val="right"/>
              <w:spacing w:after="0"/>
              <w:rPr>
                <w:sz w:val="20"/>
                <w:szCs w:val="20"/>
                <w:color w:val="auto"/>
              </w:rPr>
            </w:pPr>
            <w:r>
              <w:rPr>
                <w:rFonts w:ascii="Arial" w:cs="Arial" w:eastAsia="Arial" w:hAnsi="Arial"/>
                <w:sz w:val="17"/>
                <w:szCs w:val="17"/>
                <w:color w:val="auto"/>
              </w:rPr>
              <w:t>27,754</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redeemable convertible preferred stock</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18,034</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18,034</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ACM Research, Inc. stockholders’ deficit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(3,289)</w:t>
            </w:r>
          </w:p>
        </w:tc>
        <w:tc>
          <w:tcPr>
            <w:tcW w:w="1560" w:type="dxa"/>
            <w:vAlign w:val="bottom"/>
            <w:gridSpan w:val="2"/>
          </w:tcPr>
          <w:p>
            <w:pPr>
              <w:jc w:val="right"/>
              <w:ind w:right="291"/>
              <w:spacing w:after="0"/>
              <w:rPr>
                <w:sz w:val="20"/>
                <w:szCs w:val="20"/>
                <w:color w:val="auto"/>
              </w:rPr>
            </w:pPr>
            <w:r>
              <w:rPr>
                <w:rFonts w:ascii="Arial" w:cs="Arial" w:eastAsia="Arial" w:hAnsi="Arial"/>
                <w:sz w:val="17"/>
                <w:szCs w:val="17"/>
                <w:color w:val="auto"/>
              </w:rPr>
              <w:t>(2,434)</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(8,236)</w:t>
            </w: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4,809</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4,919</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3,757</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stockholders’ (deficit) equity</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1,520</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2,485</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(4,479)</w:t>
            </w:r>
          </w:p>
        </w:tc>
      </w:tr>
    </w:tbl>
    <w:p>
      <w:pPr>
        <w:spacing w:after="0" w:line="210" w:lineRule="exact"/>
        <w:rPr>
          <w:sz w:val="20"/>
          <w:szCs w:val="20"/>
          <w:color w:val="auto"/>
        </w:rPr>
      </w:pPr>
    </w:p>
    <w:p>
      <w:pPr>
        <w:ind w:left="460" w:hanging="456"/>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Calculated as current assets minus current liabilities.</w:t>
      </w:r>
    </w:p>
    <w:p>
      <w:pPr>
        <w:spacing w:after="0" w:line="22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To supplement our consolidated financial statements presented in accordance with U.S. generally accepted accounting principles, or GAAP, we monitor and consider adjusted EBITDA, free cash flow and adjusted operating income (loss), which are non-GAAP financial measures. These measures are commonly used by management and investors as performance measures. They are not considered measures of financial performance under GAAP, and the items excluded from the measures are significant components in understanding and assessing our financial performance. Each of adjusted EBITDA, free cash flow and adjusted operating income (loss) has limitations as an analytical tool, and should not be considered in isolation or as an alternative to such GAAP measures as net income, cash flows provided by or used in operations, investing or financing activities, or other financial statement data presented in our consolidated financial statements as an indicator of financial performance or liquidity. In addition, because they are not measures determined in accordance with GAAP and are susceptible to varying calculations, adjusted EBITDA, free cash flow and adjusted operating income (loss), as presented, may not be comparable to other similarly titled measures of other companies.</w:t>
      </w:r>
    </w:p>
    <w:p>
      <w:pPr>
        <w:spacing w:after="0" w:line="96" w:lineRule="exact"/>
        <w:rPr>
          <w:sz w:val="20"/>
          <w:szCs w:val="20"/>
          <w:color w:val="auto"/>
        </w:rPr>
      </w:pPr>
    </w:p>
    <w:p>
      <w:pPr>
        <w:ind w:left="900" w:right="280" w:hanging="439"/>
        <w:spacing w:after="0" w:line="298"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The following table reconciles net income (loss), the most directly comparable GAAP financial measure, to adjusted</w:t>
      </w:r>
    </w:p>
    <w:p>
      <w:pPr>
        <w:spacing w:after="0" w:line="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7"/>
          <w:szCs w:val="17"/>
          <w:color w:val="auto"/>
        </w:rPr>
        <w:t>EBITDA:</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Year Ended December 31,</w:t>
            </w:r>
          </w:p>
        </w:tc>
      </w:tr>
      <w:tr>
        <w:trPr>
          <w:trHeight w:val="13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Net income (loss)</w:t>
            </w: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(2,955)</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(1,029)</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2,387</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7,915</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595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(2,525)</w:t>
            </w: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(581)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(776)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51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20"/>
          </w:cols>
          <w:pgMar w:left="240" w:top="448"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80" w:hanging="439"/>
        <w:spacing w:after="0" w:line="271"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purchase of intangible assets. The following table reconciles net cash provided by operating activities, the most directly comparable GAAP financial measure, to free cash flow:</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9"/>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80"/>
              <w:spacing w:after="0" w:line="137" w:lineRule="exact"/>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Consolidated Statement of Cash Flows and Free Cash</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Flow Data:</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2,983</w:t>
            </w:r>
          </w:p>
        </w:tc>
        <w:tc>
          <w:tcPr>
            <w:tcW w:w="3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4,739</w:t>
            </w:r>
          </w:p>
        </w:tc>
        <w:tc>
          <w:tcPr>
            <w:tcW w:w="3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(3,702)</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 net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7"/>
                <w:szCs w:val="17"/>
                <w:color w:val="auto"/>
              </w:rPr>
              <w:t>Purchase of intangible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(4,512)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900" w:hanging="439"/>
        <w:spacing w:after="0" w:line="320"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define adjusted operating income (loss) as our income (loss) from operations excluding stock-based compensation. The following table reconciles income (loss) from operations, the most directly comparable GAAP financial measure, to adjusted operating income (loss):</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0"/>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0"/>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 Data:</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(1,755)</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(1,563)</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3,490</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7"/>
                <w:szCs w:val="17"/>
                <w:color w:val="auto"/>
              </w:rPr>
              <w:t>Adjusted operating income (loss)</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(407)</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(1,370)</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3,873</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8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48" w:right="3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0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You should read the following discussion in conjunction with our consolidated financial statements and related notes appearing at the end of this prospectus. In addition to historical information, the following discussion contains forward-looking statements that involve risks, uncertainties and assumptions. You should read “Risk Factors” for a discussion of factors that could cause our actual results to differ materially from our expectations.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We seek to market our wet processing equipment by first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memory and logic chip customers since 2009 and recognized revenue from SAPS equipment since 2011. Using a similar “demo-to-sales” process, we began placing TEBO evaluation equipment with selected customers in 2016 and recognized revenue from our initial sale of TEBO equipment in December 2016. As of June 30, 2017, we had sold and deployed more than 30 single-wafer wet cleaning tools. We recognized revenue from the selected customers’ purchases of single-wafer wet cleaning equipment totaling $10.6 million, or 73.6% of our revenue, in the first half of 2017, $21.5 million, or 78.4% of our revenue, in 2016, and $26.8 million, or 86.0% of our revenue, in 2015.</w:t>
      </w:r>
    </w:p>
    <w:p>
      <w:pPr>
        <w:spacing w:after="0" w:line="166" w:lineRule="exact"/>
        <w:rPr>
          <w:sz w:val="20"/>
          <w:szCs w:val="20"/>
          <w:color w:val="auto"/>
        </w:rPr>
      </w:pPr>
    </w:p>
    <w:p>
      <w:pPr>
        <w:ind w:right="220" w:firstLine="457"/>
        <w:spacing w:after="0" w:line="263" w:lineRule="auto"/>
        <w:rPr>
          <w:sz w:val="20"/>
          <w:szCs w:val="20"/>
          <w:color w:val="auto"/>
        </w:rPr>
      </w:pPr>
      <w:r>
        <w:rPr>
          <w:rFonts w:ascii="Arial" w:cs="Arial" w:eastAsia="Arial" w:hAnsi="Arial"/>
          <w:sz w:val="17"/>
          <w:szCs w:val="17"/>
          <w:color w:val="auto"/>
        </w:rPr>
        <w:t>We market and sell our products worldwide using a combination of our direct sales force and third-party representatives. We employ direct sales teams in Asia, Europe and North America, and have located these teams near our customers, primarily in the People’s Republic of China, or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18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established our operational center in Shanghai in 2006 to help us establish and build relationships with chip manufacturers in China and throughout Asia. In addition to our SAPS and TEBO tools, we offer a range of custom-made wafer assembly and packaging equipment, such as coaters and developers, to wafer assembly and packaging factories, principally in the PRC.</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Background</w:t>
      </w:r>
    </w:p>
    <w:p>
      <w:pPr>
        <w:spacing w:after="0" w:line="123" w:lineRule="exact"/>
        <w:rPr>
          <w:sz w:val="20"/>
          <w:szCs w:val="20"/>
          <w:color w:val="auto"/>
        </w:rPr>
      </w:pPr>
    </w:p>
    <w:p>
      <w:pPr>
        <w:ind w:right="480" w:firstLine="457"/>
        <w:spacing w:after="0" w:line="287" w:lineRule="auto"/>
        <w:rPr>
          <w:sz w:val="20"/>
          <w:szCs w:val="20"/>
          <w:color w:val="auto"/>
        </w:rPr>
      </w:pPr>
      <w:r>
        <w:rPr>
          <w:rFonts w:ascii="Arial" w:cs="Arial" w:eastAsia="Arial" w:hAnsi="Arial"/>
          <w:sz w:val="17"/>
          <w:szCs w:val="17"/>
          <w:color w:val="auto"/>
        </w:rPr>
        <w:t>ACM Research incorporated in California in 1998 and redomesticated to Delaware in November 2016. Key events in our corporate development have included:</w:t>
      </w:r>
    </w:p>
    <w:p>
      <w:pPr>
        <w:spacing w:after="0" w:line="67" w:lineRule="exact"/>
        <w:rPr>
          <w:sz w:val="20"/>
          <w:szCs w:val="20"/>
          <w:color w:val="auto"/>
        </w:rPr>
      </w:pPr>
    </w:p>
    <w:p>
      <w:pPr>
        <w:ind w:left="900" w:right="20" w:hanging="439"/>
        <w:spacing w:after="0" w:line="287"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Initially we focused on developing tools for semiconductor manufacturing process steps involving the integration of ultra-low-K materials and copper. In the early 2000s, we sold tools based on stress-free copper-polishing technology.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80"/>
          </w:cols>
          <w:pgMar w:left="240" w:top="448" w:right="2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line="271"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2006 we moved our operational center to Shanghai, where we began to conduct our business through our subsidiary ACM Shanghai. This move was made to help us establish and build relationships with chip manufacturers in the PRC. We have financed our operations in part through the sale of minority equity interests in ACM Shanghai.</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2007 we began to focus our development efforts on single-wafer wet-cleaning solutions for the front-end chip fabrication process.</w:t>
      </w:r>
    </w:p>
    <w:p>
      <w:pPr>
        <w:spacing w:after="0" w:line="13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2008 ACM Shanghai received an initial grant from local and central governmental authorities in the PRC. The grant relates to the development and commercialization of 65nm to 45nm stress-free polishing technology.</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2009 we introduced SAPS megasonic technology, which can be applied in wet wafer cleaning at numerous steps during the chip fabrication process.</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2011 ACM Shanghai formed a wholly owned subsidiary in the PRC, ACM Research (Wuxi), Inc., to manage sales and service operations.</w:t>
      </w:r>
    </w:p>
    <w:p>
      <w:pPr>
        <w:spacing w:after="0" w:line="141" w:lineRule="exact"/>
        <w:rPr>
          <w:rFonts w:ascii="Arial" w:cs="Arial" w:eastAsia="Arial" w:hAnsi="Arial"/>
          <w:sz w:val="16"/>
          <w:szCs w:val="16"/>
          <w:color w:val="auto"/>
        </w:rPr>
      </w:pPr>
    </w:p>
    <w:p>
      <w:pPr>
        <w:ind w:left="900" w:right="80" w:hanging="439"/>
        <w:spacing w:after="0" w:line="287"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2014 ACM Shanghai received an additional grant from local and central governmental authorities in the PRC. The grant relates to the development of electro copper-plating technology.</w:t>
      </w:r>
    </w:p>
    <w:p>
      <w:pPr>
        <w:spacing w:after="0" w:line="66" w:lineRule="exact"/>
        <w:rPr>
          <w:rFonts w:ascii="Arial" w:cs="Arial" w:eastAsia="Arial" w:hAnsi="Arial"/>
          <w:sz w:val="17"/>
          <w:szCs w:val="17"/>
          <w:color w:val="auto"/>
        </w:rPr>
      </w:pPr>
    </w:p>
    <w:p>
      <w:pPr>
        <w:ind w:left="900" w:right="460" w:hanging="439"/>
        <w:spacing w:after="0" w:line="287"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March 2016 we introduced TEBO technology, which can be applied at numerous steps during the fabrication of small node conventional two-dimensional and three-dimensional patterned wafers.</w:t>
      </w:r>
    </w:p>
    <w:p>
      <w:pPr>
        <w:spacing w:after="0" w:line="66" w:lineRule="exact"/>
        <w:rPr>
          <w:rFonts w:ascii="Arial" w:cs="Arial" w:eastAsia="Arial" w:hAnsi="Arial"/>
          <w:sz w:val="17"/>
          <w:szCs w:val="17"/>
          <w:color w:val="auto"/>
        </w:rPr>
      </w:pPr>
    </w:p>
    <w:p>
      <w:pPr>
        <w:ind w:left="900" w:right="380" w:hanging="439"/>
        <w:spacing w:after="0" w:line="271"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March and August 2017, we entered into agreements pursuant to which we will acquire all of the outstanding minority equity interests in ACM Shanghai by no later than December 31, 2017, as described below under “—Recent Equity Transactions—Acquisition of Outstanding Minority Interests in Our Operating Company.”</w:t>
      </w:r>
    </w:p>
    <w:p>
      <w:pPr>
        <w:spacing w:after="0" w:line="80" w:lineRule="exact"/>
        <w:rPr>
          <w:rFonts w:ascii="Arial" w:cs="Arial" w:eastAsia="Arial" w:hAnsi="Arial"/>
          <w:sz w:val="17"/>
          <w:szCs w:val="17"/>
          <w:color w:val="auto"/>
        </w:rPr>
      </w:pPr>
    </w:p>
    <w:p>
      <w:pPr>
        <w:ind w:left="900" w:right="20" w:hanging="439"/>
        <w:spacing w:after="0" w:line="271"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Equity Transactions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Issuance of Warrant</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SMC is a PRC limited partnership owned by Jian Wang, our Vice President, Research and Development and the brother of our Chair of the Board, Chief Executive Officer and President, David H. Wang, and other employees of ACM Shanghai. In March 2017 we issued to SMC a warrant exercisable to purchase 397,502 shares of Class A common stock at a price of $7.50 per share, for a total exercise price of approximately $3.0 million. The warrant may be exercised for cash or on a cashless basis, at the option of SMC, at any time on or before May 17, 2023 to acquire all, but not less than all, of the shares of Class A common stock subject to the warrant.</w:t>
      </w:r>
    </w:p>
    <w:p>
      <w:pPr>
        <w:spacing w:after="0" w:line="89" w:lineRule="exact"/>
        <w:rPr>
          <w:sz w:val="20"/>
          <w:szCs w:val="20"/>
          <w:color w:val="auto"/>
        </w:rPr>
      </w:pPr>
    </w:p>
    <w:p>
      <w:pPr>
        <w:ind w:left="900" w:right="280" w:hanging="335"/>
        <w:spacing w:after="0" w:line="320"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SMC does not exercise the warrant by May 17, 2023, ACM Shanghai will be obligated, subject to approval of PRC governmental authorities and ACM Shanghai’s equity holders, to deliver an equity interest of 3.6394% (subject to dilution) in satisfaction of the SMC Investment.</w:t>
      </w:r>
    </w:p>
    <w:p>
      <w:pPr>
        <w:spacing w:after="0" w:line="43" w:lineRule="exact"/>
        <w:rPr>
          <w:rFonts w:ascii="Arial" w:cs="Arial" w:eastAsia="Arial" w:hAnsi="Arial"/>
          <w:sz w:val="16"/>
          <w:szCs w:val="16"/>
          <w:color w:val="auto"/>
        </w:rPr>
      </w:pPr>
    </w:p>
    <w:p>
      <w:pPr>
        <w:ind w:left="900" w:right="20" w:hanging="335"/>
        <w:spacing w:after="0" w:line="271"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SMC exercises the warrant or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w:t>
      </w:r>
    </w:p>
    <w:p>
      <w:pPr>
        <w:spacing w:after="0" w:line="172" w:lineRule="exact"/>
        <w:rPr>
          <w:sz w:val="20"/>
          <w:szCs w:val="20"/>
          <w:color w:val="auto"/>
        </w:rPr>
      </w:pPr>
    </w:p>
    <w:p>
      <w:pPr>
        <w:jc w:val="center"/>
        <w:ind w:left="280" w:right="420"/>
        <w:spacing w:after="0" w:line="463" w:lineRule="auto"/>
        <w:rPr>
          <w:sz w:val="20"/>
          <w:szCs w:val="20"/>
          <w:color w:val="auto"/>
        </w:rPr>
      </w:pPr>
      <w:r>
        <w:rPr>
          <w:rFonts w:ascii="Arial" w:cs="Arial" w:eastAsia="Arial" w:hAnsi="Arial"/>
          <w:sz w:val="17"/>
          <w:szCs w:val="17"/>
          <w:color w:val="auto"/>
        </w:rPr>
        <w:t>For more information, see “Related Party Transactions—Issuance of Warrant,” “Principal Stockholders,” and “Description of Capital Stock—Warrant.” 54</w:t>
      </w:r>
    </w:p>
    <w:p>
      <w:pPr>
        <w:sectPr>
          <w:pgSz w:w="11900" w:h="16838" w:orient="portrait"/>
          <w:cols w:equalWidth="0" w:num="1">
            <w:col w:w="11420"/>
          </w:cols>
          <w:pgMar w:left="240" w:top="448"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Acquisition of Outstanding Minority Interests in Our Operating Company</w:t>
      </w:r>
    </w:p>
    <w:p>
      <w:pPr>
        <w:spacing w:after="0" w:line="117"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Until August 31, 2017 ACM Research owned 62.87% of the outstanding equity interests in ACM Shanghai and three PRC-based third-party investors held the remaining 37.13% of equity interests, which are reflected as “non-controlling interests” in our consolidated balance sheets and related notes. We have taken the following actions in order to enable ACM Research to acquire, consistent with requirements of arrangements previously entered into in connection with the investors’ acquisition of ACM Shanghai equity interests, the outstanding non-controlling interests in ACM Shanghai:</w:t>
      </w:r>
    </w:p>
    <w:p>
      <w:pPr>
        <w:spacing w:after="0" w:line="68" w:lineRule="exact"/>
        <w:rPr>
          <w:sz w:val="20"/>
          <w:szCs w:val="20"/>
          <w:color w:val="auto"/>
        </w:rPr>
      </w:pPr>
    </w:p>
    <w:p>
      <w:pPr>
        <w:ind w:left="900" w:hanging="335"/>
        <w:spacing w:after="0" w:line="263"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March 2017 we entered into a securities purchase agreement with Shanghai Science and Technology Venture Capital Co., Ltd., or SSTVC, which held 18.77% of the ACM Shanghai equity interests. Pursuant to that agreement, effective as of August 31, 2017, we (a) acquired, for a purchase price of $5.8 million, SSTVC’s equity interests in ACM Shanghai and (b) issued to SSTVC, for a purchase price of $5.8 million, shares of Series E preferred stock that will convert, upon the closing of this offering, into 1,666,170 shares of Class A common stock, which SSTVC will have acquired at an effective purchase price of $3.48 per share.</w:t>
      </w:r>
    </w:p>
    <w:p>
      <w:pPr>
        <w:spacing w:after="0" w:line="89" w:lineRule="exact"/>
        <w:rPr>
          <w:rFonts w:ascii="Arial" w:cs="Arial" w:eastAsia="Arial" w:hAnsi="Arial"/>
          <w:sz w:val="17"/>
          <w:szCs w:val="17"/>
          <w:color w:val="auto"/>
        </w:rPr>
      </w:pPr>
    </w:p>
    <w:p>
      <w:pPr>
        <w:ind w:left="900" w:right="120" w:hanging="335"/>
        <w:spacing w:after="0" w:line="288"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August 2017 we entered into a securities purchase agreement with Shanghai Pudong High-Tech Investment Co., Ltd., or PDHTI, and its subsidiary Pudong Science and Technology (Cayman) Co., Ltd., or PST, pursuant to which we (a) submitted the winning bid, in an auction process mandated by PRC regulations, to purchase PDHTI’s 10.78% equity interests in ACM Shanghai and (b) issued to PST, on September 8, 2017, 1,119,576 shares of Class A common stock for a purchase price of $7.50 per share, representing an aggregate purchase price of $8.4 million.</w:t>
      </w:r>
    </w:p>
    <w:p>
      <w:pPr>
        <w:spacing w:after="0" w:line="68" w:lineRule="exact"/>
        <w:rPr>
          <w:rFonts w:ascii="Arial" w:cs="Arial" w:eastAsia="Arial" w:hAnsi="Arial"/>
          <w:sz w:val="16"/>
          <w:szCs w:val="16"/>
          <w:color w:val="auto"/>
        </w:rPr>
      </w:pPr>
    </w:p>
    <w:p>
      <w:pPr>
        <w:ind w:left="900" w:right="80" w:hanging="335"/>
        <w:spacing w:after="0" w:line="288"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August 2017 we entered into a securities purchase agreement with Shanghai Zhangjiang Science &amp; Technology Venture Capital Co., Ltd., or ZSTVC, and its subsidiary Zhangjiang AJ Company Limited, or ZJAJ, pursuant to which we (a) submitted the winning bid, in an auction process mandated by PRC regulations, to purchase ZSTVC’s 7.58% equity interests in ACM Shanghai and (b) issued to ZJAJ, on September 8, 2017, 787,098 shares of Class A common stock for a purchase price of $7.50 per share, or an aggregate purchase price of $5.9 million.</w:t>
      </w:r>
    </w:p>
    <w:p>
      <w:pPr>
        <w:spacing w:after="0" w:line="160"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As a result of the foregoing arrangements, ACM Research owned 81.64% of ACM Shanghai’s equity interests as of August 31, 2017 and will own 100% of those equity interests by no later than December 31, 2017.</w:t>
      </w:r>
    </w:p>
    <w:p>
      <w:pPr>
        <w:spacing w:after="0" w:line="158"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In accordance with the foregoing agreements, we (a) entered into a voting agreement with SSTVC pursuant to which SSTVC will have certain rights to designate one individual for nomination and election to our board of directors, as described in “Management—Board of Directors—Director Nomination Rights,” and (b) granted SSTVC, PST and ZJAJ certain registration rights with respect to the shares of Class A common stock, as described in “Description of Capital Stock —Registration Rights.”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Strategic Investment in Key Supplier</w:t>
      </w:r>
    </w:p>
    <w:p>
      <w:pPr>
        <w:spacing w:after="0" w:line="11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Ninebell Co., Ltd., or Ninebell, which is located in Seoul, Korea, is the principal supplier of robotic delivery system subassemblies used in our single-wafer cleaning equipment. On September 6, 2017 we and Ninebell entered into:</w:t>
      </w:r>
    </w:p>
    <w:p>
      <w:pPr>
        <w:spacing w:after="0" w:line="67" w:lineRule="exact"/>
        <w:rPr>
          <w:sz w:val="20"/>
          <w:szCs w:val="20"/>
          <w:color w:val="auto"/>
        </w:rPr>
      </w:pPr>
    </w:p>
    <w:p>
      <w:pPr>
        <w:ind w:left="900" w:right="120" w:hanging="335"/>
        <w:spacing w:after="0" w:line="287"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ordinary share purchase agreement, effective as of September 11, 2017, pursuant to which, contemporaneously with signing, Ninebell issued to us, for a purchase price of $1.2 million, ordinary shares representing 20% of Ninebell’s post-closing equity; and</w:t>
      </w:r>
    </w:p>
    <w:p>
      <w:pPr>
        <w:spacing w:after="0" w:line="66" w:lineRule="exact"/>
        <w:rPr>
          <w:rFonts w:ascii="Arial" w:cs="Arial" w:eastAsia="Arial" w:hAnsi="Arial"/>
          <w:sz w:val="17"/>
          <w:szCs w:val="17"/>
          <w:color w:val="auto"/>
        </w:rPr>
      </w:pPr>
    </w:p>
    <w:p>
      <w:pPr>
        <w:ind w:left="900" w:right="400" w:hanging="335"/>
        <w:spacing w:after="0" w:line="320"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we issued 133,334 shares of Class A common stock to Ninebell for a purchase price of $7.50 per share, or an aggregate purchase price of $1.0 million.</w:t>
      </w:r>
    </w:p>
    <w:p>
      <w:pPr>
        <w:spacing w:after="0" w:line="135"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color w:val="auto"/>
        </w:rPr>
        <w:t>In addition, under the ordinary share purchase agreement, Ninebell granted us a preemptive right for all future issuances of equity-related securities by Ninebell and the founder of Ninebell, who is the only other equity holder of Ninebell, granted us a right of first refusal with respect to any future sales of his equity securities.</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8"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We develop, manufacture and sell single-wafer wet cleaning equipment and custom-made wafer assembly and packaging equipment. Because we currently sell our capital equipment, or tools, to a small number of customers and we customize those tools to fulfill the customers’ specific requirements, our revenue generation fluctuates, depending on the length of the sales, development and evaluation phases:</w:t>
      </w:r>
    </w:p>
    <w:p>
      <w:pPr>
        <w:spacing w:after="0" w:line="68" w:lineRule="exact"/>
        <w:rPr>
          <w:sz w:val="20"/>
          <w:szCs w:val="20"/>
          <w:color w:val="auto"/>
        </w:rPr>
      </w:pPr>
    </w:p>
    <w:p>
      <w:pPr>
        <w:ind w:left="460" w:firstLine="438"/>
        <w:spacing w:after="0" w:line="303" w:lineRule="auto"/>
        <w:rPr>
          <w:sz w:val="20"/>
          <w:szCs w:val="20"/>
          <w:color w:val="auto"/>
        </w:rPr>
      </w:pPr>
      <w:r>
        <w:rPr>
          <w:rFonts w:ascii="Arial" w:cs="Arial" w:eastAsia="Arial" w:hAnsi="Arial"/>
          <w:sz w:val="15"/>
          <w:szCs w:val="15"/>
          <w:i w:val="1"/>
          <w:iCs w:val="1"/>
          <w:color w:val="auto"/>
        </w:rPr>
        <w:t>Sales and Development</w:t>
      </w:r>
      <w:r>
        <w:rPr>
          <w:rFonts w:ascii="Arial" w:cs="Arial" w:eastAsia="Arial" w:hAnsi="Arial"/>
          <w:sz w:val="15"/>
          <w:szCs w:val="15"/>
          <w:color w:val="auto"/>
        </w:rPr>
        <w:t>. During the sale process we may, depending on a prospective customer’s specifications and requirements, need to perform</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49" w:lineRule="exact"/>
        <w:rPr>
          <w:sz w:val="20"/>
          <w:szCs w:val="20"/>
          <w:color w:val="auto"/>
        </w:rPr>
      </w:pPr>
    </w:p>
    <w:p>
      <w:pPr>
        <w:ind w:left="460" w:right="20" w:firstLine="438"/>
        <w:spacing w:after="0" w:line="262" w:lineRule="auto"/>
        <w:rPr>
          <w:sz w:val="20"/>
          <w:szCs w:val="20"/>
          <w:color w:val="auto"/>
        </w:rPr>
      </w:pPr>
      <w:r>
        <w:rPr>
          <w:rFonts w:ascii="Arial" w:cs="Arial" w:eastAsia="Arial" w:hAnsi="Arial"/>
          <w:sz w:val="17"/>
          <w:szCs w:val="17"/>
          <w:i w:val="1"/>
          <w:iCs w:val="1"/>
          <w:color w:val="auto"/>
        </w:rPr>
        <w:t>Evaluation Periods</w:t>
      </w:r>
      <w:r>
        <w:rPr>
          <w:rFonts w:ascii="Arial" w:cs="Arial" w:eastAsia="Arial" w:hAnsi="Arial"/>
          <w:sz w:val="17"/>
          <w:szCs w:val="17"/>
          <w:color w:val="auto"/>
        </w:rPr>
        <w:t>. When a chip manufacturer proposes to purchase a particular type of tool from us for the first time, we offer the manufacturer an</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75" w:lineRule="exact"/>
        <w:rPr>
          <w:sz w:val="20"/>
          <w:szCs w:val="20"/>
          <w:color w:val="auto"/>
        </w:rPr>
      </w:pPr>
    </w:p>
    <w:p>
      <w:pPr>
        <w:ind w:left="460" w:right="120" w:firstLine="438"/>
        <w:spacing w:after="0" w:line="307" w:lineRule="auto"/>
        <w:rPr>
          <w:sz w:val="20"/>
          <w:szCs w:val="20"/>
          <w:color w:val="auto"/>
        </w:rPr>
      </w:pPr>
      <w:r>
        <w:rPr>
          <w:rFonts w:ascii="Arial" w:cs="Arial" w:eastAsia="Arial" w:hAnsi="Arial"/>
          <w:sz w:val="15"/>
          <w:szCs w:val="15"/>
          <w:i w:val="1"/>
          <w:iCs w:val="1"/>
          <w:color w:val="auto"/>
        </w:rPr>
        <w:t>Purchase Orders</w:t>
      </w:r>
      <w:r>
        <w:rPr>
          <w:rFonts w:ascii="Arial" w:cs="Arial" w:eastAsia="Arial" w:hAnsi="Arial"/>
          <w:sz w:val="15"/>
          <w:szCs w:val="15"/>
          <w:color w:val="auto"/>
        </w:rPr>
        <w:t>. In accordance with industry practice, sales of our tools are made pursuant to purchase orders. Each purchase order from a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for one of our tools 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44" w:lineRule="exact"/>
        <w:rPr>
          <w:sz w:val="20"/>
          <w:szCs w:val="20"/>
          <w:color w:val="auto"/>
        </w:rPr>
      </w:pPr>
    </w:p>
    <w:p>
      <w:pPr>
        <w:ind w:left="460" w:right="100" w:firstLine="438"/>
        <w:spacing w:after="0" w:line="266" w:lineRule="auto"/>
        <w:rPr>
          <w:sz w:val="20"/>
          <w:szCs w:val="20"/>
          <w:color w:val="auto"/>
        </w:rPr>
      </w:pPr>
      <w:r>
        <w:rPr>
          <w:rFonts w:ascii="Arial" w:cs="Arial" w:eastAsia="Arial" w:hAnsi="Arial"/>
          <w:sz w:val="17"/>
          <w:szCs w:val="17"/>
          <w:i w:val="1"/>
          <w:iCs w:val="1"/>
          <w:color w:val="auto"/>
        </w:rPr>
        <w:t>Fulfillment</w:t>
      </w:r>
      <w:r>
        <w:rPr>
          <w:rFonts w:ascii="Arial" w:cs="Arial" w:eastAsia="Arial" w:hAnsi="Arial"/>
          <w:sz w:val="17"/>
          <w:szCs w:val="17"/>
          <w:color w:val="auto"/>
        </w:rPr>
        <w:t>. We seek to obtain a purchase order for a tool from three to four months in advance of the expected delivery date. Depending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of a 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176"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We expect our sales prices generally to range between $2.5 million and $5.0 million for SAPs tools and between $3.5 million and $6.5 million for TEBO tools. The sales price of a particular tool will vary depending upon the required specifications. We have designed equipment models using a modular configuration that we customize to meet customers’ technical specifications. For example, our Ultra C models for SAPS and TEBO solutions use modular configurations that enable us to create a wet-cleaning tool meeting a customer’s specific requirements, while using pre-existing designs for chamber, electrical, chemical delivery and other modules.</w:t>
      </w:r>
    </w:p>
    <w:p>
      <w:pPr>
        <w:spacing w:after="0" w:line="180"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of a purchase order. Based on our limited experience with repeat sales of SAPS and TEBO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448" w:right="2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firstLine="457"/>
        <w:spacing w:after="0" w:line="296" w:lineRule="auto"/>
        <w:rPr>
          <w:sz w:val="20"/>
          <w:szCs w:val="20"/>
          <w:color w:val="auto"/>
        </w:rPr>
      </w:pPr>
      <w:r>
        <w:rPr>
          <w:rFonts w:ascii="Arial" w:cs="Arial" w:eastAsia="Arial" w:hAnsi="Arial"/>
          <w:sz w:val="16"/>
          <w:szCs w:val="16"/>
          <w:color w:val="auto"/>
        </w:rPr>
        <w:t>Since introducing SAPS technology in 2009, we have focused on selling SAPS-based tools and, beginning in 2016, TEBO-based tools. Our revenue from sales of single-wafer wet cleaning equipment totaled $10.6 million, or 73.6% of our revenue, in the first half of 2017 (compared with $5.6 million, or 69.1% of revenue, in the first half of 2016), $21.5 million, or 78.4% of our revenue, in 2016 and $26.8 million, or 86.0% of our revenue, in 2015.</w:t>
      </w:r>
    </w:p>
    <w:p>
      <w:pPr>
        <w:spacing w:after="0" w:line="154"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In the first half of 2017, 62.8% of our revenue was derived from three customers: SK Hynix Inc., a leading Korean memory chip company that accounted for 22.8% of our revenue; Shanghai Huali Microelectronics Corporation, a leading PRC foundry that accounted for 20.6% of our revenue; and Yangtze Memory Technologies Co., Ltd., a leading PRC memory chip company that, together with one of its subsidiaries, accounted 19.4% of our revenue. In 2016 99.3% of our revenue was derived from four customers: Shanghai Huali Microelectronics Corporation, which accounted for 33.7% of our revenue; Semiconductor Manufacturing International Corporation, a leading PRC foundry that accounted for 25.0% of our revenue; SK Hynix Inc., which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58"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58"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All of our sales in 2015, 2016 and the first half of 2017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72"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We recognize revenue in accordance with the Securities and Exchange Commission’s Staff Accounting Bulletin No. 104, as described below under “— Critical Accounting Policies and Significant Judgments and Estimates—Revenue Recognition.”</w:t>
      </w:r>
    </w:p>
    <w:p>
      <w:pPr>
        <w:spacing w:after="0" w:line="158"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We offer extended maintenance service contracts to provide services such as trouble-shooting or fine-tuning tools, and installing spare parts, following expiration of applicable initial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2015, 2016 and the first half of 2017, we received payments for parts and labor for service activities provided from time to time, but as of June 30, 2017 we had 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8"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The loss or delay of one or more large sale transactions in a quarter could impact our results of operations for that quarter and any future quarters for which revenue from that transaction is lost or delayed, as described under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“Risk Factors—Risks Related to Our Business and Our Industry—Difficulties in forecasting demand for our tools may lead to periodic inventory shortages or excess spending on inventory items that may not be used.”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for capital equipment consists primarily of:</w:t>
      </w:r>
    </w:p>
    <w:p>
      <w:pPr>
        <w:spacing w:after="0" w:line="130" w:lineRule="exact"/>
        <w:rPr>
          <w:sz w:val="20"/>
          <w:szCs w:val="20"/>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direct costs, which consist principally of costs of tool components and subassemblies purchased from third-party vendors;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compensation of personnel associated with our manufacturing operations, including stock-based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depreciation of manufacturing equipment;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amortization of costs of software used for manufacturing purposes;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other expenses attributable to our manufacturing department;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100" w:firstLine="457"/>
        <w:spacing w:after="0" w:line="320" w:lineRule="auto"/>
        <w:rPr>
          <w:sz w:val="20"/>
          <w:szCs w:val="20"/>
          <w:color w:val="auto"/>
        </w:rPr>
      </w:pPr>
      <w:r>
        <w:rPr>
          <w:rFonts w:ascii="Arial" w:cs="Arial" w:eastAsia="Arial" w:hAnsi="Arial"/>
          <w:sz w:val="16"/>
          <w:szCs w:val="16"/>
          <w:color w:val="auto"/>
        </w:rPr>
        <w:t>We are not party to any long-term purchasing agreements with suppliers. Please see “Risk Factors—Risks Related to Our Business and Our Industry—Our customers do not enter into long-term purchase commitments, and they may decrease, cancel or delay their projected purchases at any time.”</w:t>
      </w:r>
    </w:p>
    <w:p>
      <w:pPr>
        <w:spacing w:after="0" w:line="135"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Gross Margin</w:t>
      </w:r>
    </w:p>
    <w:p>
      <w:pPr>
        <w:spacing w:after="0" w:line="117" w:lineRule="exact"/>
        <w:rPr>
          <w:sz w:val="20"/>
          <w:szCs w:val="20"/>
          <w:color w:val="auto"/>
        </w:rPr>
      </w:pPr>
    </w:p>
    <w:p>
      <w:pPr>
        <w:jc w:val="both"/>
        <w:ind w:right="20" w:firstLine="457"/>
        <w:spacing w:after="0" w:line="323" w:lineRule="auto"/>
        <w:rPr>
          <w:sz w:val="20"/>
          <w:szCs w:val="20"/>
          <w:color w:val="auto"/>
        </w:rPr>
      </w:pPr>
      <w:r>
        <w:rPr>
          <w:rFonts w:ascii="Arial" w:cs="Arial" w:eastAsia="Arial" w:hAnsi="Arial"/>
          <w:sz w:val="15"/>
          <w:szCs w:val="15"/>
          <w:color w:val="auto"/>
        </w:rPr>
        <w:t>Our gross margin was 40.6% in the first half of 2017 (compared with 34.8% in the first half of 2016), 48.7% in 2016 and 45.3% in 2015. Gross margin may vary from period to period, primarily related to the level of utilization and the timing and mix of purchase orders. We expect gross margin to be between 40% and 45% for the foreseeable future, with direct manufacturing costs approximating 50% to 55% of revenue and overhead costs totaling approximately 5% of revenue.</w:t>
      </w:r>
    </w:p>
    <w:p>
      <w:pPr>
        <w:spacing w:after="0" w:line="138"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320"/>
          </w:cols>
          <w:pgMar w:left="240" w:top="448"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320" w:lineRule="auto"/>
        <w:rPr>
          <w:sz w:val="20"/>
          <w:szCs w:val="20"/>
          <w:color w:val="auto"/>
        </w:rPr>
      </w:pPr>
      <w:r>
        <w:rPr>
          <w:rFonts w:ascii="Arial" w:cs="Arial" w:eastAsia="Arial" w:hAnsi="Arial"/>
          <w:sz w:val="16"/>
          <w:szCs w:val="16"/>
          <w:color w:val="auto"/>
        </w:rPr>
        <w:t>A significant portion of our raw materials are denominated in Renminbi, or RMB, while the majority of our purchase orders are denominated in U.S. dollars. As a result, currency exchange rates may have a significant effect on our gross margin. For further information, please see “Exchange Rate Information.”</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Sales and Marketing</w:t>
      </w:r>
    </w:p>
    <w:p>
      <w:pPr>
        <w:spacing w:after="0" w:line="117"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Sales and marketing expense accounted for 17.9% of our revenue in the first half of 2017 (compared with 22.4% of revenue in the first half of 2016), 14.3% of our revenue in 2016 and 13.5% of our revenue in 2015. Sales and marketing expense consists primarily of:</w:t>
      </w:r>
    </w:p>
    <w:p>
      <w:pPr>
        <w:spacing w:after="0" w:line="67" w:lineRule="exact"/>
        <w:rPr>
          <w:sz w:val="20"/>
          <w:szCs w:val="20"/>
          <w:color w:val="auto"/>
        </w:rPr>
      </w:pPr>
    </w:p>
    <w:p>
      <w:pPr>
        <w:ind w:left="900" w:hanging="439"/>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compensation of personnel associated with pre- and after-sales support and other sales and marketing activities, including stock-based compensation;</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warranty costs;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200" w:firstLine="457"/>
        <w:spacing w:after="0" w:line="357" w:lineRule="auto"/>
        <w:rPr>
          <w:sz w:val="20"/>
          <w:szCs w:val="20"/>
          <w:color w:val="auto"/>
        </w:rPr>
      </w:pPr>
      <w:r>
        <w:rPr>
          <w:rFonts w:ascii="Arial" w:cs="Arial" w:eastAsia="Arial" w:hAnsi="Arial"/>
          <w:sz w:val="15"/>
          <w:szCs w:val="15"/>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13"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172" w:lineRule="exact"/>
        <w:rPr>
          <w:sz w:val="20"/>
          <w:szCs w:val="20"/>
          <w:color w:val="auto"/>
        </w:rPr>
      </w:pPr>
    </w:p>
    <w:p>
      <w:pPr>
        <w:jc w:val="both"/>
        <w:ind w:right="120" w:firstLine="457"/>
        <w:spacing w:after="0" w:line="288"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80"/>
          </w:cols>
          <w:pgMar w:left="240" w:top="448" w:right="2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Research and Development</w:t>
      </w:r>
    </w:p>
    <w:p>
      <w:pPr>
        <w:spacing w:after="0" w:line="117" w:lineRule="exact"/>
        <w:rPr>
          <w:sz w:val="20"/>
          <w:szCs w:val="20"/>
          <w:color w:val="auto"/>
        </w:rPr>
      </w:pPr>
    </w:p>
    <w:p>
      <w:pPr>
        <w:jc w:val="both"/>
        <w:ind w:right="60" w:firstLine="457"/>
        <w:spacing w:after="0" w:line="296" w:lineRule="auto"/>
        <w:rPr>
          <w:sz w:val="20"/>
          <w:szCs w:val="20"/>
          <w:color w:val="auto"/>
        </w:rPr>
      </w:pPr>
      <w:r>
        <w:rPr>
          <w:rFonts w:ascii="Arial" w:cs="Arial" w:eastAsia="Arial" w:hAnsi="Arial"/>
          <w:sz w:val="16"/>
          <w:szCs w:val="16"/>
          <w:color w:val="auto"/>
        </w:rPr>
        <w:t>Research and development expense accounted for 13.0% of our revenue in the first half of 2017 (compared with 18.3% of revenue in the first half of 2016), 11.9% of our revenue in 2016 and 9.4% of our revenue in 2015. Research and development expense relates to the development of new products and processes and encompasses our research, development and customer support activities. Research and development expense consists primarily of:</w:t>
      </w:r>
    </w:p>
    <w:p>
      <w:pPr>
        <w:spacing w:after="0" w:line="62" w:lineRule="exact"/>
        <w:rPr>
          <w:sz w:val="20"/>
          <w:szCs w:val="20"/>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stock-based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820" w:firstLine="457"/>
        <w:spacing w:after="0" w:line="287" w:lineRule="auto"/>
        <w:rPr>
          <w:sz w:val="20"/>
          <w:szCs w:val="20"/>
          <w:color w:val="auto"/>
        </w:rPr>
      </w:pPr>
      <w:r>
        <w:rPr>
          <w:rFonts w:ascii="Arial" w:cs="Arial" w:eastAsia="Arial" w:hAnsi="Arial"/>
          <w:sz w:val="17"/>
          <w:szCs w:val="17"/>
          <w:color w:val="auto"/>
        </w:rPr>
        <w:t>Some of our research and development has been funded by grants from the PRC government, as described in “—PRC Government Research and Development Funding” below.</w:t>
      </w:r>
    </w:p>
    <w:p>
      <w:pPr>
        <w:spacing w:after="0" w:line="158" w:lineRule="exact"/>
        <w:rPr>
          <w:sz w:val="20"/>
          <w:szCs w:val="20"/>
          <w:color w:val="auto"/>
        </w:rPr>
      </w:pPr>
    </w:p>
    <w:p>
      <w:pPr>
        <w:ind w:firstLine="457"/>
        <w:spacing w:after="0" w:line="323" w:lineRule="auto"/>
        <w:rPr>
          <w:sz w:val="20"/>
          <w:szCs w:val="20"/>
          <w:color w:val="auto"/>
        </w:rPr>
      </w:pPr>
      <w:r>
        <w:rPr>
          <w:rFonts w:ascii="Arial" w:cs="Arial" w:eastAsia="Arial" w:hAnsi="Arial"/>
          <w:sz w:val="15"/>
          <w:szCs w:val="15"/>
          <w:color w:val="auto"/>
        </w:rPr>
        <w:t>We expect that, for the foreseeable future, research and development expense will increase in absolute dollars and will range between 10% and 12%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24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General and Administrative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General and administrative expense accounted for 21.9% of our revenue in the first half of 2017 (compared with 13.4% of revenue in the first half of 2016),</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9.8% of our revenue in 2016 and 6.7% of our revenue in 2015. General and administrative expense consists primarily of:</w:t>
      </w:r>
    </w:p>
    <w:p>
      <w:pPr>
        <w:spacing w:after="0" w:line="118" w:lineRule="exact"/>
        <w:rPr>
          <w:sz w:val="20"/>
          <w:szCs w:val="20"/>
          <w:color w:val="auto"/>
        </w:rPr>
      </w:pPr>
    </w:p>
    <w:p>
      <w:pPr>
        <w:ind w:left="900" w:right="220" w:hanging="439"/>
        <w:spacing w:after="0" w:line="287"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professional fees, including accounting and legal fees;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other corporate expenses;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We expect that, for the foreseeable future, general and administrative expense will increase in absolute dollars, as we incur additional costs associated with growing our business and operating as a public company.</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7" w:lineRule="exact"/>
        <w:rPr>
          <w:sz w:val="20"/>
          <w:szCs w:val="20"/>
          <w:color w:val="auto"/>
        </w:rPr>
      </w:pPr>
    </w:p>
    <w:p>
      <w:pPr>
        <w:ind w:right="600" w:firstLine="457"/>
        <w:spacing w:after="0" w:line="271" w:lineRule="auto"/>
        <w:rPr>
          <w:sz w:val="20"/>
          <w:szCs w:val="20"/>
          <w:color w:val="auto"/>
        </w:rPr>
      </w:pPr>
      <w:r>
        <w:rPr>
          <w:rFonts w:ascii="Arial" w:cs="Arial" w:eastAsia="Arial" w:hAnsi="Arial"/>
          <w:sz w:val="17"/>
          <w:szCs w:val="17"/>
          <w:color w:val="auto"/>
        </w:rPr>
        <w:t xml:space="preserve">We grant stock options to employees and non-employee consultants and directors, and we accounts for those stock-based awards in accordance with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and ASC Subtopic 505-50, </w:t>
      </w:r>
      <w:r>
        <w:rPr>
          <w:rFonts w:ascii="Arial" w:cs="Arial" w:eastAsia="Arial" w:hAnsi="Arial"/>
          <w:sz w:val="17"/>
          <w:szCs w:val="17"/>
          <w:i w:val="1"/>
          <w:iCs w:val="1"/>
          <w:color w:val="auto"/>
        </w:rPr>
        <w:t>Equity-Based Payments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Non-Employees</w:t>
      </w:r>
      <w:r>
        <w:rPr>
          <w:rFonts w:ascii="Arial" w:cs="Arial" w:eastAsia="Arial" w:hAnsi="Arial"/>
          <w:sz w:val="17"/>
          <w:szCs w:val="17"/>
          <w:color w:val="auto"/>
        </w:rPr>
        <w:t>, each as adopted by the Financial Accounting Standards Board, or FASB.</w:t>
      </w:r>
    </w:p>
    <w:p>
      <w:pPr>
        <w:spacing w:after="0" w:line="81" w:lineRule="exact"/>
        <w:rPr>
          <w:sz w:val="20"/>
          <w:szCs w:val="20"/>
          <w:color w:val="auto"/>
        </w:rPr>
      </w:pPr>
    </w:p>
    <w:p>
      <w:pPr>
        <w:ind w:left="900" w:hanging="439"/>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36" w:lineRule="exact"/>
        <w:rPr>
          <w:rFonts w:ascii="Arial" w:cs="Arial" w:eastAsia="Arial" w:hAnsi="Arial"/>
          <w:sz w:val="16"/>
          <w:szCs w:val="16"/>
          <w:color w:val="auto"/>
        </w:rPr>
      </w:pPr>
    </w:p>
    <w:p>
      <w:pPr>
        <w:ind w:left="900" w:right="100"/>
        <w:spacing w:after="0" w:line="315" w:lineRule="auto"/>
        <w:rPr>
          <w:rFonts w:ascii="Arial" w:cs="Arial" w:eastAsia="Arial" w:hAnsi="Arial"/>
          <w:sz w:val="16"/>
          <w:szCs w:val="16"/>
          <w:color w:val="auto"/>
        </w:rPr>
      </w:pPr>
      <w:r>
        <w:rPr>
          <w:rFonts w:ascii="Arial" w:cs="Arial" w:eastAsia="Arial" w:hAnsi="Arial"/>
          <w:sz w:val="15"/>
          <w:szCs w:val="15"/>
          <w:color w:val="auto"/>
        </w:rPr>
        <w:t>(a)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employee’s service function.</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60"/>
          </w:cols>
          <w:pgMar w:left="240" w:top="448" w:right="2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900" w:right="60" w:hanging="439"/>
        <w:spacing w:after="0" w:line="266"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and operating expenses during the periods presented below have included stock-based compensation as follows: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36"/>
              <w:spacing w:after="0"/>
              <w:rPr>
                <w:sz w:val="20"/>
                <w:szCs w:val="20"/>
                <w:color w:val="auto"/>
              </w:rPr>
            </w:pPr>
            <w:r>
              <w:rPr>
                <w:rFonts w:ascii="Arial" w:cs="Arial" w:eastAsia="Arial" w:hAnsi="Arial"/>
                <w:sz w:val="14"/>
                <w:szCs w:val="14"/>
                <w:b w:val="1"/>
                <w:bCs w:val="1"/>
                <w:color w:val="auto"/>
                <w:w w:val="90"/>
              </w:rPr>
              <w:t>Six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r>
      <w:tr>
        <w:trPr>
          <w:trHeight w:val="166"/>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r>
      <w:tr>
        <w:trPr>
          <w:trHeight w:val="136"/>
        </w:trPr>
        <w:tc>
          <w:tcPr>
            <w:tcW w:w="64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w w:val="89"/>
              </w:rPr>
              <w:t>2016</w:t>
            </w:r>
          </w:p>
        </w:tc>
        <w:tc>
          <w:tcPr>
            <w:tcW w:w="84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136"/>
        </w:trPr>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right"/>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Stock-Based Compensation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6400" w:type="dxa"/>
            <w:vAlign w:val="bottom"/>
          </w:tcPr>
          <w:p>
            <w:pPr>
              <w:ind w:left="360"/>
              <w:spacing w:after="0"/>
              <w:rPr>
                <w:sz w:val="20"/>
                <w:szCs w:val="20"/>
                <w:color w:val="auto"/>
              </w:rPr>
            </w:pPr>
            <w:r>
              <w:rPr>
                <w:rFonts w:ascii="Arial" w:cs="Arial" w:eastAsia="Arial" w:hAnsi="Arial"/>
                <w:sz w:val="17"/>
                <w:szCs w:val="17"/>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4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6</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11</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r>
      <w:tr>
        <w:trPr>
          <w:trHeight w:val="209"/>
        </w:trPr>
        <w:tc>
          <w:tcPr>
            <w:tcW w:w="6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r>
      <w:tr>
        <w:trPr>
          <w:trHeight w:val="209"/>
        </w:trPr>
        <w:tc>
          <w:tcPr>
            <w:tcW w:w="6400" w:type="dxa"/>
            <w:vAlign w:val="bottom"/>
          </w:tcPr>
          <w:p>
            <w:pPr>
              <w:ind w:left="360"/>
              <w:spacing w:after="0"/>
              <w:rPr>
                <w:sz w:val="20"/>
                <w:szCs w:val="20"/>
                <w:color w:val="auto"/>
              </w:rPr>
            </w:pPr>
            <w:r>
              <w:rPr>
                <w:rFonts w:ascii="Arial" w:cs="Arial" w:eastAsia="Arial" w:hAnsi="Arial"/>
                <w:sz w:val="17"/>
                <w:szCs w:val="17"/>
                <w:color w:val="auto"/>
              </w:rPr>
              <w:t>Research and development expense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r>
      <w:tr>
        <w:trPr>
          <w:trHeight w:val="209"/>
        </w:trPr>
        <w:tc>
          <w:tcPr>
            <w:tcW w:w="6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 expense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1,294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183</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362</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406</w:t>
            </w:r>
          </w:p>
        </w:tc>
        <w:tc>
          <w:tcPr>
            <w:tcW w:w="60" w:type="dxa"/>
            <w:vAlign w:val="bottom"/>
            <w:shd w:val="clear" w:color="auto" w:fill="CCEEFF"/>
          </w:tcPr>
          <w:p>
            <w:pPr>
              <w:spacing w:after="0"/>
              <w:rPr>
                <w:sz w:val="18"/>
                <w:szCs w:val="18"/>
                <w:color w:val="auto"/>
              </w:rPr>
            </w:pPr>
          </w:p>
        </w:tc>
      </w:tr>
      <w:tr>
        <w:trPr>
          <w:trHeight w:val="215"/>
        </w:trPr>
        <w:tc>
          <w:tcPr>
            <w:tcW w:w="6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1,348</w:t>
            </w:r>
          </w:p>
        </w:tc>
        <w:tc>
          <w:tcPr>
            <w:tcW w:w="4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193</w:t>
            </w:r>
          </w:p>
        </w:tc>
        <w:tc>
          <w:tcPr>
            <w:tcW w:w="5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383</w:t>
            </w:r>
          </w:p>
        </w:tc>
        <w:tc>
          <w:tcPr>
            <w:tcW w:w="5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1"/>
              </w:rPr>
              <w:t>423</w:t>
            </w:r>
          </w:p>
        </w:tc>
        <w:tc>
          <w:tcPr>
            <w:tcW w:w="6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recognized stock-based compensation expense to employees of $128,000 in the first half of 2017 (compared to $46,000 in the first half of 2016), $92,000 in 2016 and $73,000 in 2015. As of June 30, 2017 and December 31, 2016 and 2015, there was $788,000, $726,000 and $299,000 of total unrecognized employee share-based compensation expense, net of estimated forfeitures, related to unvested share-based awards, which are expected to be recognized over a weighted-average period of 2.12 years, 2.25 years and 1.24 years, respectively.</w:t>
      </w:r>
    </w:p>
    <w:p>
      <w:pPr>
        <w:spacing w:after="0" w:line="176" w:lineRule="exact"/>
        <w:rPr>
          <w:sz w:val="20"/>
          <w:szCs w:val="20"/>
          <w:color w:val="auto"/>
        </w:rPr>
      </w:pPr>
    </w:p>
    <w:p>
      <w:pPr>
        <w:ind w:firstLine="457"/>
        <w:spacing w:after="0" w:line="357" w:lineRule="auto"/>
        <w:rPr>
          <w:sz w:val="20"/>
          <w:szCs w:val="20"/>
          <w:color w:val="auto"/>
        </w:rPr>
      </w:pPr>
      <w:r>
        <w:rPr>
          <w:rFonts w:ascii="Arial" w:cs="Arial" w:eastAsia="Arial" w:hAnsi="Arial"/>
          <w:sz w:val="15"/>
          <w:szCs w:val="15"/>
          <w:color w:val="auto"/>
        </w:rPr>
        <w:t>We recognized stock-based compensation expense to non-employees of $1.2 million in the first half of 2017 (compared to $148,000 in the first half of 2016), $291,000 in 2016 and $350,000 in 2015. The fair value of each option granted to a non-employee is re-measured at each period end until the vesting date.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PRC Government Research and Development Funding</w:t>
      </w:r>
    </w:p>
    <w:p>
      <w:pPr>
        <w:spacing w:after="0" w:line="11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ACM Shanghai has received three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most recent grant was made in 2014 and relates to the development of electro copper-plating technology. PRC governmental authorities provide the majority of the funding, although ACM Shanghai is also required to invest certain amounts in the projects.</w:t>
      </w:r>
    </w:p>
    <w:p>
      <w:pPr>
        <w:spacing w:after="0" w:line="16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81" w:lineRule="exact"/>
        <w:rPr>
          <w:sz w:val="20"/>
          <w:szCs w:val="20"/>
          <w:color w:val="auto"/>
        </w:rPr>
      </w:pPr>
    </w:p>
    <w:p>
      <w:pPr>
        <w:ind w:left="900" w:right="280" w:hanging="439"/>
        <w:spacing w:after="0" w:line="271"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reflected as reductions of those expenses in the periods in which they are reported. Those reductions totaled $2.1 million in the first half of 2017 (compared to $2.0 million in the first half of 2016), $6.2 million in 2016 and $3.8 million in 2015.</w:t>
      </w:r>
    </w:p>
    <w:p>
      <w:pPr>
        <w:spacing w:after="0" w:line="80" w:lineRule="exact"/>
        <w:rPr>
          <w:rFonts w:ascii="Arial" w:cs="Arial" w:eastAsia="Arial" w:hAnsi="Arial"/>
          <w:sz w:val="17"/>
          <w:szCs w:val="17"/>
          <w:color w:val="auto"/>
        </w:rPr>
      </w:pPr>
    </w:p>
    <w:p>
      <w:pPr>
        <w:ind w:left="900" w:right="100" w:hanging="439"/>
        <w:spacing w:after="0" w:line="320"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Government subsidies for interest on short-term borrowings are reported as reductions of interest expense in the periods the interest is accrued. Those reductions totaled $0 in the first half of 2017 (compared to $101,000 in the first half of 2016), $99,000 in 2016 and $303,000 in 2015.</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448"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60" w:hanging="439"/>
        <w:spacing w:after="0" w:line="26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$65,000 in the first half of 2017 (compared to $63,000 in the first half of 2016), $127,000 in 2016 and $105,000 in 2015.</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Income Attributable to Non-Controlling Interests</w:t>
      </w:r>
    </w:p>
    <w:p>
      <w:pPr>
        <w:spacing w:after="0" w:line="117" w:lineRule="exact"/>
        <w:rPr>
          <w:sz w:val="20"/>
          <w:szCs w:val="20"/>
          <w:color w:val="auto"/>
        </w:rPr>
      </w:pPr>
    </w:p>
    <w:p>
      <w:pPr>
        <w:jc w:val="both"/>
        <w:ind w:right="240" w:firstLine="457"/>
        <w:spacing w:after="0" w:line="294" w:lineRule="auto"/>
        <w:rPr>
          <w:sz w:val="20"/>
          <w:szCs w:val="20"/>
          <w:color w:val="auto"/>
        </w:rPr>
      </w:pPr>
      <w:r>
        <w:rPr>
          <w:rFonts w:ascii="Arial" w:cs="Arial" w:eastAsia="Arial" w:hAnsi="Arial"/>
          <w:sz w:val="15"/>
          <w:szCs w:val="15"/>
          <w:color w:val="auto"/>
        </w:rPr>
        <w:t>Since 2006 we have conducted our business through our subsidiary ACM Shanghai, and we have financed our operations in part through sale of minority equity interests in ACM Shanghai. From January 1, 2015 to August 31, 2017, ACM Research owned 62.87% of the equity interests of ACM Shanghai and three non-controlling, unrelated investors held the remaining 37.13%. As described above under “—Our Company—Acquisition of Outstanding Minority Interests in Our Operating Company,” ACM Research (a) acquired an additional 18.77% equity interest from one of the minority investors as of August 31, 2017 and</w:t>
      </w:r>
    </w:p>
    <w:p>
      <w:pPr>
        <w:spacing w:after="0" w:line="1" w:lineRule="exact"/>
        <w:rPr>
          <w:sz w:val="20"/>
          <w:szCs w:val="20"/>
          <w:color w:val="auto"/>
        </w:rPr>
      </w:pPr>
    </w:p>
    <w:p>
      <w:pPr>
        <w:ind w:right="200" w:firstLine="4"/>
        <w:spacing w:after="0" w:line="272" w:lineRule="auto"/>
        <w:tabs>
          <w:tab w:leader="none" w:pos="246" w:val="left"/>
        </w:tabs>
        <w:numPr>
          <w:ilvl w:val="0"/>
          <w:numId w:val="63"/>
        </w:numPr>
        <w:rPr>
          <w:rFonts w:ascii="Arial" w:cs="Arial" w:eastAsia="Arial" w:hAnsi="Arial"/>
          <w:sz w:val="17"/>
          <w:szCs w:val="17"/>
          <w:color w:val="auto"/>
        </w:rPr>
      </w:pPr>
      <w:r>
        <w:rPr>
          <w:rFonts w:ascii="Arial" w:cs="Arial" w:eastAsia="Arial" w:hAnsi="Arial"/>
          <w:sz w:val="17"/>
          <w:szCs w:val="17"/>
          <w:color w:val="auto"/>
        </w:rPr>
        <w:t>entered into agreements with the other two minority investors pursuant to which it will acquire the remaining non-controlling interests in the fourth quarter of 2017.</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Evaluate Our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present information below with respect to three measures of financial performance:</w:t>
      </w:r>
    </w:p>
    <w:p>
      <w:pPr>
        <w:spacing w:after="0" w:line="130" w:lineRule="exact"/>
        <w:rPr>
          <w:sz w:val="20"/>
          <w:szCs w:val="20"/>
          <w:color w:val="auto"/>
        </w:rPr>
      </w:pPr>
    </w:p>
    <w:p>
      <w:pPr>
        <w:ind w:left="900" w:right="200" w:hanging="439"/>
        <w:spacing w:after="0" w:line="357"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21" w:lineRule="exact"/>
        <w:rPr>
          <w:rFonts w:ascii="Arial" w:cs="Arial" w:eastAsia="Arial" w:hAnsi="Arial"/>
          <w:sz w:val="15"/>
          <w:szCs w:val="15"/>
          <w:color w:val="auto"/>
        </w:rPr>
      </w:pPr>
    </w:p>
    <w:p>
      <w:pPr>
        <w:ind w:left="900" w:right="60" w:hanging="439"/>
        <w:spacing w:after="0" w:line="287"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define “adjusted operating income (loss)” as our income (loss) from operations excluding stock-based compensation.</w:t>
      </w:r>
    </w:p>
    <w:p>
      <w:pPr>
        <w:spacing w:after="0" w:line="222"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5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have presented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7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Adjusted EBITDA, free cash flow and adjusted operating income (loss) are not prepared in accordance with GAAP, and should not be considered in isolation of, or as an alternative to, measures prepared in accordance with GAAP. There are a number of limitations related to the use of adjusted EBITDA rather than net income (loss), which is the nearest GAAP equivalent. Some of these limitations are:</w:t>
      </w:r>
    </w:p>
    <w:p>
      <w:pPr>
        <w:spacing w:after="0" w:line="81" w:lineRule="exact"/>
        <w:rPr>
          <w:sz w:val="20"/>
          <w:szCs w:val="20"/>
          <w:color w:val="auto"/>
        </w:rPr>
      </w:pPr>
    </w:p>
    <w:p>
      <w:pPr>
        <w:ind w:left="900" w:right="200" w:hanging="439"/>
        <w:spacing w:after="0" w:line="287"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448"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80" w:hanging="439"/>
        <w:spacing w:after="0" w:line="26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85" w:lineRule="exact"/>
        <w:rPr>
          <w:rFonts w:ascii="Arial" w:cs="Arial" w:eastAsia="Arial" w:hAnsi="Arial"/>
          <w:sz w:val="17"/>
          <w:szCs w:val="17"/>
          <w:color w:val="auto"/>
        </w:rPr>
      </w:pPr>
    </w:p>
    <w:p>
      <w:pPr>
        <w:ind w:left="900" w:right="220" w:hanging="439"/>
        <w:spacing w:after="0" w:line="287"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working capital needs;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adjusted EBITDA does not reflect interest expense, or the requirements necessary to service interest or principal payments on debt;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adjusted EBITDA does not reflect income tax expense (benefit) or the cash requirements to pay taxes;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66"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income (loss), the most directly comparable GAAP financial measure, to adjusted EBITDA: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9"/>
              <w:spacing w:after="0" w:line="137" w:lineRule="exact"/>
              <w:rPr>
                <w:sz w:val="20"/>
                <w:szCs w:val="20"/>
                <w:color w:val="auto"/>
              </w:rPr>
            </w:pPr>
            <w:r>
              <w:rPr>
                <w:rFonts w:ascii="Arial" w:cs="Arial" w:eastAsia="Arial" w:hAnsi="Arial"/>
                <w:sz w:val="14"/>
                <w:szCs w:val="14"/>
                <w:b w:val="1"/>
                <w:bCs w:val="1"/>
                <w:color w:val="auto"/>
                <w:w w:val="96"/>
              </w:rPr>
              <w:t>2017</w:t>
            </w:r>
          </w:p>
        </w:tc>
        <w:tc>
          <w:tcPr>
            <w:tcW w:w="4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9"/>
              <w:spacing w:after="0" w:line="137"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6"/>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tcPr>
          <w:p>
            <w:pPr>
              <w:jc w:val="right"/>
              <w:ind w:right="76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Net income (loss)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w w:val="92"/>
              </w:rPr>
              <w:t>(2,955)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w w:val="92"/>
              </w:rPr>
              <w:t>(1,029)</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w w:val="88"/>
              </w:rPr>
              <w:t>$2,387</w:t>
            </w: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$ 7,915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45</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(73)</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595</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187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1,348</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193</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383</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(581)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(776)</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3,717</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$ 6,078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Adjusted EBITDA in the six months ended June 30, 2017, as compared with the comparable period in 2016, reflected an increase of $3.2 million in net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substantially offset by an increase of $3.0 million in gross profit. Adjusted EBITDA in 2016, as compared with 2016, reflected a decrease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$792,000 in gross profit and an increase of $582,000 in net operating expenses, in addition to the other factors driving net income. We do not exclude from adjusted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EBITDA expense reductions and non-operating other income attributable to PRC governmental grants because we consider and incorporate the expected amounts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and timing of those grants in incurring expenses and capital expenditures. If we did not receive the grants, our cash expenses therefore would be lower, and our cash</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position would not be affected, to the extent we have accurately anticipated the amounts of the grants. For additional information regarding our PRC grants, please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see “—Key Components of Results of Operations—PRC Government Research and Development Funding.”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48"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cash provided by operating activities, the most directly comparable GAAP financial measure, to free cash flow: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Six Months Ended</w:t>
            </w: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24"/>
              <w:spacing w:after="0" w:line="137"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31"/>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41"/>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jc w:val="right"/>
              <w:ind w:right="58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Data:</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Net cash (used in) provided by operating activities</w:t>
            </w:r>
          </w:p>
        </w:tc>
        <w:tc>
          <w:tcPr>
            <w:tcW w:w="2420" w:type="dxa"/>
            <w:vAlign w:val="bottom"/>
            <w:gridSpan w:val="3"/>
          </w:tcPr>
          <w:p>
            <w:pPr>
              <w:jc w:val="right"/>
              <w:ind w:right="200"/>
              <w:spacing w:after="0"/>
              <w:rPr>
                <w:sz w:val="20"/>
                <w:szCs w:val="20"/>
                <w:color w:val="auto"/>
              </w:rPr>
            </w:pPr>
            <w:r>
              <w:rPr>
                <w:rFonts w:ascii="Arial" w:cs="Arial" w:eastAsia="Arial" w:hAnsi="Arial"/>
                <w:sz w:val="17"/>
                <w:szCs w:val="17"/>
                <w:color w:val="auto"/>
              </w:rPr>
              <w:t>$2,983</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$4,739</w:t>
            </w:r>
          </w:p>
        </w:tc>
        <w:tc>
          <w:tcPr>
            <w:tcW w:w="3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$(3,702)</w:t>
            </w: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$ 2,702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 net of proceeds from disposals</w:t>
            </w:r>
          </w:p>
        </w:tc>
        <w:tc>
          <w:tcPr>
            <w:tcW w:w="2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(788)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Purchases of intangible assets</w:t>
            </w:r>
          </w:p>
        </w:tc>
        <w:tc>
          <w:tcPr>
            <w:tcW w:w="17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(36)</w:t>
            </w:r>
          </w:p>
        </w:tc>
        <w:tc>
          <w:tcPr>
            <w:tcW w:w="940" w:type="dxa"/>
            <w:vAlign w:val="bottom"/>
            <w:gridSpan w:val="3"/>
          </w:tcPr>
          <w:p>
            <w:pPr>
              <w:jc w:val="right"/>
              <w:ind w:right="260"/>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(22)</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4,635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(4,512)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Free cash flow in the six months ended June 30, 2017, as compared with the comparable period in 2016, reflected, in addition to the factors driving net cash provided by operating activities, (a) decreases in accounts receivable offset by increases in accounts payable and (b) increases in stock-based compensation. Free cash flow in 2016, as compared with 2015, reflected, in addition to the factors driving net cash provided by operating activities, (a) increases in inventory and accounts receivable resulting from increased sales activities and (b) our continued expenditures on property and equipment. Consistent with our methodology for calculating adjusted EBITDA, we do not adjust free cash flow for the effects of PRC government subsidies, because we take those subsidies into account in incurring expenses and capital expenditures.</w:t>
      </w:r>
    </w:p>
    <w:p>
      <w:pPr>
        <w:spacing w:after="0" w:line="180" w:lineRule="exact"/>
        <w:rPr>
          <w:sz w:val="20"/>
          <w:szCs w:val="20"/>
          <w:color w:val="auto"/>
        </w:rPr>
      </w:pPr>
    </w:p>
    <w:p>
      <w:pPr>
        <w:ind w:right="40" w:firstLine="457"/>
        <w:spacing w:after="0" w:line="298" w:lineRule="auto"/>
        <w:rPr>
          <w:sz w:val="20"/>
          <w:szCs w:val="20"/>
          <w:color w:val="auto"/>
        </w:rPr>
      </w:pPr>
      <w:r>
        <w:rPr>
          <w:rFonts w:ascii="Arial" w:cs="Arial" w:eastAsia="Arial" w:hAnsi="Arial"/>
          <w:sz w:val="15"/>
          <w:szCs w:val="15"/>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which would affect our cash position. The following tables reflect the exclusion of stock-based compensation from line items comprising income (loss) from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1"/>
              </w:rPr>
              <w:t>Six Months Ended June 30,</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140"/>
              <w:spacing w:after="0" w:line="137"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900" w:type="dxa"/>
            <w:vAlign w:val="bottom"/>
            <w:gridSpan w:val="2"/>
          </w:tcPr>
          <w:p>
            <w:pPr>
              <w:jc w:val="right"/>
              <w:ind w:right="420"/>
              <w:spacing w:after="0" w:line="114" w:lineRule="exact"/>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9"/>
                <w:szCs w:val="9"/>
                <w:color w:val="auto"/>
              </w:rPr>
            </w:pPr>
          </w:p>
        </w:tc>
        <w:tc>
          <w:tcPr>
            <w:tcW w:w="7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SBC</w:t>
            </w:r>
          </w:p>
        </w:tc>
        <w:tc>
          <w:tcPr>
            <w:tcW w:w="100" w:type="dxa"/>
            <w:vAlign w:val="bottom"/>
          </w:tcPr>
          <w:p>
            <w:pPr>
              <w:spacing w:after="0"/>
              <w:rPr>
                <w:sz w:val="9"/>
                <w:szCs w:val="9"/>
                <w:color w:val="auto"/>
              </w:rPr>
            </w:pPr>
          </w:p>
        </w:tc>
        <w:tc>
          <w:tcPr>
            <w:tcW w:w="680" w:type="dxa"/>
            <w:vAlign w:val="bottom"/>
          </w:tcPr>
          <w:p>
            <w:pPr>
              <w:jc w:val="right"/>
              <w:ind w:right="38"/>
              <w:spacing w:after="0" w:line="114" w:lineRule="exact"/>
              <w:rPr>
                <w:sz w:val="20"/>
                <w:szCs w:val="20"/>
                <w:color w:val="auto"/>
              </w:rPr>
            </w:pPr>
            <w:r>
              <w:rPr>
                <w:rFonts w:ascii="Arial" w:cs="Arial" w:eastAsia="Arial" w:hAnsi="Arial"/>
                <w:sz w:val="13"/>
                <w:szCs w:val="13"/>
                <w:b w:val="1"/>
                <w:bCs w:val="1"/>
                <w:color w:val="auto"/>
                <w:w w:val="97"/>
              </w:rPr>
              <w:t>Adjusted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right"/>
              <w:ind w:right="260"/>
              <w:spacing w:after="0" w:line="114" w:lineRule="exact"/>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9"/>
                <w:szCs w:val="9"/>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SBC</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36"/>
              <w:spacing w:after="0" w:line="114" w:lineRule="exact"/>
              <w:rPr>
                <w:sz w:val="20"/>
                <w:szCs w:val="20"/>
                <w:color w:val="auto"/>
              </w:rPr>
            </w:pPr>
            <w:r>
              <w:rPr>
                <w:rFonts w:ascii="Arial" w:cs="Arial" w:eastAsia="Arial" w:hAnsi="Arial"/>
                <w:sz w:val="13"/>
                <w:szCs w:val="13"/>
                <w:b w:val="1"/>
                <w:bCs w:val="1"/>
                <w:color w:val="auto"/>
                <w:w w:val="97"/>
              </w:rPr>
              <w:t>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5"/>
          </w:tcPr>
          <w:p>
            <w:pPr>
              <w:jc w:val="right"/>
              <w:ind w:right="580"/>
              <w:spacing w:after="0" w:line="137" w:lineRule="exact"/>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Revenue</w:t>
            </w:r>
          </w:p>
        </w:tc>
        <w:tc>
          <w:tcPr>
            <w:tcW w:w="2800" w:type="dxa"/>
            <w:vAlign w:val="bottom"/>
            <w:gridSpan w:val="3"/>
          </w:tcPr>
          <w:p>
            <w:pPr>
              <w:jc w:val="right"/>
              <w:ind w:right="320"/>
              <w:spacing w:after="0"/>
              <w:rPr>
                <w:sz w:val="20"/>
                <w:szCs w:val="20"/>
                <w:color w:val="auto"/>
              </w:rPr>
            </w:pPr>
            <w:r>
              <w:rPr>
                <w:rFonts w:ascii="Arial" w:cs="Arial" w:eastAsia="Arial" w:hAnsi="Arial"/>
                <w:sz w:val="17"/>
                <w:szCs w:val="17"/>
                <w:color w:val="auto"/>
              </w:rPr>
              <w:t>$14,423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14,423</w:t>
            </w:r>
          </w:p>
        </w:tc>
        <w:tc>
          <w:tcPr>
            <w:tcW w:w="880" w:type="dxa"/>
            <w:vAlign w:val="bottom"/>
            <w:gridSpan w:val="3"/>
          </w:tcPr>
          <w:p>
            <w:pPr>
              <w:jc w:val="right"/>
              <w:ind w:right="200"/>
              <w:spacing w:after="0"/>
              <w:rPr>
                <w:sz w:val="20"/>
                <w:szCs w:val="20"/>
                <w:color w:val="auto"/>
              </w:rPr>
            </w:pPr>
            <w:r>
              <w:rPr>
                <w:rFonts w:ascii="Arial" w:cs="Arial" w:eastAsia="Arial" w:hAnsi="Arial"/>
                <w:sz w:val="17"/>
                <w:szCs w:val="17"/>
                <w:color w:val="auto"/>
              </w:rPr>
              <w:t>$ 8,122</w:t>
            </w:r>
          </w:p>
        </w:tc>
        <w:tc>
          <w:tcPr>
            <w:tcW w:w="740" w:type="dxa"/>
            <w:vAlign w:val="bottom"/>
            <w:gridSpan w:val="3"/>
          </w:tcPr>
          <w:p>
            <w:pPr>
              <w:jc w:val="right"/>
              <w:ind w:right="280"/>
              <w:spacing w:after="0"/>
              <w:rPr>
                <w:sz w:val="20"/>
                <w:szCs w:val="20"/>
                <w:color w:val="auto"/>
              </w:rPr>
            </w:pPr>
            <w:r>
              <w:rPr>
                <w:rFonts w:ascii="Arial" w:cs="Arial" w:eastAsia="Arial" w:hAnsi="Arial"/>
                <w:sz w:val="17"/>
                <w:szCs w:val="17"/>
                <w:color w:val="auto"/>
              </w:rPr>
              <w:t>$ —</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(8,560)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(5,292)</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1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2,830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2800" w:type="dxa"/>
            <w:vAlign w:val="bottom"/>
            <w:gridSpan w:val="3"/>
          </w:tcPr>
          <w:p>
            <w:pPr>
              <w:jc w:val="right"/>
              <w:ind w:right="260"/>
              <w:spacing w:after="0"/>
              <w:rPr>
                <w:sz w:val="20"/>
                <w:szCs w:val="20"/>
                <w:color w:val="auto"/>
              </w:rPr>
            </w:pPr>
            <w:r>
              <w:rPr>
                <w:rFonts w:ascii="Arial" w:cs="Arial" w:eastAsia="Arial" w:hAnsi="Arial"/>
                <w:sz w:val="17"/>
                <w:szCs w:val="17"/>
                <w:color w:val="auto"/>
              </w:rPr>
              <w:t>(2,583)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(2,565)</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(1,818)</w:t>
            </w: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(1,816)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2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(1,841)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(1,486)</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9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(3,158)</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w w:val="89"/>
              </w:rPr>
              <w:t>(1,294)</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(1,864)</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(1,089)</w:t>
            </w: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2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(1,755)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9"/>
              </w:rPr>
              <w:t>(1,348)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(1,563)</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00" w:type="dxa"/>
            <w:vAlign w:val="bottom"/>
            <w:vMerge w:val="restart"/>
          </w:tcPr>
          <w:p>
            <w:pPr>
              <w:jc w:val="right"/>
              <w:ind w:right="153"/>
              <w:spacing w:after="0"/>
              <w:rPr>
                <w:sz w:val="20"/>
                <w:szCs w:val="20"/>
                <w:color w:val="auto"/>
              </w:rPr>
            </w:pPr>
            <w:r>
              <w:rPr>
                <w:rFonts w:ascii="Arial" w:cs="Arial" w:eastAsia="Arial" w:hAnsi="Arial"/>
                <w:sz w:val="17"/>
                <w:szCs w:val="17"/>
                <w:color w:val="auto"/>
              </w:rPr>
              <w:t>64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320"/>
              <w:spacing w:after="0" w:line="137"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300"/>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300"/>
              <w:spacing w:after="0" w:line="114" w:lineRule="exact"/>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9"/>
                <w:szCs w:val="9"/>
                <w:color w:val="auto"/>
              </w:rPr>
            </w:pPr>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SBC</w:t>
            </w:r>
          </w:p>
        </w:tc>
        <w:tc>
          <w:tcPr>
            <w:tcW w:w="120" w:type="dxa"/>
            <w:vAlign w:val="bottom"/>
          </w:tcPr>
          <w:p>
            <w:pPr>
              <w:spacing w:after="0"/>
              <w:rPr>
                <w:sz w:val="9"/>
                <w:szCs w:val="9"/>
                <w:color w:val="auto"/>
              </w:rPr>
            </w:pPr>
          </w:p>
        </w:tc>
        <w:tc>
          <w:tcPr>
            <w:tcW w:w="680" w:type="dxa"/>
            <w:vAlign w:val="bottom"/>
          </w:tcPr>
          <w:p>
            <w:pPr>
              <w:jc w:val="right"/>
              <w:ind w:right="39"/>
              <w:spacing w:after="0" w:line="114" w:lineRule="exact"/>
              <w:rPr>
                <w:sz w:val="20"/>
                <w:szCs w:val="20"/>
                <w:color w:val="auto"/>
              </w:rPr>
            </w:pPr>
            <w:r>
              <w:rPr>
                <w:rFonts w:ascii="Arial" w:cs="Arial" w:eastAsia="Arial" w:hAnsi="Arial"/>
                <w:sz w:val="13"/>
                <w:szCs w:val="13"/>
                <w:b w:val="1"/>
                <w:bCs w:val="1"/>
                <w:color w:val="auto"/>
                <w:w w:val="97"/>
              </w:rPr>
              <w:t>Adjusted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320"/>
              <w:spacing w:after="0" w:line="114" w:lineRule="exact"/>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9"/>
                <w:szCs w:val="9"/>
                <w:color w:val="auto"/>
              </w:rPr>
            </w:pPr>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SBC</w:t>
            </w:r>
          </w:p>
        </w:tc>
        <w:tc>
          <w:tcPr>
            <w:tcW w:w="120" w:type="dxa"/>
            <w:vAlign w:val="bottom"/>
          </w:tcPr>
          <w:p>
            <w:pPr>
              <w:spacing w:after="0"/>
              <w:rPr>
                <w:sz w:val="9"/>
                <w:szCs w:val="9"/>
                <w:color w:val="auto"/>
              </w:rPr>
            </w:pPr>
          </w:p>
        </w:tc>
        <w:tc>
          <w:tcPr>
            <w:tcW w:w="70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jc w:val="right"/>
              <w:ind w:right="580"/>
              <w:spacing w:after="0" w:line="137" w:lineRule="exact"/>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Revenue</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27,371</w:t>
            </w:r>
          </w:p>
        </w:tc>
        <w:tc>
          <w:tcPr>
            <w:tcW w:w="880" w:type="dxa"/>
            <w:vAlign w:val="bottom"/>
            <w:gridSpan w:val="3"/>
          </w:tcPr>
          <w:p>
            <w:pPr>
              <w:jc w:val="right"/>
              <w:ind w:right="40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27,371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31,206</w:t>
            </w:r>
          </w:p>
        </w:tc>
        <w:tc>
          <w:tcPr>
            <w:tcW w:w="880" w:type="dxa"/>
            <w:vAlign w:val="bottom"/>
            <w:gridSpan w:val="3"/>
          </w:tcPr>
          <w:p>
            <w:pPr>
              <w:jc w:val="right"/>
              <w:ind w:right="40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(14,042)</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(14,031)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(17,085)</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13,329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13,340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14,130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(3,907)</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(3,902)</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(4,213)</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(3,259)</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(2,942)</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(2,673)</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(362)</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(2,311)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(2,103)</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(406)</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(1,697)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3,490</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3,873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4,863</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(423)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360" w:firstLine="457"/>
        <w:spacing w:after="0" w:line="271" w:lineRule="auto"/>
        <w:rPr>
          <w:sz w:val="20"/>
          <w:szCs w:val="20"/>
          <w:color w:val="auto"/>
        </w:rPr>
      </w:pPr>
      <w:r>
        <w:rPr>
          <w:rFonts w:ascii="Arial" w:cs="Arial" w:eastAsia="Arial" w:hAnsi="Arial"/>
          <w:sz w:val="17"/>
          <w:szCs w:val="17"/>
          <w:color w:val="auto"/>
        </w:rPr>
        <w:t>Adjusted operating loss in the six months ended June 30, 2017, as compared with the comparable period in 2016, reflected an increase of $1.2 million in stock-based compensation expense. Adjusted operating income in 2016, as compared with 2015, reflected a decrease of $44,000 in stock-based compensation expense.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3" w:lineRule="exact"/>
        <w:rPr>
          <w:sz w:val="20"/>
          <w:szCs w:val="20"/>
          <w:color w:val="auto"/>
        </w:rPr>
      </w:pPr>
    </w:p>
    <w:p>
      <w:pPr>
        <w:jc w:val="both"/>
        <w:ind w:right="60" w:firstLine="457"/>
        <w:spacing w:after="0" w:line="295" w:lineRule="auto"/>
        <w:rPr>
          <w:sz w:val="20"/>
          <w:szCs w:val="20"/>
          <w:color w:val="auto"/>
        </w:rPr>
      </w:pPr>
      <w:r>
        <w:rPr>
          <w:rFonts w:ascii="Arial" w:cs="Arial" w:eastAsia="Arial" w:hAnsi="Arial"/>
          <w:sz w:val="15"/>
          <w:szCs w:val="15"/>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w:t>
      </w:r>
    </w:p>
    <w:p>
      <w:pPr>
        <w:spacing w:after="0" w:line="2"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 xml:space="preserve">We utilize the guidance set forth in the FASB’s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regarding the recognition, presentation and disclosure of revenue in our financial statements. We recognize revenue when persuasive evidence of an arrangement exists; delivery has occurred and the major risks and remunerations of ownership have been transferred to the customer; collectability is probable; and the selling price is fixed or determinable.</w:t>
      </w:r>
    </w:p>
    <w:p>
      <w:pPr>
        <w:spacing w:after="0" w:line="172"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85" w:lineRule="exact"/>
        <w:rPr>
          <w:sz w:val="20"/>
          <w:szCs w:val="20"/>
          <w:color w:val="auto"/>
        </w:rPr>
      </w:pPr>
    </w:p>
    <w:p>
      <w:pPr>
        <w:ind w:left="900" w:right="160" w:hanging="439"/>
        <w:spacing w:after="0" w:line="287"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type of tool with the same specifications and when we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260" w:hanging="439"/>
        <w:spacing w:after="0" w:line="287"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when the sales contract or purchase order does not contain an acceptance agreement or a lapsing acceptance provision and when we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420" w:hanging="439"/>
        <w:spacing w:after="0" w:line="287"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when our sales arrangements do not include a general right of return.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48"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80" w:firstLine="457"/>
        <w:spacing w:after="0" w:line="288" w:lineRule="auto"/>
        <w:rPr>
          <w:sz w:val="20"/>
          <w:szCs w:val="20"/>
          <w:color w:val="auto"/>
        </w:rPr>
      </w:pPr>
      <w:r>
        <w:rPr>
          <w:rFonts w:ascii="Arial" w:cs="Arial" w:eastAsia="Arial" w:hAnsi="Arial"/>
          <w:sz w:val="16"/>
          <w:szCs w:val="16"/>
          <w:color w:val="auto"/>
        </w:rPr>
        <w:t xml:space="preserve">Customization, production, installation and delivery are essential elements of the functionality of our delivered tools, but the related services we offer, principally warranty services, are not essential to tool functionality. We treat the customization, production, installation and delivery of tools, together with the provision of related warranty and other services, as a single unit of accounting in accordance with the FASB’s ASC Subtopic 605-25,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Multiple Element Arrangements. </w:t>
      </w:r>
      <w:r>
        <w:rPr>
          <w:rFonts w:ascii="Arial" w:cs="Arial" w:eastAsia="Arial" w:hAnsi="Arial"/>
          <w:sz w:val="16"/>
          <w:szCs w:val="16"/>
          <w:color w:val="auto"/>
        </w:rPr>
        <w:t>In the first half of 2017 and in 2016 and 2015 all of our tools were sold in stand-alone arrangements.</w:t>
      </w:r>
    </w:p>
    <w:p>
      <w:pPr>
        <w:spacing w:after="0" w:line="160"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our revenue in the future.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172"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85" w:lineRule="exact"/>
        <w:rPr>
          <w:sz w:val="20"/>
          <w:szCs w:val="20"/>
          <w:color w:val="auto"/>
        </w:rPr>
      </w:pPr>
    </w:p>
    <w:p>
      <w:pPr>
        <w:ind w:left="900" w:hanging="439"/>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risk-free interest rates for periods within the expected life of the option are based on the yields of zero-coupon U.S. Treasury securities.</w:t>
      </w:r>
    </w:p>
    <w:p>
      <w:pPr>
        <w:spacing w:after="0" w:line="130" w:lineRule="exact"/>
        <w:rPr>
          <w:rFonts w:ascii="Arial" w:cs="Arial" w:eastAsia="Arial" w:hAnsi="Arial"/>
          <w:sz w:val="17"/>
          <w:szCs w:val="17"/>
          <w:color w:val="auto"/>
        </w:rPr>
      </w:pPr>
    </w:p>
    <w:p>
      <w:pPr>
        <w:ind w:left="900" w:hanging="439"/>
        <w:spacing w:after="0" w:line="281"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Due to the lack of a public market for the trading of the common stock and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76" w:lineRule="exact"/>
        <w:rPr>
          <w:rFonts w:ascii="Arial" w:cs="Arial" w:eastAsia="Arial" w:hAnsi="Arial"/>
          <w:sz w:val="16"/>
          <w:szCs w:val="16"/>
          <w:color w:val="auto"/>
        </w:rPr>
      </w:pPr>
    </w:p>
    <w:p>
      <w:pPr>
        <w:ind w:left="900" w:right="560" w:hanging="439"/>
        <w:spacing w:after="0" w:line="320"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43" w:lineRule="exact"/>
        <w:rPr>
          <w:rFonts w:ascii="Arial" w:cs="Arial" w:eastAsia="Arial" w:hAnsi="Arial"/>
          <w:sz w:val="16"/>
          <w:szCs w:val="16"/>
          <w:color w:val="auto"/>
        </w:rPr>
      </w:pPr>
    </w:p>
    <w:p>
      <w:pPr>
        <w:ind w:left="900" w:right="120" w:hanging="439"/>
        <w:spacing w:after="0" w:line="287"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expected dividend yield is assumed to be 0%, based on the fact that we have never paid cash dividends and have no present intention to pay cash dividends.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00"/>
          </w:cols>
          <w:pgMar w:left="240" w:top="448" w:right="2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No stock options were granted to employees during the six months ended June 30, 2016. For employee stock option grants made during the six months ended June 30, 2017 and the years ended December 31, 2016 and 2015, the weighted-average assumptions used in the Black-Scholes option pricing model to determine the fair value of those grants were as follows: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Six</w:t>
            </w: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40" w:type="dxa"/>
            <w:vAlign w:val="bottom"/>
          </w:tcPr>
          <w:p>
            <w:pPr>
              <w:spacing w:after="0"/>
              <w:rPr>
                <w:sz w:val="12"/>
                <w:szCs w:val="12"/>
                <w:color w:val="auto"/>
              </w:rPr>
            </w:pPr>
          </w:p>
        </w:tc>
        <w:tc>
          <w:tcPr>
            <w:tcW w:w="10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2"/>
              </w:rPr>
              <w:t>Months</w:t>
            </w: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040" w:type="dxa"/>
            <w:vAlign w:val="bottom"/>
          </w:tcPr>
          <w:p>
            <w:pPr>
              <w:spacing w:after="0"/>
              <w:rPr>
                <w:sz w:val="12"/>
                <w:szCs w:val="12"/>
                <w:color w:val="auto"/>
              </w:rPr>
            </w:pPr>
          </w:p>
        </w:tc>
        <w:tc>
          <w:tcPr>
            <w:tcW w:w="10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8"/>
              </w:rPr>
              <w:t>Ended</w:t>
            </w:r>
          </w:p>
        </w:tc>
        <w:tc>
          <w:tcPr>
            <w:tcW w:w="24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6"/>
        </w:trPr>
        <w:tc>
          <w:tcPr>
            <w:tcW w:w="6040" w:type="dxa"/>
            <w:vAlign w:val="bottom"/>
          </w:tcPr>
          <w:p>
            <w:pPr>
              <w:spacing w:after="0"/>
              <w:rPr>
                <w:sz w:val="8"/>
                <w:szCs w:val="8"/>
                <w:color w:val="auto"/>
              </w:rPr>
            </w:pPr>
          </w:p>
        </w:tc>
        <w:tc>
          <w:tcPr>
            <w:tcW w:w="1080" w:type="dxa"/>
            <w:vAlign w:val="bottom"/>
            <w:gridSpan w:val="2"/>
            <w:vMerge w:val="restart"/>
          </w:tcPr>
          <w:p>
            <w:pPr>
              <w:jc w:val="center"/>
              <w:ind w:right="380"/>
              <w:spacing w:after="0" w:line="143" w:lineRule="exact"/>
              <w:rPr>
                <w:sz w:val="20"/>
                <w:szCs w:val="20"/>
                <w:color w:val="auto"/>
              </w:rPr>
            </w:pPr>
            <w:r>
              <w:rPr>
                <w:rFonts w:ascii="Arial" w:cs="Arial" w:eastAsia="Arial" w:hAnsi="Arial"/>
                <w:sz w:val="14"/>
                <w:szCs w:val="14"/>
                <w:b w:val="1"/>
                <w:bCs w:val="1"/>
                <w:color w:val="auto"/>
                <w:w w:val="89"/>
              </w:rPr>
              <w:t>June 30,</w:t>
            </w:r>
          </w:p>
        </w:tc>
        <w:tc>
          <w:tcPr>
            <w:tcW w:w="248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line="20" w:lineRule="exact"/>
              <w:rPr>
                <w:sz w:val="1"/>
                <w:szCs w:val="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line="20" w:lineRule="exact"/>
              <w:rPr>
                <w:sz w:val="1"/>
                <w:szCs w:val="1"/>
                <w:color w:val="auto"/>
              </w:rPr>
            </w:pPr>
          </w:p>
        </w:tc>
      </w:tr>
      <w:tr>
        <w:trPr>
          <w:trHeight w:val="166"/>
        </w:trPr>
        <w:tc>
          <w:tcPr>
            <w:tcW w:w="60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2.22%</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2.02% - 2.32%</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1.87%</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7"/>
                <w:szCs w:val="17"/>
                <w:color w:val="auto"/>
              </w:rPr>
              <w:t>Expected volatility</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29.18%</w:t>
            </w:r>
          </w:p>
        </w:tc>
        <w:tc>
          <w:tcPr>
            <w:tcW w:w="3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29.93%</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37.67%</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6.25%</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5.75 - 6.25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6.25</w:t>
            </w:r>
          </w:p>
        </w:tc>
        <w:tc>
          <w:tcPr>
            <w:tcW w:w="0" w:type="dxa"/>
            <w:vAlign w:val="bottom"/>
          </w:tcPr>
          <w:p>
            <w:pPr>
              <w:spacing w:after="0"/>
              <w:rPr>
                <w:sz w:val="1"/>
                <w:szCs w:val="1"/>
                <w:color w:val="auto"/>
              </w:rPr>
            </w:pPr>
          </w:p>
        </w:tc>
      </w:tr>
      <w:tr>
        <w:trPr>
          <w:trHeight w:val="221"/>
        </w:trPr>
        <w:tc>
          <w:tcPr>
            <w:tcW w:w="60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70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3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3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firstLine="457"/>
        <w:spacing w:after="0" w:line="320" w:lineRule="auto"/>
        <w:rPr>
          <w:sz w:val="20"/>
          <w:szCs w:val="20"/>
          <w:color w:val="auto"/>
        </w:rPr>
      </w:pPr>
      <w:r>
        <w:rPr>
          <w:rFonts w:ascii="Arial" w:cs="Arial" w:eastAsia="Arial" w:hAnsi="Arial"/>
          <w:sz w:val="16"/>
          <w:szCs w:val="16"/>
          <w:color w:val="auto"/>
        </w:rPr>
        <w:t>For non-employee stock option grants made during the six months ended June 30, 2017 and 2016 and the years ended December 31, 2016 and 2015, the weighted-average assumptions used in the Black-Scholes option pricing model to determine the fair value of those grants were as follows:</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0"/>
              </w:rPr>
              <w:t>Six Months Ended June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296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gridSpan w:val="2"/>
          </w:tcPr>
          <w:p>
            <w:pPr>
              <w:jc w:val="right"/>
              <w:ind w:right="637"/>
              <w:spacing w:after="0" w:line="137"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gridSpan w:val="2"/>
          </w:tcPr>
          <w:p>
            <w:pPr>
              <w:jc w:val="right"/>
              <w:ind w:right="633"/>
              <w:spacing w:after="0" w:line="137"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w:t>
            </w:r>
          </w:p>
        </w:tc>
      </w:tr>
      <w:tr>
        <w:trPr>
          <w:trHeight w:val="202"/>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- 2.33%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- 1.21%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1.00% - 2.25%</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1.31% - 1.76%</w:t>
            </w:r>
          </w:p>
        </w:tc>
      </w:tr>
      <w:tr>
        <w:trPr>
          <w:trHeight w:val="209"/>
        </w:trPr>
        <w:tc>
          <w:tcPr>
            <w:tcW w:w="2960" w:type="dxa"/>
            <w:vAlign w:val="bottom"/>
          </w:tcPr>
          <w:p>
            <w:pPr>
              <w:spacing w:after="0"/>
              <w:rPr>
                <w:sz w:val="20"/>
                <w:szCs w:val="20"/>
                <w:color w:val="auto"/>
              </w:rPr>
            </w:pPr>
            <w:r>
              <w:rPr>
                <w:rFonts w:ascii="Arial" w:cs="Arial" w:eastAsia="Arial" w:hAnsi="Arial"/>
                <w:sz w:val="17"/>
                <w:szCs w:val="17"/>
                <w:color w:val="auto"/>
              </w:rPr>
              <w:t>Expected volatility</w:t>
            </w:r>
          </w:p>
        </w:tc>
        <w:tc>
          <w:tcPr>
            <w:tcW w:w="800" w:type="dxa"/>
            <w:vAlign w:val="bottom"/>
          </w:tcPr>
          <w:p>
            <w:pPr>
              <w:jc w:val="right"/>
              <w:spacing w:after="0"/>
              <w:rPr>
                <w:sz w:val="20"/>
                <w:szCs w:val="20"/>
                <w:color w:val="auto"/>
              </w:rPr>
            </w:pPr>
            <w:r>
              <w:rPr>
                <w:rFonts w:ascii="Arial" w:cs="Arial" w:eastAsia="Arial" w:hAnsi="Arial"/>
                <w:sz w:val="17"/>
                <w:szCs w:val="17"/>
                <w:color w:val="auto"/>
              </w:rPr>
              <w:t>28.87%</w:t>
            </w:r>
          </w:p>
        </w:tc>
        <w:tc>
          <w:tcPr>
            <w:tcW w:w="920" w:type="dxa"/>
            <w:vAlign w:val="bottom"/>
          </w:tcPr>
          <w:p>
            <w:pPr>
              <w:ind w:left="20"/>
              <w:spacing w:after="0"/>
              <w:rPr>
                <w:sz w:val="20"/>
                <w:szCs w:val="20"/>
                <w:color w:val="auto"/>
              </w:rPr>
            </w:pPr>
            <w:r>
              <w:rPr>
                <w:rFonts w:ascii="Arial" w:cs="Arial" w:eastAsia="Arial" w:hAnsi="Arial"/>
                <w:sz w:val="17"/>
                <w:szCs w:val="17"/>
                <w:color w:val="auto"/>
              </w:rPr>
              <w:t>- 29.41%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30.59%</w:t>
            </w:r>
          </w:p>
        </w:tc>
        <w:tc>
          <w:tcPr>
            <w:tcW w:w="920" w:type="dxa"/>
            <w:vAlign w:val="bottom"/>
          </w:tcPr>
          <w:p>
            <w:pPr>
              <w:ind w:left="20"/>
              <w:spacing w:after="0"/>
              <w:rPr>
                <w:sz w:val="20"/>
                <w:szCs w:val="20"/>
                <w:color w:val="auto"/>
              </w:rPr>
            </w:pPr>
            <w:r>
              <w:rPr>
                <w:rFonts w:ascii="Arial" w:cs="Arial" w:eastAsia="Arial" w:hAnsi="Arial"/>
                <w:sz w:val="17"/>
                <w:szCs w:val="17"/>
                <w:color w:val="auto"/>
              </w:rPr>
              <w:t>- 31.43%</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3"/>
              </w:rPr>
              <w:t>29.93%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33.21%</w:t>
            </w:r>
          </w:p>
        </w:tc>
      </w:tr>
      <w:tr>
        <w:trPr>
          <w:trHeight w:val="19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Expected term</w:t>
            </w: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1"/>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 years)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- 6.19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- 5.69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2.11 - 6.24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3.12 - 5.94</w:t>
            </w:r>
          </w:p>
        </w:tc>
      </w:tr>
      <w:tr>
        <w:trPr>
          <w:trHeight w:val="221"/>
        </w:trPr>
        <w:tc>
          <w:tcPr>
            <w:tcW w:w="29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720" w:type="dxa"/>
            <w:vAlign w:val="bottom"/>
            <w:gridSpan w:val="2"/>
          </w:tcPr>
          <w:p>
            <w:pPr>
              <w:jc w:val="right"/>
              <w:ind w:right="657"/>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1720" w:type="dxa"/>
            <w:vAlign w:val="bottom"/>
            <w:gridSpan w:val="2"/>
          </w:tcPr>
          <w:p>
            <w:pPr>
              <w:jc w:val="right"/>
              <w:ind w:right="653"/>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9"/>
              </w:rPr>
              <w:t>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0%</w:t>
            </w:r>
          </w:p>
        </w:tc>
      </w:tr>
    </w:tbl>
    <w:p>
      <w:pPr>
        <w:spacing w:after="0" w:line="184"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The following table summarizes by grant date the number of shares of common stock underlying stock options granted since January 1, 2015, as well as the associated per share exercise price and the estimated fair value per share of common stock on the grant date:</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Exercise Price</w:t>
            </w:r>
          </w:p>
        </w:tc>
        <w:tc>
          <w:tcPr>
            <w:tcW w:w="920" w:type="dxa"/>
            <w:vAlign w:val="bottom"/>
          </w:tcPr>
          <w:p>
            <w:pPr>
              <w:spacing w:after="0"/>
              <w:rPr>
                <w:sz w:val="14"/>
                <w:szCs w:val="14"/>
                <w:color w:val="auto"/>
              </w:rPr>
            </w:pPr>
          </w:p>
        </w:tc>
        <w:tc>
          <w:tcPr>
            <w:tcW w:w="100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43"/>
        </w:trPr>
        <w:tc>
          <w:tcPr>
            <w:tcW w:w="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Common Shares</w:t>
            </w:r>
          </w:p>
        </w:tc>
        <w:tc>
          <w:tcPr>
            <w:tcW w:w="17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Dates</w:t>
            </w:r>
          </w:p>
        </w:tc>
        <w:tc>
          <w:tcPr>
            <w:tcW w:w="176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tcPr>
          <w:p>
            <w:pPr>
              <w:spacing w:after="0"/>
              <w:rPr>
                <w:sz w:val="12"/>
                <w:szCs w:val="12"/>
                <w:color w:val="auto"/>
              </w:rPr>
            </w:pP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2"/>
              </w:rPr>
              <w:t>per Common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76"/>
              <w:spacing w:after="0" w:line="143" w:lineRule="exact"/>
              <w:rPr>
                <w:sz w:val="20"/>
                <w:szCs w:val="20"/>
                <w:color w:val="auto"/>
              </w:rPr>
            </w:pPr>
            <w:r>
              <w:rPr>
                <w:rFonts w:ascii="Arial" w:cs="Arial" w:eastAsia="Arial" w:hAnsi="Arial"/>
                <w:sz w:val="14"/>
                <w:szCs w:val="14"/>
                <w:b w:val="1"/>
                <w:bCs w:val="1"/>
                <w:color w:val="auto"/>
                <w:w w:val="95"/>
              </w:rPr>
              <w:t>Value per</w:t>
            </w:r>
          </w:p>
        </w:tc>
        <w:tc>
          <w:tcPr>
            <w:tcW w:w="0" w:type="dxa"/>
            <w:vAlign w:val="bottom"/>
          </w:tcPr>
          <w:p>
            <w:pPr>
              <w:spacing w:after="0"/>
              <w:rPr>
                <w:sz w:val="1"/>
                <w:szCs w:val="1"/>
                <w:color w:val="auto"/>
              </w:rPr>
            </w:pPr>
          </w:p>
        </w:tc>
      </w:tr>
      <w:tr>
        <w:trPr>
          <w:trHeight w:val="166"/>
        </w:trPr>
        <w:tc>
          <w:tcPr>
            <w:tcW w:w="3120" w:type="dxa"/>
            <w:vAlign w:val="bottom"/>
            <w:gridSpan w:val="2"/>
            <w:vMerge w:val="continue"/>
          </w:tcPr>
          <w:p>
            <w:pPr>
              <w:spacing w:after="0"/>
              <w:rPr>
                <w:sz w:val="14"/>
                <w:szCs w:val="14"/>
                <w:color w:val="auto"/>
              </w:rPr>
            </w:pPr>
          </w:p>
        </w:tc>
        <w:tc>
          <w:tcPr>
            <w:tcW w:w="2780" w:type="dxa"/>
            <w:vAlign w:val="bottom"/>
            <w:gridSpan w:val="2"/>
          </w:tcPr>
          <w:p>
            <w:pPr>
              <w:jc w:val="center"/>
              <w:ind w:left="1677"/>
              <w:spacing w:after="0"/>
              <w:rPr>
                <w:sz w:val="20"/>
                <w:szCs w:val="20"/>
                <w:color w:val="auto"/>
              </w:rPr>
            </w:pPr>
            <w:r>
              <w:rPr>
                <w:rFonts w:ascii="Arial" w:cs="Arial" w:eastAsia="Arial" w:hAnsi="Arial"/>
                <w:sz w:val="14"/>
                <w:szCs w:val="14"/>
                <w:b w:val="1"/>
                <w:bCs w:val="1"/>
                <w:color w:val="auto"/>
                <w:w w:val="92"/>
              </w:rPr>
              <w:t>Options Granted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Share</w:t>
            </w: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Share</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7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1, 2015</w:t>
            </w:r>
          </w:p>
        </w:tc>
        <w:tc>
          <w:tcPr>
            <w:tcW w:w="1760" w:type="dxa"/>
            <w:vAlign w:val="bottom"/>
            <w:vMerge w:val="continue"/>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783,338</w:t>
            </w:r>
          </w:p>
        </w:tc>
        <w:tc>
          <w:tcPr>
            <w:tcW w:w="9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7"/>
                <w:szCs w:val="17"/>
                <w:color w:val="auto"/>
              </w:rPr>
              <w:t>September 8, 2015</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263,335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28, 2016</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1,424,596</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7"/>
                <w:szCs w:val="17"/>
                <w:color w:val="auto"/>
              </w:rPr>
              <w:t>March 9, 2017</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33,334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7.50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9, 2017</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183,335</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40" w:firstLine="457"/>
        <w:spacing w:after="0" w:line="266" w:lineRule="auto"/>
        <w:rPr>
          <w:sz w:val="20"/>
          <w:szCs w:val="20"/>
          <w:color w:val="auto"/>
        </w:rPr>
      </w:pPr>
      <w:r>
        <w:rPr>
          <w:rFonts w:ascii="Arial" w:cs="Arial" w:eastAsia="Arial" w:hAnsi="Arial"/>
          <w:sz w:val="17"/>
          <w:szCs w:val="17"/>
          <w:color w:val="auto"/>
        </w:rPr>
        <w:t>As of June 30, 2017, the unrecognized compensation cost related to outstanding options was $788,000 and is expected to be recognized as expense over a weighted-average of 2.12 years. As of December 31, 2016, the unrecognized compensation cost related to outstanding options was $726,000 and is expected to be recognized as expense over a weighted-average of 2.25 years. As of December 31, 2015, the unrecognized compensation cost related to outstanding options was $299,000 and is expected to be recognized as expense over a weighted-average of 1.24 years.</w:t>
      </w:r>
    </w:p>
    <w:p>
      <w:pPr>
        <w:spacing w:after="0" w:line="176"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As of June 30, 2017, we had outstanding stock options to acquire an aggregate of 3,489,959 shares of Class A common stock with an intrinsic value of $21.7 million. Of those outstanding options, (a) 1,611,595 shares had vested as of June 30, 2017, representing an intrinsic value of $11.6 million and (b) 1,878,364 shares were unvested, representing an intrinsic value of $10.1 million.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8"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Determination of Fair Value of Common Stock</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We are required to estimate the fair value of common stock underlying our stock-based awards when performing fair value calculations. All options to purchase shares of common stock are intended to be granted with an exercise price per share no less than the fair value per share of the common stock underlying those options on the date of grant, based on the information known to us on the date of grant. In the absence of a public trading market for the common stock, on each grant date we develop an estimate of the fair value of the common stock with the assistance of a third party valuation specialist to determine an exercise price for the option grants.</w:t>
      </w:r>
    </w:p>
    <w:p>
      <w:pPr>
        <w:spacing w:after="0" w:line="180"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historically have granted stock options at exercise prices equal to the fair value of the common stock as of the date of grant, as determined by the board of directors with input from management. Because there has been no public market for the common stock, the board determined the fair value of the common stock by considering a number of objective and subjective factors, including our financial performance and projections, the relative illiquidity of the common stock, the pricing of sales of convertible preferred stock to third parties, the preferences of our outstanding convertible preferred stock as compared to the common stock, including the liquidation preferences and dividend rights, peer group trading multiples, and trends in the broad semiconductor equipment market.</w:t>
      </w:r>
    </w:p>
    <w:p>
      <w:pPr>
        <w:spacing w:after="0" w:line="148"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 xml:space="preserve">On December 28, 2016, the compensation committee of the board of directors, acting with the assistance of a third-party valuation specialist, considered the fair value of the common stock. In considering the fair value, the compensation committee took into account the methodologies, approaches and assumptions provided by the </w:t>
      </w:r>
      <w:r>
        <w:rPr>
          <w:rFonts w:ascii="Arial" w:cs="Arial" w:eastAsia="Arial" w:hAnsi="Arial"/>
          <w:sz w:val="17"/>
          <w:szCs w:val="17"/>
          <w:i w:val="1"/>
          <w:iCs w:val="1"/>
          <w:color w:val="auto"/>
        </w:rPr>
        <w:t>Audit and Accounting Practice Aid Series: Valuation of Privately Held Company Equity Securities Issued as Compensation of the American</w:t>
      </w:r>
      <w:r>
        <w:rPr>
          <w:rFonts w:ascii="Arial" w:cs="Arial" w:eastAsia="Arial" w:hAnsi="Arial"/>
          <w:sz w:val="17"/>
          <w:szCs w:val="17"/>
          <w:color w:val="auto"/>
        </w:rPr>
        <w:t xml:space="preserve"> </w:t>
      </w:r>
      <w:r>
        <w:rPr>
          <w:rFonts w:ascii="Arial" w:cs="Arial" w:eastAsia="Arial" w:hAnsi="Arial"/>
          <w:sz w:val="17"/>
          <w:szCs w:val="17"/>
          <w:i w:val="1"/>
          <w:iCs w:val="1"/>
          <w:color w:val="auto"/>
        </w:rPr>
        <w:t>Institute of Certified Public Accountants</w:t>
      </w:r>
      <w:r>
        <w:rPr>
          <w:rFonts w:ascii="Arial" w:cs="Arial" w:eastAsia="Arial" w:hAnsi="Arial"/>
          <w:sz w:val="17"/>
          <w:szCs w:val="17"/>
          <w:color w:val="auto"/>
        </w:rPr>
        <w:t>, or the Practice Aid.</w:t>
      </w:r>
    </w:p>
    <w:p>
      <w:pPr>
        <w:spacing w:after="0" w:line="176" w:lineRule="exact"/>
        <w:rPr>
          <w:sz w:val="20"/>
          <w:szCs w:val="20"/>
          <w:color w:val="auto"/>
        </w:rPr>
      </w:pPr>
    </w:p>
    <w:p>
      <w:pPr>
        <w:ind w:right="580" w:firstLine="457"/>
        <w:spacing w:after="0" w:line="266" w:lineRule="auto"/>
        <w:rPr>
          <w:sz w:val="20"/>
          <w:szCs w:val="20"/>
          <w:color w:val="auto"/>
        </w:rPr>
      </w:pPr>
      <w:r>
        <w:rPr>
          <w:rFonts w:ascii="Arial" w:cs="Arial" w:eastAsia="Arial" w:hAnsi="Arial"/>
          <w:sz w:val="17"/>
          <w:szCs w:val="17"/>
          <w:color w:val="auto"/>
        </w:rPr>
        <w:t>There are significant judgments and estimates inherent in the compensation committee’s determination of the fair value of the common stock. These judgments and estimates include assumptions regarding our future operating performance, the time to completing an IPO or other liquidity event, and the determination of the appropriate valuation methods. If we had made different assumptions, our stock-based compensation expense, net loss and net loss per common share could have been significantly different.</w:t>
      </w:r>
    </w:p>
    <w:p>
      <w:pPr>
        <w:spacing w:after="0" w:line="176"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In accordance with the Practice Aid, the compensation committee considered the various methods for allocating the enterprise value across the classes and series of capital stock to determine the fair value of our common stock at each valuation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 considered, but did not use, the following methods:</w:t>
      </w:r>
    </w:p>
    <w:p>
      <w:pPr>
        <w:spacing w:after="0" w:line="130" w:lineRule="exact"/>
        <w:rPr>
          <w:sz w:val="20"/>
          <w:szCs w:val="20"/>
          <w:color w:val="auto"/>
        </w:rPr>
      </w:pPr>
    </w:p>
    <w:p>
      <w:pPr>
        <w:ind w:left="900" w:hanging="335"/>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liquidation value method</w:t>
      </w:r>
      <w:r>
        <w:rPr>
          <w:rFonts w:ascii="Arial" w:cs="Arial" w:eastAsia="Arial" w:hAnsi="Arial"/>
          <w:sz w:val="17"/>
          <w:szCs w:val="17"/>
          <w:color w:val="auto"/>
        </w:rPr>
        <w:t xml:space="preserve"> assumes the discontinuance of the business as a going concern.</w:t>
      </w:r>
    </w:p>
    <w:p>
      <w:pPr>
        <w:spacing w:after="0" w:line="130" w:lineRule="exact"/>
        <w:rPr>
          <w:rFonts w:ascii="Arial" w:cs="Arial" w:eastAsia="Arial" w:hAnsi="Arial"/>
          <w:sz w:val="17"/>
          <w:szCs w:val="17"/>
          <w:color w:val="auto"/>
        </w:rPr>
      </w:pPr>
    </w:p>
    <w:p>
      <w:pPr>
        <w:ind w:left="900" w:right="200" w:hanging="335"/>
        <w:spacing w:after="0" w:line="271"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single period capitalization method</w:t>
      </w:r>
      <w:r>
        <w:rPr>
          <w:rFonts w:ascii="Arial" w:cs="Arial" w:eastAsia="Arial" w:hAnsi="Arial"/>
          <w:sz w:val="17"/>
          <w:szCs w:val="17"/>
          <w:color w:val="auto"/>
        </w:rPr>
        <w:t xml:space="preserve"> is most appropriate when a company’s current and historical operations can reasonably be considered indicative of its future operations. The compensation committee determined that, since we are planning for higher annual growth than shown by our current and historical results, this method will not produce a value indicative of our growing company.</w:t>
      </w:r>
    </w:p>
    <w:p>
      <w:pPr>
        <w:spacing w:after="0" w:line="80" w:lineRule="exact"/>
        <w:rPr>
          <w:rFonts w:ascii="Arial" w:cs="Arial" w:eastAsia="Arial" w:hAnsi="Arial"/>
          <w:sz w:val="17"/>
          <w:szCs w:val="17"/>
          <w:color w:val="auto"/>
        </w:rPr>
      </w:pPr>
    </w:p>
    <w:p>
      <w:pPr>
        <w:jc w:val="both"/>
        <w:ind w:left="900" w:right="80" w:hanging="335"/>
        <w:spacing w:after="0" w:line="323" w:lineRule="auto"/>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excess earnings method</w:t>
      </w:r>
      <w:r>
        <w:rPr>
          <w:rFonts w:ascii="Arial" w:cs="Arial" w:eastAsia="Arial" w:hAnsi="Arial"/>
          <w:sz w:val="15"/>
          <w:szCs w:val="15"/>
          <w:color w:val="auto"/>
        </w:rPr>
        <w:t xml:space="preserve"> estimates the value of a company’s intangible assets and assumes that earnings in excess of a reasonable return of the net tangible assets are a product of a company’s intangible assets. The compensation committee deemed this method not to be a meaningful indication of value for the same reasons it rejected the single period capitalization method and also because our actual investment in net tangible assets is minimal.</w:t>
      </w:r>
    </w:p>
    <w:p>
      <w:pPr>
        <w:spacing w:after="0" w:line="46" w:lineRule="exact"/>
        <w:rPr>
          <w:rFonts w:ascii="Arial" w:cs="Arial" w:eastAsia="Arial" w:hAnsi="Arial"/>
          <w:sz w:val="15"/>
          <w:szCs w:val="15"/>
          <w:color w:val="auto"/>
        </w:rPr>
      </w:pPr>
    </w:p>
    <w:p>
      <w:pPr>
        <w:ind w:left="900" w:right="160" w:hanging="335"/>
        <w:spacing w:after="0" w:line="271"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comparative transaction method</w:t>
      </w:r>
      <w:r>
        <w:rPr>
          <w:rFonts w:ascii="Arial" w:cs="Arial" w:eastAsia="Arial" w:hAnsi="Arial"/>
          <w:sz w:val="17"/>
          <w:szCs w:val="17"/>
          <w:color w:val="auto"/>
        </w:rPr>
        <w:t xml:space="preserve"> derives indications of fair value from actual merger and acquisition transactions in the markets. The purchase prices in merger and acquisition transactions may be a better reflection of investment value than fair value of a target. Given the stage of our growth, the compensation committee determined a comparative transaction would not adequately reflect our value.</w:t>
      </w:r>
    </w:p>
    <w:p>
      <w:pPr>
        <w:spacing w:after="0" w:line="80" w:lineRule="exact"/>
        <w:rPr>
          <w:rFonts w:ascii="Arial" w:cs="Arial" w:eastAsia="Arial" w:hAnsi="Arial"/>
          <w:sz w:val="17"/>
          <w:szCs w:val="17"/>
          <w:color w:val="auto"/>
        </w:rPr>
      </w:pPr>
    </w:p>
    <w:p>
      <w:pPr>
        <w:ind w:left="900" w:right="460" w:hanging="335"/>
        <w:spacing w:after="0" w:line="287"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capital market method</w:t>
      </w:r>
      <w:r>
        <w:rPr>
          <w:rFonts w:ascii="Arial" w:cs="Arial" w:eastAsia="Arial" w:hAnsi="Arial"/>
          <w:sz w:val="17"/>
          <w:szCs w:val="17"/>
          <w:color w:val="auto"/>
        </w:rPr>
        <w:t xml:space="preserve"> seeks valuation guidance from prices paid by shareholders for similarly situated publicly traded companies. With the capital market method, the compensation committee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380"/>
          </w:cols>
          <w:pgMar w:left="240" w:top="448" w:right="27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40"/>
        <w:spacing w:after="0" w:line="266" w:lineRule="auto"/>
        <w:rPr>
          <w:sz w:val="20"/>
          <w:szCs w:val="20"/>
          <w:color w:val="auto"/>
        </w:rPr>
      </w:pPr>
      <w:r>
        <w:rPr>
          <w:rFonts w:ascii="Arial" w:cs="Arial" w:eastAsia="Arial" w:hAnsi="Arial"/>
          <w:sz w:val="17"/>
          <w:szCs w:val="17"/>
          <w:color w:val="auto"/>
        </w:rPr>
        <w:t>would determine an appropriate multiple to apply to our financial measures by dividing the price of a guideline company’s stock and, in some instances, the value of all invested capital, by some relative economic variable observed or calculated from such company’s financial statement. Given the stage of our growth, the compensation committee determined the application of value metrics fails to capture value that we have created but that has not yet been reflected in our operating results.</w:t>
      </w:r>
    </w:p>
    <w:p>
      <w:pPr>
        <w:spacing w:after="0" w:line="85" w:lineRule="exact"/>
        <w:rPr>
          <w:sz w:val="20"/>
          <w:szCs w:val="20"/>
          <w:color w:val="auto"/>
        </w:rPr>
      </w:pPr>
    </w:p>
    <w:p>
      <w:pPr>
        <w:ind w:left="900" w:right="280" w:hanging="335"/>
        <w:spacing w:after="0" w:line="323" w:lineRule="auto"/>
        <w:tabs>
          <w:tab w:leader="none" w:pos="9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discounted cash flow method</w:t>
      </w:r>
      <w:r>
        <w:rPr>
          <w:rFonts w:ascii="Arial" w:cs="Arial" w:eastAsia="Arial" w:hAnsi="Arial"/>
          <w:sz w:val="15"/>
          <w:szCs w:val="15"/>
          <w:color w:val="auto"/>
        </w:rPr>
        <w:t xml:space="preserve"> is based on the assumed returns from a company’s assets, and converts this into an enterprise value. The present value of a stream of benefits is obtained by a discount rate that takes into account a company’s stage of development and risks involved</w:t>
      </w:r>
      <w:r>
        <w:rPr>
          <w:rFonts w:ascii="Arial" w:cs="Arial" w:eastAsia="Arial" w:hAnsi="Arial"/>
          <w:sz w:val="15"/>
          <w:szCs w:val="15"/>
          <w:i w:val="1"/>
          <w:iCs w:val="1"/>
          <w:color w:val="auto"/>
        </w:rPr>
        <w:t>.</w:t>
      </w:r>
      <w:r>
        <w:rPr>
          <w:rFonts w:ascii="Arial" w:cs="Arial" w:eastAsia="Arial" w:hAnsi="Arial"/>
          <w:sz w:val="15"/>
          <w:szCs w:val="15"/>
          <w:color w:val="auto"/>
        </w:rPr>
        <w:t xml:space="preserve"> The compensation committee deemed this method not suitable in the instant case due to our then-recent transactions involving the sale of our securities.</w:t>
      </w:r>
    </w:p>
    <w:p>
      <w:pPr>
        <w:spacing w:after="0" w:line="13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 xml:space="preserve">In light of our placement and sale of Series F preferred stock in December 2016, the compensation committee applied the </w:t>
      </w:r>
      <w:r>
        <w:rPr>
          <w:rFonts w:ascii="Arial" w:cs="Arial" w:eastAsia="Arial" w:hAnsi="Arial"/>
          <w:sz w:val="17"/>
          <w:szCs w:val="17"/>
          <w:i w:val="1"/>
          <w:iCs w:val="1"/>
          <w:color w:val="auto"/>
        </w:rPr>
        <w:t>company transaction method</w:t>
      </w:r>
      <w:r>
        <w:rPr>
          <w:rFonts w:ascii="Arial" w:cs="Arial" w:eastAsia="Arial" w:hAnsi="Arial"/>
          <w:sz w:val="17"/>
          <w:szCs w:val="17"/>
          <w:color w:val="auto"/>
        </w:rPr>
        <w:t>, which uses the most recent negotiated arm’s-length transactions involving the sale or transfer of stock or other equity interests. In applying the company transaction method, the compensation committee used the option-pricing model, or OPM, under which shares are valued by creating a series of call options with exercise prices based on the liquidation preferences and conversion terms of each equity class. The values of preferred stock and common stock are inferred by analyzing these options.</w:t>
      </w:r>
    </w:p>
    <w:p>
      <w:pPr>
        <w:spacing w:after="0" w:line="180" w:lineRule="exact"/>
        <w:rPr>
          <w:sz w:val="20"/>
          <w:szCs w:val="20"/>
          <w:color w:val="auto"/>
        </w:rPr>
      </w:pPr>
    </w:p>
    <w:p>
      <w:pPr>
        <w:ind w:right="100" w:firstLine="457"/>
        <w:spacing w:after="0" w:line="294" w:lineRule="auto"/>
        <w:rPr>
          <w:sz w:val="20"/>
          <w:szCs w:val="20"/>
          <w:color w:val="auto"/>
        </w:rPr>
      </w:pPr>
      <w:r>
        <w:rPr>
          <w:rFonts w:ascii="Arial" w:cs="Arial" w:eastAsia="Arial" w:hAnsi="Arial"/>
          <w:sz w:val="15"/>
          <w:szCs w:val="15"/>
          <w:color w:val="auto"/>
        </w:rPr>
        <w:t>Under the company transaction method, the compensation committee analyzed equity value in the context of both an initial public offering and a sale or merger of our company. Using the OPM and the post-money value of the Series F preferred stock, it was possible to determine the implied equity value for all classes of stock. In applying the OPM, the compensation committee relied on the equity value of our company based upon the Series F preferred stock investment, which was completed at a price of $2.50 per share. This value was then used to determine the implied Class A common stock value using the OPM, considering</w:t>
      </w:r>
    </w:p>
    <w:p>
      <w:pPr>
        <w:spacing w:after="0" w:line="1" w:lineRule="exact"/>
        <w:rPr>
          <w:sz w:val="20"/>
          <w:szCs w:val="20"/>
          <w:color w:val="auto"/>
        </w:rPr>
      </w:pPr>
    </w:p>
    <w:p>
      <w:pPr>
        <w:ind w:right="40" w:firstLine="4"/>
        <w:spacing w:after="0" w:line="259" w:lineRule="auto"/>
        <w:tabs>
          <w:tab w:leader="none" w:pos="2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applicable conversion rate of 0.3333 shares of Class A common stock for each share of Series F preferred stock and (b) the claims of the various classes of equity securities. The compensation committee then applied a discount for lack of marketability to obtain the value of Class A common stock on a minority/marketable basis. The assumptions used in calculating the fair value of option grants in 2016 were a risk-free rate based on the weighted average of the one year and two year Treasury Constant Maturity Rates, expected expiration at 1.25 years from the valuation date, and expected volatility estimated at 45%. These assumptions represented the best estimates of management and the compensation committee, but the estimates necessarily involve inherent uncertainties and the application of judgment.</w:t>
      </w:r>
    </w:p>
    <w:p>
      <w:pPr>
        <w:spacing w:after="0" w:line="182" w:lineRule="exact"/>
        <w:rPr>
          <w:sz w:val="20"/>
          <w:szCs w:val="20"/>
          <w:color w:val="auto"/>
        </w:rPr>
      </w:pPr>
    </w:p>
    <w:p>
      <w:pPr>
        <w:jc w:val="both"/>
        <w:ind w:right="200" w:firstLine="457"/>
        <w:spacing w:after="0" w:line="271" w:lineRule="auto"/>
        <w:rPr>
          <w:sz w:val="20"/>
          <w:szCs w:val="20"/>
          <w:color w:val="auto"/>
        </w:rPr>
      </w:pPr>
      <w:r>
        <w:rPr>
          <w:rFonts w:ascii="Arial" w:cs="Arial" w:eastAsia="Arial" w:hAnsi="Arial"/>
          <w:sz w:val="17"/>
          <w:szCs w:val="17"/>
          <w:color w:val="auto"/>
        </w:rPr>
        <w:t>Based on the foregoing, the compensation committee determined the fair value of Class A common stock for financial reporting purposes to be $2.28 as of December 28, 2016. As a result, the exercise price of $3.00 of the stock options granted on December 28, 2016 exceeded the fair value of Class A common stock on that date.</w:t>
      </w:r>
    </w:p>
    <w:p>
      <w:pPr>
        <w:spacing w:after="0" w:line="17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On March 9, 2017, the compensation committee of the board of directors considered the fair value of the common stock. In considering the fair value, the compensation committee took into account the methodologies, approaches and assumptions provided by the Practice Aid. In accordance with the Practice Aid, the compensation committee considered the various methods for allocating the enterprise value across the classes and series of capital stock to determine the fair value of our common stock at each valuation date. Consistent with its process and analysis on December 28, 2016, the compensation committee considered, but did not use, the liquidation value, single period capitalization, excess earnings, comparative transaction, capital market and discounted cash flow methods. The compensation committee determined that the terms of a share purchase agreement being negotiated and discussed at arm’s length in March 2017 and involving the transfer of Class A common stock provided the best evidence of the fair value of the Class A common stock. In the transaction, we expected to issue, and ultimately issued, 133,334 shares of Class A common stock at a purchase price of $7.50 per share. Because this direct evidence of the fair value of the Class A common stock was available, the compensation committee did not need to apply the company transaction method.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448"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40" w:firstLine="457"/>
        <w:spacing w:after="0" w:line="357" w:lineRule="auto"/>
        <w:rPr>
          <w:sz w:val="20"/>
          <w:szCs w:val="20"/>
          <w:color w:val="auto"/>
        </w:rPr>
      </w:pPr>
      <w:r>
        <w:rPr>
          <w:rFonts w:ascii="Arial" w:cs="Arial" w:eastAsia="Arial" w:hAnsi="Arial"/>
          <w:sz w:val="15"/>
          <w:szCs w:val="15"/>
          <w:color w:val="auto"/>
        </w:rPr>
        <w:t>Based on the foregoing, the compensation committee determined the fair value of Class A common stock for financial reporting purposes to be $7.50 as of March 9, 2017. As a result, the exercise price of $7.50 of the stock option granted on March 9, 2017 equaled the fair value of Class A common stock on that date.</w:t>
      </w:r>
    </w:p>
    <w:p>
      <w:pPr>
        <w:spacing w:after="0" w:line="113" w:lineRule="exact"/>
        <w:rPr>
          <w:sz w:val="20"/>
          <w:szCs w:val="20"/>
          <w:color w:val="auto"/>
        </w:rPr>
      </w:pPr>
    </w:p>
    <w:p>
      <w:pPr>
        <w:ind w:right="40" w:firstLine="457"/>
        <w:spacing w:after="0" w:line="298" w:lineRule="auto"/>
        <w:rPr>
          <w:sz w:val="20"/>
          <w:szCs w:val="20"/>
          <w:color w:val="auto"/>
        </w:rPr>
      </w:pPr>
      <w:r>
        <w:rPr>
          <w:rFonts w:ascii="Arial" w:cs="Arial" w:eastAsia="Arial" w:hAnsi="Arial"/>
          <w:sz w:val="15"/>
          <w:szCs w:val="15"/>
          <w:color w:val="auto"/>
        </w:rPr>
        <w:t>On May 9, 2017, the compensation committee of the board of directors considered the fair value of the common stock. In considering the fair value, the compensation committee took into account the methodologies, approaches and assumptions provided by the Practice Aid. In accordance with the Practice Aid, the compensation committee considered the various methods for allocating the enterprise value across the classes and series of capital stock to determine the fair value of our common stock at each valuation date. Consistent with its process and analysis on December 28, 2016 and March 9, 2017, the compensation committee considered, but did not use, the liquidation value, single period capitalization, excess earnings, comparative transaction, capital market and discounted cash flow methods. The compensation committee determined that the terms of the share purchase agreement considered in connection with the option grants on March 9, 2017, but still being negotiated as of May 9, 2017, provided the best evidence of the fair value of the Class A common stock. Pursuant to this proposed agreement, we continued to contemplate the issuance and sale of 133,334 shares of Class A common stock at a purchase price of $7.50 per share. Because this direct evidence of the fair value of the Class A common stock was available, the compensation committee did not need to apply the company transaction method.</w:t>
      </w:r>
    </w:p>
    <w:p>
      <w:pPr>
        <w:spacing w:after="0" w:line="158" w:lineRule="exact"/>
        <w:rPr>
          <w:sz w:val="20"/>
          <w:szCs w:val="20"/>
          <w:color w:val="auto"/>
        </w:rPr>
      </w:pPr>
    </w:p>
    <w:p>
      <w:pPr>
        <w:ind w:right="160" w:firstLine="457"/>
        <w:spacing w:after="0" w:line="357" w:lineRule="auto"/>
        <w:rPr>
          <w:sz w:val="20"/>
          <w:szCs w:val="20"/>
          <w:color w:val="auto"/>
        </w:rPr>
      </w:pPr>
      <w:r>
        <w:rPr>
          <w:rFonts w:ascii="Arial" w:cs="Arial" w:eastAsia="Arial" w:hAnsi="Arial"/>
          <w:sz w:val="15"/>
          <w:szCs w:val="15"/>
          <w:color w:val="auto"/>
        </w:rPr>
        <w:t>Based on the foregoing, the compensation committee determined the fair value of Class A common stock for financial reporting purposes to be $7.50 as of May 9, 2017. As a result, the exercise price of $7.50 of the stock option granted on May 9, 2017 equaled the fair value of Class A common stock on that date.</w:t>
      </w:r>
    </w:p>
    <w:p>
      <w:pPr>
        <w:spacing w:after="0" w:line="113"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Since May 9, 2017, the compensation committee has not granted any options, but has allocated 120,002 shares of Class A common stock for options to be granted to employees on the date that this registration statement, of which this prospectus forms a part, is declared effective, at an exercise price per share equal to the initial public offering price of the offering made hereby.</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Inventory</w:t>
      </w:r>
    </w:p>
    <w:p>
      <w:pPr>
        <w:spacing w:after="0" w:line="117"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at June 30, 2017 and at the lower of cost and market value of the inventory at December 31, 2016 and 2015.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8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180" w:lineRule="exact"/>
        <w:rPr>
          <w:sz w:val="20"/>
          <w:szCs w:val="20"/>
          <w:color w:val="auto"/>
        </w:rPr>
      </w:pPr>
    </w:p>
    <w:p>
      <w:pPr>
        <w:ind w:right="40" w:firstLine="457"/>
        <w:spacing w:after="0" w:line="357" w:lineRule="auto"/>
        <w:rPr>
          <w:sz w:val="20"/>
          <w:szCs w:val="20"/>
          <w:color w:val="auto"/>
        </w:rPr>
      </w:pPr>
      <w:r>
        <w:rPr>
          <w:rFonts w:ascii="Arial" w:cs="Arial" w:eastAsia="Arial" w:hAnsi="Arial"/>
          <w:sz w:val="15"/>
          <w:szCs w:val="15"/>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17"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80"/>
          </w:cols>
          <w:pgMar w:left="240" w:top="448" w:right="2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17" w:lineRule="exact"/>
        <w:rPr>
          <w:sz w:val="20"/>
          <w:szCs w:val="20"/>
          <w:color w:val="auto"/>
        </w:rPr>
      </w:pPr>
    </w:p>
    <w:p>
      <w:pPr>
        <w:ind w:right="200" w:firstLine="457"/>
        <w:spacing w:after="0" w:line="357" w:lineRule="auto"/>
        <w:rPr>
          <w:sz w:val="20"/>
          <w:szCs w:val="20"/>
          <w:color w:val="auto"/>
        </w:rPr>
      </w:pPr>
      <w:r>
        <w:rPr>
          <w:rFonts w:ascii="Arial" w:cs="Arial" w:eastAsia="Arial" w:hAnsi="Arial"/>
          <w:sz w:val="15"/>
          <w:szCs w:val="15"/>
          <w:color w:val="auto"/>
        </w:rPr>
        <w:t>Direct costs attributable to this offering have been deferred and recorded in other current assets and will be offset against the gross proceeds received from this offering. At June 30, 2017 and December 30, 2016 and 2015, deferred costs attributable to this offering were $797,000, $41,000 and $0, respectively.</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117"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7" w:lineRule="exact"/>
        <w:rPr>
          <w:sz w:val="20"/>
          <w:szCs w:val="20"/>
          <w:color w:val="auto"/>
        </w:rPr>
      </w:pPr>
    </w:p>
    <w:p>
      <w:pPr>
        <w:ind w:right="500" w:firstLine="457"/>
        <w:spacing w:after="0" w:line="320" w:lineRule="auto"/>
        <w:rPr>
          <w:sz w:val="20"/>
          <w:szCs w:val="20"/>
          <w:color w:val="auto"/>
        </w:rPr>
      </w:pPr>
      <w:r>
        <w:rPr>
          <w:rFonts w:ascii="Arial" w:cs="Arial" w:eastAsia="Arial" w:hAnsi="Arial"/>
          <w:sz w:val="16"/>
          <w:szCs w:val="16"/>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Valuation of Long-Lived Assets</w:t>
      </w:r>
    </w:p>
    <w:p>
      <w:pPr>
        <w:spacing w:after="0" w:line="117" w:lineRule="exact"/>
        <w:rPr>
          <w:sz w:val="20"/>
          <w:szCs w:val="20"/>
          <w:color w:val="auto"/>
        </w:rPr>
      </w:pPr>
    </w:p>
    <w:p>
      <w:pPr>
        <w:ind w:right="160" w:firstLine="457"/>
        <w:spacing w:after="0" w:line="307" w:lineRule="auto"/>
        <w:rPr>
          <w:sz w:val="20"/>
          <w:szCs w:val="20"/>
          <w:color w:val="auto"/>
        </w:rPr>
      </w:pPr>
      <w:r>
        <w:rPr>
          <w:rFonts w:ascii="Arial" w:cs="Arial" w:eastAsia="Arial" w:hAnsi="Arial"/>
          <w:sz w:val="15"/>
          <w:szCs w:val="15"/>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2015, 2016 and the six months ended June 30, 2017.</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80" w:lineRule="exact"/>
        <w:rPr>
          <w:sz w:val="20"/>
          <w:szCs w:val="20"/>
          <w:color w:val="auto"/>
        </w:rPr>
      </w:pPr>
    </w:p>
    <w:p>
      <w:pPr>
        <w:jc w:val="both"/>
        <w:ind w:right="80" w:firstLine="457"/>
        <w:spacing w:after="0" w:line="266" w:lineRule="auto"/>
        <w:rPr>
          <w:sz w:val="20"/>
          <w:szCs w:val="20"/>
          <w:color w:val="auto"/>
        </w:rPr>
      </w:pPr>
      <w:r>
        <w:rPr>
          <w:rFonts w:ascii="Arial" w:cs="Arial" w:eastAsia="Arial" w:hAnsi="Arial"/>
          <w:sz w:val="17"/>
          <w:szCs w:val="17"/>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448" w:right="2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We maintained a partial valuation allowance as of December 31, 2016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72"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17"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 xml:space="preserve">Our consolidated financial statements are presented in U.S. dollars, which is our reporting currency, while the functional currency of our subsidiaries in the PRC is RMB.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5"/>
          <w:szCs w:val="15"/>
          <w:i w:val="1"/>
          <w:iCs w:val="1"/>
          <w:color w:val="auto"/>
        </w:rPr>
        <w:t>Foreign Currency Matters</w:t>
      </w:r>
      <w:r>
        <w:rPr>
          <w:rFonts w:ascii="Arial" w:cs="Arial" w:eastAsia="Arial" w:hAnsi="Arial"/>
          <w:sz w:val="15"/>
          <w:szCs w:val="15"/>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58" w:lineRule="exact"/>
        <w:rPr>
          <w:sz w:val="20"/>
          <w:szCs w:val="20"/>
          <w:color w:val="auto"/>
        </w:rPr>
      </w:pPr>
    </w:p>
    <w:p>
      <w:pPr>
        <w:ind w:right="300" w:firstLine="457"/>
        <w:spacing w:after="0" w:line="320"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Warranty</w:t>
      </w:r>
    </w:p>
    <w:p>
      <w:pPr>
        <w:spacing w:after="0" w:line="11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have provided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description summarizes recent accounting pronouncements that we have adopted or will be required to adopt in the future.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448" w:right="2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In July 2017 the FASB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ASU No. 2017-11, </w:t>
      </w:r>
      <w:r>
        <w:rPr>
          <w:rFonts w:ascii="Arial" w:cs="Arial" w:eastAsia="Arial" w:hAnsi="Arial"/>
          <w:sz w:val="16"/>
          <w:szCs w:val="16"/>
          <w:i w:val="1"/>
          <w:iCs w:val="1"/>
          <w:color w:val="auto"/>
        </w:rPr>
        <w:t>Earnings Per Share (Topic 260); Distinguishing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Equity (Topic 480); Derivatives and Hedging (Topic 815)</w:t>
      </w:r>
      <w:r>
        <w:rPr>
          <w:rFonts w:ascii="Arial" w:cs="Arial" w:eastAsia="Arial" w:hAnsi="Arial"/>
          <w:sz w:val="16"/>
          <w:szCs w:val="16"/>
          <w:color w:val="auto"/>
        </w:rPr>
        <w:t>:</w:t>
      </w:r>
      <w:r>
        <w:rPr>
          <w:rFonts w:ascii="Arial" w:cs="Arial" w:eastAsia="Arial" w:hAnsi="Arial"/>
          <w:sz w:val="16"/>
          <w:szCs w:val="16"/>
          <w:i w:val="1"/>
          <w:iCs w:val="1"/>
          <w:color w:val="auto"/>
        </w:rPr>
        <w:t xml:space="preserve">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which addresses the complexity of accounting for certain financial instruments with down round features. Down round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We are currently evaluating the impact of adoption of ASU 2017-11.</w:t>
      </w:r>
    </w:p>
    <w:p>
      <w:pPr>
        <w:spacing w:after="0" w:line="17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which provides guidance on determining which changes to the terms or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(a) public business entities for reporting periods for which financial statements have not yet been issued and (b) all other entities for reporting periods for which financial statements have not yet been made available for issuance. The amendments in this ASU should be applied prospectively to an award modified on or after the adoption date. We do not expect the adoption of ASU No. 2017-09 to have a material impact on our consolidated financial statements.</w:t>
      </w:r>
    </w:p>
    <w:p>
      <w:pPr>
        <w:spacing w:after="0" w:line="181" w:lineRule="exact"/>
        <w:rPr>
          <w:sz w:val="20"/>
          <w:szCs w:val="20"/>
          <w:color w:val="auto"/>
        </w:rPr>
      </w:pPr>
    </w:p>
    <w:p>
      <w:pPr>
        <w:ind w:right="100" w:firstLine="457"/>
        <w:spacing w:after="0" w:line="260"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Asset Derecognition Guidance and Accounting for Partial Sales of Nonfinancial Assets, </w:t>
      </w:r>
      <w:r>
        <w:rPr>
          <w:rFonts w:ascii="Arial" w:cs="Arial" w:eastAsia="Arial" w:hAnsi="Arial"/>
          <w:sz w:val="17"/>
          <w:szCs w:val="17"/>
          <w:color w:val="auto"/>
        </w:rPr>
        <w:t>which clarifies the scope of nonfinancial asset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We do not expect the adoption of ASU No. 2017-05 to have a material impact on our consolidated financial statements.</w:t>
      </w:r>
    </w:p>
    <w:p>
      <w:pPr>
        <w:spacing w:after="0" w:line="18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We do not expect the adoption of ASU No. 2016-18 to have a material impact on our consolidated financial statements.</w:t>
      </w:r>
    </w:p>
    <w:p>
      <w:pPr>
        <w:spacing w:after="0" w:line="181" w:lineRule="exact"/>
        <w:rPr>
          <w:sz w:val="20"/>
          <w:szCs w:val="20"/>
          <w:color w:val="auto"/>
        </w:rPr>
      </w:pPr>
    </w:p>
    <w:p>
      <w:pPr>
        <w:ind w:right="40" w:firstLine="457"/>
        <w:spacing w:after="0" w:line="296"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48"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We are currently evaluating the impact of the adoption of ASU No. 2016-18 on our consolidated financial statements.</w:t>
      </w:r>
    </w:p>
    <w:p>
      <w:pPr>
        <w:spacing w:after="0" w:line="176"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 xml:space="preserve">In August 2016 the FASB issued Accounting Standards Update, or ASU, No. 2016-15, </w:t>
      </w:r>
      <w:r>
        <w:rPr>
          <w:rFonts w:ascii="Arial" w:cs="Arial" w:eastAsia="Arial" w:hAnsi="Arial"/>
          <w:sz w:val="15"/>
          <w:szCs w:val="15"/>
          <w:i w:val="1"/>
          <w:iCs w:val="1"/>
          <w:color w:val="auto"/>
        </w:rPr>
        <w:t>Statement of Cash Flows (Topic 230): Classification of Certain Cash</w:t>
      </w:r>
      <w:r>
        <w:rPr>
          <w:rFonts w:ascii="Arial" w:cs="Arial" w:eastAsia="Arial" w:hAnsi="Arial"/>
          <w:sz w:val="15"/>
          <w:szCs w:val="15"/>
          <w:color w:val="auto"/>
        </w:rPr>
        <w:t xml:space="preserve"> </w:t>
      </w:r>
      <w:r>
        <w:rPr>
          <w:rFonts w:ascii="Arial" w:cs="Arial" w:eastAsia="Arial" w:hAnsi="Arial"/>
          <w:sz w:val="15"/>
          <w:szCs w:val="15"/>
          <w:i w:val="1"/>
          <w:iCs w:val="1"/>
          <w:color w:val="auto"/>
        </w:rPr>
        <w:t>Receipts and Cash Payments</w:t>
      </w:r>
      <w:r>
        <w:rPr>
          <w:rFonts w:ascii="Arial" w:cs="Arial" w:eastAsia="Arial" w:hAnsi="Arial"/>
          <w:sz w:val="15"/>
          <w:szCs w:val="15"/>
          <w:color w:val="auto"/>
        </w:rPr>
        <w:t>, which addresses the following cash flow issues: (a) debt prepayment or debt extinguishment costs; (b) settlement of zero-coupon debt</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instruments or other debt instruments with coupon interest rates that are insignificant in relation to the effective interest rate of the borrowing; (c) contingent consideration payments made after a business combination; (d) proceeds from the settlement of insurance claims; (e) proceeds from the settlement of corporate-owned life insurance policies, including bank-owned life insurance policies; (f) distributions received from equity method investees; (g) beneficial interests in securitization transactions; and (h)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We are currently evaluating the impact of the adoption of ASU No. 2016-15 on our consolidated financial statements.</w:t>
      </w:r>
    </w:p>
    <w:p>
      <w:pPr>
        <w:spacing w:after="0" w:line="158" w:lineRule="exact"/>
        <w:rPr>
          <w:sz w:val="20"/>
          <w:szCs w:val="20"/>
          <w:color w:val="auto"/>
        </w:rPr>
      </w:pPr>
    </w:p>
    <w:p>
      <w:pPr>
        <w:ind w:right="180" w:firstLine="457"/>
        <w:spacing w:after="0" w:line="294" w:lineRule="auto"/>
        <w:rPr>
          <w:sz w:val="20"/>
          <w:szCs w:val="20"/>
          <w:color w:val="auto"/>
        </w:rPr>
      </w:pPr>
      <w:r>
        <w:rPr>
          <w:rFonts w:ascii="Arial" w:cs="Arial" w:eastAsia="Arial" w:hAnsi="Arial"/>
          <w:sz w:val="15"/>
          <w:szCs w:val="15"/>
          <w:color w:val="auto"/>
        </w:rPr>
        <w:t xml:space="preserve">In April 2016 the FASB issued ASU No. 2016-09, </w:t>
      </w:r>
      <w:r>
        <w:rPr>
          <w:rFonts w:ascii="Arial" w:cs="Arial" w:eastAsia="Arial" w:hAnsi="Arial"/>
          <w:sz w:val="15"/>
          <w:szCs w:val="15"/>
          <w:i w:val="1"/>
          <w:iCs w:val="1"/>
          <w:color w:val="auto"/>
        </w:rPr>
        <w:t>Compensation—Stock Compensation (Topic 718): Improvements to 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w:t>
      </w:r>
      <w:r>
        <w:rPr>
          <w:rFonts w:ascii="Arial" w:cs="Arial" w:eastAsia="Arial" w:hAnsi="Arial"/>
          <w:sz w:val="15"/>
          <w:szCs w:val="15"/>
          <w:color w:val="auto"/>
        </w:rPr>
        <w:t>, which simplifies several aspects of the accounting for employee stock-based payment transactions. The areas for simplification in ASU No. 2016-09</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The adoption of ASU</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 2016-09 did not have a material impact on our consolidated financial statements.</w:t>
      </w:r>
    </w:p>
    <w:p>
      <w:pPr>
        <w:spacing w:after="0" w:line="20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amendments in this update create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supersede the leases requirements in Topic 840, </w:t>
      </w:r>
      <w:r>
        <w:rPr>
          <w:rFonts w:ascii="Arial" w:cs="Arial" w:eastAsia="Arial" w:hAnsi="Arial"/>
          <w:sz w:val="15"/>
          <w:szCs w:val="15"/>
          <w:i w:val="1"/>
          <w:iCs w:val="1"/>
          <w:color w:val="auto"/>
        </w:rPr>
        <w:t>Leases</w:t>
      </w:r>
      <w:r>
        <w:rPr>
          <w:rFonts w:ascii="Arial" w:cs="Arial" w:eastAsia="Arial" w:hAnsi="Arial"/>
          <w:sz w:val="15"/>
          <w:szCs w:val="15"/>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We are currently evaluating the impact of the adoption of ASU No. 2016-02 on our consolidated financial statements.</w:t>
      </w:r>
    </w:p>
    <w:p>
      <w:pPr>
        <w:spacing w:after="0" w:line="160"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448" w:right="2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our consolidated financial statements.</w:t>
      </w:r>
    </w:p>
    <w:p>
      <w:pPr>
        <w:spacing w:after="0" w:line="172"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 xml:space="preserve">In July 2015 the FASB issued ASU No.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our consolidated financial statements. The relevant descriptions have been included in the inventory accounting policy.</w:t>
      </w:r>
    </w:p>
    <w:p>
      <w:pPr>
        <w:spacing w:after="0" w:line="171"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The amendments in this update require management to evaluate whether there are conditions and events that raise substantial doubt about an entity’s ability to continue as a going concern for both annual and interim reporting. The guidance is effective for us for the annual period ended after December 15, 2016 and interim periods thereafter. Management performed an evaluation of the our ability to fund operations and to continue as a going concern according to ASC Topic 205-40, </w:t>
      </w:r>
      <w:r>
        <w:rPr>
          <w:rFonts w:ascii="Arial" w:cs="Arial" w:eastAsia="Arial" w:hAnsi="Arial"/>
          <w:sz w:val="16"/>
          <w:szCs w:val="16"/>
          <w:i w:val="1"/>
          <w:iCs w:val="1"/>
          <w:color w:val="auto"/>
        </w:rPr>
        <w:t>Presentation of Financial Statements—Going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The adoption of ASU No. 2014-15 did not have a material impact on our consolidated financial statements.</w:t>
      </w:r>
    </w:p>
    <w:p>
      <w:pPr>
        <w:spacing w:after="0" w:line="163" w:lineRule="exact"/>
        <w:rPr>
          <w:sz w:val="20"/>
          <w:szCs w:val="20"/>
          <w:color w:val="auto"/>
        </w:rPr>
      </w:pPr>
    </w:p>
    <w:p>
      <w:pPr>
        <w:ind w:right="140" w:firstLine="457"/>
        <w:spacing w:after="0" w:line="27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ASU No. 2014-09 supersedes the revenue recognition requirements in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xml:space="preserve"> and requires entities to recognize revenue when it transfers promised goods or services to customers in an amount that reflects the consideration to which the entity expects to be entitled in exchange for those goods or services. The FASB issued</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6"/>
          <w:szCs w:val="16"/>
          <w:i w:val="1"/>
          <w:iCs w:val="1"/>
          <w:color w:val="auto"/>
        </w:rPr>
        <w:t>Revenue from Contracts with Customers (Topic 606): 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(Reporting Revenue Gross versus Net)</w:t>
      </w:r>
      <w:r>
        <w:rPr>
          <w:rFonts w:ascii="Arial" w:cs="Arial" w:eastAsia="Arial" w:hAnsi="Arial"/>
          <w:sz w:val="16"/>
          <w:szCs w:val="16"/>
          <w:color w:val="auto"/>
        </w:rPr>
        <w:t>, 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8"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 changes to make minor corrections or minor improvements to the ASC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We will adopt ASU No. 2014-09, ASU No. 2016-08, ASU</w:t>
      </w:r>
    </w:p>
    <w:p>
      <w:pPr>
        <w:ind w:right="240"/>
        <w:spacing w:after="0" w:line="258" w:lineRule="auto"/>
        <w:rPr>
          <w:sz w:val="20"/>
          <w:szCs w:val="20"/>
          <w:color w:val="auto"/>
        </w:rPr>
      </w:pPr>
      <w:r>
        <w:rPr>
          <w:rFonts w:ascii="Arial" w:cs="Arial" w:eastAsia="Arial" w:hAnsi="Arial"/>
          <w:sz w:val="17"/>
          <w:szCs w:val="17"/>
          <w:color w:val="auto"/>
        </w:rPr>
        <w:t xml:space="preserve">No. 2016-10, ASU No. 2016-12 and ASU No. 2016-20 at January 1, 2018 if this offering is completed by December 31, 2017. We are currently in the process of assessing the potential effects of these ASUs on our consolidated financial statements, business processes, systems and controls. While the assessment process is ongoing, we anticipate adopting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using the modified retrospective transition approach. Under this approach, ASC Topic 606 would apply to all new contracts initiated on or after January 1, 2018. For existing contracts that have remaining obligations as of January 1, 2018, any difference between the recognition criteria in these ASUs and our current revenue recognition practices would be recognized using a cumulative effect adjustment to the opening balance of accumulated deficit. We do not expect the adoption of these ASUs to have a material impact on our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results of operations for the periods presented, as percentages of revenue.</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w w:val="96"/>
              </w:rPr>
              <w:t>June 30,</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4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4"/>
              <w:spacing w:after="0" w:line="137"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20" w:type="dxa"/>
            <w:vAlign w:val="bottom"/>
            <w:gridSpan w:val="4"/>
          </w:tcPr>
          <w:p>
            <w:pPr>
              <w:ind w:left="80"/>
              <w:spacing w:after="0" w:line="137" w:lineRule="exact"/>
              <w:rPr>
                <w:sz w:val="20"/>
                <w:szCs w:val="20"/>
                <w:color w:val="auto"/>
              </w:rPr>
            </w:pPr>
            <w:r>
              <w:rPr>
                <w:rFonts w:ascii="Arial" w:cs="Arial" w:eastAsia="Arial" w:hAnsi="Arial"/>
                <w:sz w:val="14"/>
                <w:szCs w:val="14"/>
                <w:i w:val="1"/>
                <w:iCs w:val="1"/>
                <w:color w:val="auto"/>
              </w:rPr>
              <w:t>(percentage of revenue)</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280" w:type="dxa"/>
            <w:vAlign w:val="bottom"/>
            <w:gridSpan w:val="3"/>
            <w:shd w:val="clear" w:color="auto" w:fill="CCEEFF"/>
          </w:tcPr>
          <w:p>
            <w:pPr>
              <w:jc w:val="right"/>
              <w:ind w:right="431"/>
              <w:spacing w:after="0"/>
              <w:rPr>
                <w:sz w:val="20"/>
                <w:szCs w:val="20"/>
                <w:color w:val="auto"/>
              </w:rPr>
            </w:pPr>
            <w:r>
              <w:rPr>
                <w:rFonts w:ascii="Arial" w:cs="Arial" w:eastAsia="Arial" w:hAnsi="Arial"/>
                <w:sz w:val="17"/>
                <w:szCs w:val="17"/>
                <w:color w:val="auto"/>
              </w:rPr>
              <w:t>100.0%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100.0%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7"/>
                <w:szCs w:val="17"/>
                <w:color w:val="auto"/>
              </w:rPr>
              <w:t>Cost of revenue</w:t>
            </w:r>
          </w:p>
        </w:tc>
        <w:tc>
          <w:tcPr>
            <w:tcW w:w="12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w:t>
            </w:r>
          </w:p>
        </w:tc>
        <w:tc>
          <w:tcPr>
            <w:tcW w:w="6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6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6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margin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7"/>
                <w:szCs w:val="17"/>
                <w:color w:val="auto"/>
              </w:rPr>
              <w:t>Operating expenses:</w:t>
            </w:r>
          </w:p>
        </w:tc>
        <w:tc>
          <w:tcPr>
            <w:tcW w:w="1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13.0</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18.3</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11.9</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1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6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6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6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700"/>
              <w:spacing w:after="0"/>
              <w:rPr>
                <w:sz w:val="20"/>
                <w:szCs w:val="20"/>
                <w:color w:val="auto"/>
              </w:rPr>
            </w:pPr>
            <w:r>
              <w:rPr>
                <w:rFonts w:ascii="Arial" w:cs="Arial" w:eastAsia="Arial" w:hAnsi="Arial"/>
                <w:sz w:val="17"/>
                <w:szCs w:val="17"/>
                <w:color w:val="auto"/>
              </w:rPr>
              <w:t>Total operating expenses, net</w:t>
            </w:r>
          </w:p>
        </w:tc>
        <w:tc>
          <w:tcPr>
            <w:tcW w:w="12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w:t>
            </w:r>
          </w:p>
        </w:tc>
        <w:tc>
          <w:tcPr>
            <w:tcW w:w="6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w:t>
            </w:r>
          </w:p>
        </w:tc>
        <w:tc>
          <w:tcPr>
            <w:tcW w:w="6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6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Income (loss) from operations</w:t>
            </w:r>
          </w:p>
        </w:tc>
        <w:tc>
          <w:tcPr>
            <w:tcW w:w="2280" w:type="dxa"/>
            <w:vAlign w:val="bottom"/>
            <w:gridSpan w:val="3"/>
            <w:shd w:val="clear" w:color="auto" w:fill="CCEEFF"/>
          </w:tcPr>
          <w:p>
            <w:pPr>
              <w:jc w:val="right"/>
              <w:ind w:right="511"/>
              <w:spacing w:after="0"/>
              <w:rPr>
                <w:sz w:val="20"/>
                <w:szCs w:val="20"/>
                <w:color w:val="auto"/>
              </w:rPr>
            </w:pPr>
            <w:r>
              <w:rPr>
                <w:rFonts w:ascii="Arial" w:cs="Arial" w:eastAsia="Arial" w:hAnsi="Arial"/>
                <w:sz w:val="17"/>
                <w:szCs w:val="17"/>
                <w:color w:val="auto"/>
              </w:rPr>
              <w:t>(12.2)</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(19.3)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7"/>
                <w:szCs w:val="17"/>
                <w:color w:val="auto"/>
              </w:rPr>
              <w:t>Interest expense, net</w:t>
            </w:r>
          </w:p>
        </w:tc>
        <w:tc>
          <w:tcPr>
            <w:tcW w:w="2280" w:type="dxa"/>
            <w:vAlign w:val="bottom"/>
            <w:gridSpan w:val="3"/>
          </w:tcPr>
          <w:p>
            <w:pPr>
              <w:jc w:val="right"/>
              <w:ind w:right="511"/>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(0.6)</w:t>
            </w:r>
          </w:p>
        </w:tc>
        <w:tc>
          <w:tcPr>
            <w:tcW w:w="1040" w:type="dxa"/>
            <w:vAlign w:val="bottom"/>
            <w:gridSpan w:val="2"/>
          </w:tcPr>
          <w:p>
            <w:pPr>
              <w:jc w:val="right"/>
              <w:ind w:right="540"/>
              <w:spacing w:after="0"/>
              <w:rPr>
                <w:sz w:val="20"/>
                <w:szCs w:val="20"/>
                <w:color w:val="auto"/>
              </w:rPr>
            </w:pPr>
            <w:r>
              <w:rPr>
                <w:rFonts w:ascii="Arial" w:cs="Arial" w:eastAsia="Arial" w:hAnsi="Arial"/>
                <w:sz w:val="17"/>
                <w:szCs w:val="17"/>
                <w:color w:val="auto"/>
              </w:rPr>
              <w:t>(0.6)</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(2.0)</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700"/>
              <w:spacing w:after="0"/>
              <w:rPr>
                <w:sz w:val="20"/>
                <w:szCs w:val="20"/>
                <w:color w:val="auto"/>
              </w:rPr>
            </w:pPr>
            <w:r>
              <w:rPr>
                <w:rFonts w:ascii="Arial" w:cs="Arial" w:eastAsia="Arial" w:hAnsi="Arial"/>
                <w:sz w:val="17"/>
                <w:szCs w:val="17"/>
                <w:color w:val="auto"/>
              </w:rPr>
              <w:t>Income (loss) before income taxes</w:t>
            </w: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511"/>
              <w:spacing w:after="0"/>
              <w:rPr>
                <w:sz w:val="20"/>
                <w:szCs w:val="20"/>
                <w:color w:val="auto"/>
              </w:rPr>
            </w:pPr>
            <w:r>
              <w:rPr>
                <w:rFonts w:ascii="Arial" w:cs="Arial" w:eastAsia="Arial" w:hAnsi="Arial"/>
                <w:sz w:val="17"/>
                <w:szCs w:val="17"/>
                <w:color w:val="auto"/>
              </w:rPr>
              <w:t>(15.3)</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(13.7)</w:t>
            </w:r>
          </w:p>
        </w:tc>
        <w:tc>
          <w:tcPr>
            <w:tcW w:w="440" w:type="dxa"/>
            <w:vAlign w:val="bottom"/>
          </w:tcPr>
          <w:p>
            <w:pPr>
              <w:jc w:val="right"/>
              <w:spacing w:after="0"/>
              <w:rPr>
                <w:sz w:val="20"/>
                <w:szCs w:val="20"/>
                <w:color w:val="auto"/>
              </w:rPr>
            </w:pPr>
            <w:r>
              <w:rPr>
                <w:rFonts w:ascii="Arial" w:cs="Arial" w:eastAsia="Arial" w:hAnsi="Arial"/>
                <w:sz w:val="17"/>
                <w:szCs w:val="17"/>
                <w:color w:val="auto"/>
              </w:rPr>
              <w:t>10.9</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(5.2)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700"/>
              <w:spacing w:after="0"/>
              <w:rPr>
                <w:sz w:val="20"/>
                <w:szCs w:val="20"/>
                <w:color w:val="auto"/>
              </w:rPr>
            </w:pPr>
            <w:r>
              <w:rPr>
                <w:rFonts w:ascii="Arial" w:cs="Arial" w:eastAsia="Arial" w:hAnsi="Arial"/>
                <w:sz w:val="17"/>
                <w:szCs w:val="17"/>
                <w:color w:val="auto"/>
              </w:rPr>
              <w:t>Net income (loss)</w:t>
            </w: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511"/>
              <w:spacing w:after="0"/>
              <w:rPr>
                <w:sz w:val="20"/>
                <w:szCs w:val="20"/>
                <w:color w:val="auto"/>
              </w:rPr>
            </w:pPr>
            <w:r>
              <w:rPr>
                <w:rFonts w:ascii="Arial" w:cs="Arial" w:eastAsia="Arial" w:hAnsi="Arial"/>
                <w:sz w:val="17"/>
                <w:szCs w:val="17"/>
                <w:color w:val="auto"/>
              </w:rPr>
              <w:t>(20.5)</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(12.8)</w:t>
            </w:r>
          </w:p>
        </w:tc>
        <w:tc>
          <w:tcPr>
            <w:tcW w:w="440" w:type="dxa"/>
            <w:vAlign w:val="bottom"/>
          </w:tcPr>
          <w:p>
            <w:pPr>
              <w:jc w:val="right"/>
              <w:spacing w:after="0"/>
              <w:rPr>
                <w:sz w:val="20"/>
                <w:szCs w:val="20"/>
                <w:color w:val="auto"/>
              </w:rPr>
            </w:pPr>
            <w:r>
              <w:rPr>
                <w:rFonts w:ascii="Arial" w:cs="Arial" w:eastAsia="Arial" w:hAnsi="Arial"/>
                <w:sz w:val="17"/>
                <w:szCs w:val="17"/>
                <w:color w:val="auto"/>
              </w:rPr>
              <w:t>8.7</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w w:val="96"/>
              </w:rPr>
              <w:t>Less: Net income (loss) attributable to non-controlling interests</w:t>
            </w: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(1.4)</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(5.9)</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700"/>
              <w:spacing w:after="0"/>
              <w:rPr>
                <w:sz w:val="20"/>
                <w:szCs w:val="20"/>
                <w:color w:val="auto"/>
              </w:rPr>
            </w:pPr>
            <w:r>
              <w:rPr>
                <w:rFonts w:ascii="Arial" w:cs="Arial" w:eastAsia="Arial" w:hAnsi="Arial"/>
                <w:sz w:val="17"/>
                <w:szCs w:val="17"/>
                <w:color w:val="auto"/>
                <w:w w:val="96"/>
              </w:rPr>
              <w:t>Net income (loss) attributable to ACM Research, Inc.</w:t>
            </w: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371"/>
              <w:spacing w:after="0"/>
              <w:rPr>
                <w:sz w:val="20"/>
                <w:szCs w:val="20"/>
                <w:color w:val="auto"/>
              </w:rPr>
            </w:pPr>
            <w:r>
              <w:rPr>
                <w:rFonts w:ascii="Arial" w:cs="Arial" w:eastAsia="Arial" w:hAnsi="Arial"/>
                <w:sz w:val="17"/>
                <w:szCs w:val="17"/>
                <w:color w:val="auto"/>
              </w:rPr>
              <w:t>(19.1)%</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(6.9)%</w:t>
            </w: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3.8%</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0" w:type="dxa"/>
            <w:vAlign w:val="bottom"/>
            <w:vMerge w:val="restart"/>
          </w:tcPr>
          <w:p>
            <w:pPr>
              <w:jc w:val="right"/>
              <w:ind w:right="793"/>
              <w:spacing w:after="0"/>
              <w:rPr>
                <w:sz w:val="20"/>
                <w:szCs w:val="20"/>
                <w:color w:val="auto"/>
              </w:rPr>
            </w:pPr>
            <w:r>
              <w:rPr>
                <w:rFonts w:ascii="Arial" w:cs="Arial" w:eastAsia="Arial" w:hAnsi="Arial"/>
                <w:sz w:val="17"/>
                <w:szCs w:val="17"/>
                <w:color w:val="auto"/>
              </w:rPr>
              <w:t>76</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5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Six Months Ended June 30, 2017 and 2016</w:t>
      </w:r>
    </w:p>
    <w:p>
      <w:pPr>
        <w:spacing w:after="0" w:line="32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Revenue</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68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center"/>
              <w:ind w:right="525"/>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111"/>
              <w:spacing w:after="0" w:line="137"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auto"/>
            </w:tcBorders>
          </w:tcPr>
          <w:p>
            <w:pPr>
              <w:jc w:val="right"/>
              <w:ind w:right="25"/>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720" w:type="dxa"/>
            <w:vAlign w:val="bottom"/>
            <w:gridSpan w:val="2"/>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$14,423</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$8,122</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increase in revenue of $6.3 million in the six months ended June 30, 2017 reflected increases in revenue from single-wafer cleaning equipment of $5.0 million and from advanced packaging equipment of $1.1 million. Our revenue in the six months ended June 30, 2017 compared to the corresponding period of 2016 reflected sales of $4.5 million to two new customers and an increase of $1.8 million in sales to existing customers.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Cost of Revenue and Gross Margin</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3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20" w:type="dxa"/>
            <w:vAlign w:val="bottom"/>
          </w:tcPr>
          <w:p>
            <w:pPr>
              <w:jc w:val="center"/>
              <w:ind w:left="431"/>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right"/>
              <w:ind w:right="871"/>
              <w:spacing w:after="0" w:line="137"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4"/>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20" w:type="dxa"/>
            <w:vAlign w:val="bottom"/>
          </w:tcPr>
          <w:p>
            <w:pPr>
              <w:jc w:val="center"/>
              <w:ind w:left="451"/>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60" w:type="dxa"/>
            <w:vAlign w:val="bottom"/>
            <w:gridSpan w:val="2"/>
            <w:shd w:val="clear" w:color="auto" w:fill="CCEEFF"/>
          </w:tcPr>
          <w:p>
            <w:pPr>
              <w:jc w:val="right"/>
              <w:ind w:right="771"/>
              <w:spacing w:after="0"/>
              <w:rPr>
                <w:sz w:val="20"/>
                <w:szCs w:val="20"/>
                <w:color w:val="auto"/>
              </w:rPr>
            </w:pPr>
            <w:r>
              <w:rPr>
                <w:rFonts w:ascii="Arial" w:cs="Arial" w:eastAsia="Arial" w:hAnsi="Arial"/>
                <w:sz w:val="17"/>
                <w:szCs w:val="17"/>
                <w:color w:val="auto"/>
              </w:rPr>
              <w:t>$8,570</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$5,292</w:t>
            </w:r>
          </w:p>
        </w:tc>
        <w:tc>
          <w:tcPr>
            <w:tcW w:w="4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7"/>
                <w:szCs w:val="17"/>
                <w:color w:val="auto"/>
              </w:rPr>
              <w:t>Gross profit</w:t>
            </w:r>
          </w:p>
        </w:tc>
        <w:tc>
          <w:tcPr>
            <w:tcW w:w="3760" w:type="dxa"/>
            <w:vAlign w:val="bottom"/>
            <w:gridSpan w:val="2"/>
          </w:tcPr>
          <w:p>
            <w:pPr>
              <w:jc w:val="right"/>
              <w:ind w:right="771"/>
              <w:spacing w:after="0"/>
              <w:rPr>
                <w:sz w:val="20"/>
                <w:szCs w:val="20"/>
                <w:color w:val="auto"/>
              </w:rPr>
            </w:pPr>
            <w:r>
              <w:rPr>
                <w:rFonts w:ascii="Arial" w:cs="Arial" w:eastAsia="Arial" w:hAnsi="Arial"/>
                <w:sz w:val="17"/>
                <w:szCs w:val="17"/>
                <w:color w:val="auto"/>
              </w:rPr>
              <w:t>$5,853</w:t>
            </w:r>
          </w:p>
        </w:tc>
        <w:tc>
          <w:tcPr>
            <w:tcW w:w="520" w:type="dxa"/>
            <w:vAlign w:val="bottom"/>
          </w:tcPr>
          <w:p>
            <w:pPr>
              <w:jc w:val="right"/>
              <w:spacing w:after="0"/>
              <w:rPr>
                <w:sz w:val="20"/>
                <w:szCs w:val="20"/>
                <w:color w:val="auto"/>
              </w:rPr>
            </w:pPr>
            <w:r>
              <w:rPr>
                <w:rFonts w:ascii="Arial" w:cs="Arial" w:eastAsia="Arial" w:hAnsi="Arial"/>
                <w:sz w:val="17"/>
                <w:szCs w:val="17"/>
                <w:color w:val="auto"/>
                <w:w w:val="92"/>
              </w:rPr>
              <w:t>$2,830</w:t>
            </w:r>
          </w:p>
        </w:tc>
        <w:tc>
          <w:tcPr>
            <w:tcW w:w="4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760" w:type="dxa"/>
            <w:vAlign w:val="bottom"/>
            <w:gridSpan w:val="2"/>
            <w:shd w:val="clear" w:color="auto" w:fill="CCEEFF"/>
          </w:tcPr>
          <w:p>
            <w:pPr>
              <w:jc w:val="right"/>
              <w:ind w:right="631"/>
              <w:spacing w:after="0"/>
              <w:rPr>
                <w:sz w:val="20"/>
                <w:szCs w:val="20"/>
                <w:color w:val="auto"/>
              </w:rPr>
            </w:pPr>
            <w:r>
              <w:rPr>
                <w:rFonts w:ascii="Arial" w:cs="Arial" w:eastAsia="Arial" w:hAnsi="Arial"/>
                <w:sz w:val="17"/>
                <w:szCs w:val="17"/>
                <w:color w:val="auto"/>
              </w:rPr>
              <w:t>40.6%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Cost of revenue increased $3.3 million, and gross profit increased $3.0 million, from the six months ended June 30, 2016 to the comparable period in 2017, reflecting the growth in sales. Gross margin increased 5.8%, primarily due to sales of relatively lower-margin tools to new customers during the six months ended June 30, 2016.</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Operating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Six Months Ended</w:t>
            </w:r>
          </w:p>
        </w:tc>
        <w:tc>
          <w:tcPr>
            <w:tcW w:w="6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13"/>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26"/>
              <w:spacing w:after="0" w:line="137"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bottom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4"/>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3"/>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$2,583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1,867</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1,486</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6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tcPr>
          <w:p>
            <w:pPr>
              <w:ind w:left="360"/>
              <w:spacing w:after="0"/>
              <w:rPr>
                <w:sz w:val="20"/>
                <w:szCs w:val="20"/>
                <w:color w:val="auto"/>
              </w:rPr>
            </w:pPr>
            <w:r>
              <w:rPr>
                <w:rFonts w:ascii="Arial" w:cs="Arial" w:eastAsia="Arial" w:hAnsi="Arial"/>
                <w:sz w:val="17"/>
                <w:szCs w:val="17"/>
                <w:color w:val="auto"/>
              </w:rPr>
              <w:t>Total operating expenses, net</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7,608</w:t>
            </w:r>
          </w:p>
        </w:tc>
        <w:tc>
          <w:tcPr>
            <w:tcW w:w="1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4,393</w:t>
            </w:r>
          </w:p>
        </w:tc>
        <w:tc>
          <w:tcPr>
            <w:tcW w:w="1580" w:type="dxa"/>
            <w:vAlign w:val="bottom"/>
            <w:gridSpan w:val="3"/>
          </w:tcPr>
          <w:p>
            <w:pPr>
              <w:jc w:val="right"/>
              <w:ind w:right="60"/>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$765,000 in the six months ended June 30, 2017 as compared to the corresponding period in 2016,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in employee salaries and sales services.</w:t>
      </w:r>
    </w:p>
    <w:p>
      <w:pPr>
        <w:spacing w:after="0" w:line="158" w:lineRule="exact"/>
        <w:rPr>
          <w:sz w:val="20"/>
          <w:szCs w:val="20"/>
          <w:color w:val="auto"/>
        </w:rPr>
      </w:pPr>
    </w:p>
    <w:p>
      <w:pPr>
        <w:ind w:right="120" w:firstLine="457"/>
        <w:spacing w:after="0" w:line="307" w:lineRule="auto"/>
        <w:rPr>
          <w:sz w:val="20"/>
          <w:szCs w:val="20"/>
          <w:color w:val="auto"/>
        </w:rPr>
      </w:pPr>
      <w:r>
        <w:rPr>
          <w:rFonts w:ascii="Arial" w:cs="Arial" w:eastAsia="Arial" w:hAnsi="Arial"/>
          <w:sz w:val="15"/>
          <w:szCs w:val="15"/>
          <w:i w:val="1"/>
          <w:iCs w:val="1"/>
          <w:color w:val="auto"/>
        </w:rPr>
        <w:t xml:space="preserve">Research and development expense </w:t>
      </w:r>
      <w:r>
        <w:rPr>
          <w:rFonts w:ascii="Arial" w:cs="Arial" w:eastAsia="Arial" w:hAnsi="Arial"/>
          <w:sz w:val="15"/>
          <w:szCs w:val="15"/>
          <w:color w:val="auto"/>
        </w:rPr>
        <w:t>increased $381,000 in the six months ended June 30, 2017 as compared to the corresponding period in 2016, principally</w:t>
      </w:r>
      <w:r>
        <w:rPr>
          <w:rFonts w:ascii="Arial" w:cs="Arial" w:eastAsia="Arial" w:hAnsi="Arial"/>
          <w:sz w:val="15"/>
          <w:szCs w:val="15"/>
          <w:i w:val="1"/>
          <w:iCs w:val="1"/>
          <w:color w:val="auto"/>
        </w:rPr>
        <w:t xml:space="preserve"> </w:t>
      </w:r>
      <w:r>
        <w:rPr>
          <w:rFonts w:ascii="Arial" w:cs="Arial" w:eastAsia="Arial" w:hAnsi="Arial"/>
          <w:sz w:val="15"/>
          <w:szCs w:val="15"/>
          <w:color w:val="auto"/>
        </w:rPr>
        <w:t>as a result of increases of in employee salaries and research and development parts. Research and development expense represented 12.9% and 18.3% of our revenue in the six months ended June 30, 2017 and 2016, respectively. Without reduction by grant amounts received from PRC governmental authorities (see “— Key Components of Results of Operations—PRC Government Research and Development Funding”), gross research and development expense totaled $5.0 million, or 34.8% of revenue, in the six months ended June 30, 2017 and $3.5 million, or 42.6% of revenue, in the six months ended June 30, 2016.</w:t>
      </w:r>
    </w:p>
    <w:p>
      <w:pPr>
        <w:spacing w:after="0" w:line="8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8"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$2.1 million in the six months ended June 30, 2017 as compared to the corresponding period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resulting from preparations to become a public company. These costs reflected increases of $1.1 million in stock-based compensation expense, $511,000 in professional fees, $90,000 in consulting fees, $80,000 in personnel costs and $75,000 in tax expense.</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Other Income and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80" w:type="dxa"/>
            <w:vAlign w:val="bottom"/>
          </w:tcPr>
          <w:p>
            <w:pPr>
              <w:jc w:val="center"/>
              <w:ind w:left="291"/>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180" w:type="dxa"/>
            <w:vAlign w:val="bottom"/>
            <w:tcBorders>
              <w:top w:val="single" w:sz="8" w:color="auto"/>
              <w:bottom w:val="single" w:sz="8" w:color="auto"/>
            </w:tcBorders>
          </w:tcPr>
          <w:p>
            <w:pPr>
              <w:jc w:val="right"/>
              <w:ind w:right="771"/>
              <w:spacing w:after="0" w:line="13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180" w:type="dxa"/>
            <w:vAlign w:val="bottom"/>
          </w:tcPr>
          <w:p>
            <w:pPr>
              <w:jc w:val="center"/>
              <w:ind w:left="311"/>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360" w:type="dxa"/>
            <w:vAlign w:val="bottom"/>
            <w:gridSpan w:val="2"/>
            <w:shd w:val="clear" w:color="auto" w:fill="CCEEFF"/>
          </w:tcPr>
          <w:p>
            <w:pPr>
              <w:jc w:val="right"/>
              <w:ind w:right="651"/>
              <w:spacing w:after="0"/>
              <w:rPr>
                <w:sz w:val="20"/>
                <w:szCs w:val="20"/>
                <w:color w:val="auto"/>
              </w:rPr>
            </w:pPr>
            <w:r>
              <w:rPr>
                <w:rFonts w:ascii="Arial" w:cs="Arial" w:eastAsia="Arial" w:hAnsi="Arial"/>
                <w:sz w:val="17"/>
                <w:szCs w:val="17"/>
                <w:color w:val="auto"/>
              </w:rPr>
              <w:t>$(159)</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4"/>
              </w:rPr>
              <w:t>$ (45)</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253.3%</w:t>
            </w:r>
          </w:p>
        </w:tc>
        <w:tc>
          <w:tcPr>
            <w:tcW w:w="0" w:type="dxa"/>
            <w:vAlign w:val="bottom"/>
          </w:tcPr>
          <w:p>
            <w:pPr>
              <w:spacing w:after="0"/>
              <w:rPr>
                <w:sz w:val="1"/>
                <w:szCs w:val="1"/>
                <w:color w:val="auto"/>
              </w:rPr>
            </w:pPr>
          </w:p>
        </w:tc>
      </w:tr>
      <w:tr>
        <w:trPr>
          <w:trHeight w:val="221"/>
        </w:trPr>
        <w:tc>
          <w:tcPr>
            <w:tcW w:w="41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3360" w:type="dxa"/>
            <w:vAlign w:val="bottom"/>
            <w:gridSpan w:val="2"/>
          </w:tcPr>
          <w:p>
            <w:pPr>
              <w:jc w:val="right"/>
              <w:ind w:right="651"/>
              <w:spacing w:after="0"/>
              <w:rPr>
                <w:sz w:val="20"/>
                <w:szCs w:val="20"/>
                <w:color w:val="auto"/>
              </w:rPr>
            </w:pPr>
            <w:r>
              <w:rPr>
                <w:rFonts w:ascii="Arial" w:cs="Arial" w:eastAsia="Arial" w:hAnsi="Arial"/>
                <w:sz w:val="17"/>
                <w:szCs w:val="17"/>
                <w:color w:val="auto"/>
              </w:rPr>
              <w:t>(292)</w:t>
            </w:r>
          </w:p>
        </w:tc>
        <w:tc>
          <w:tcPr>
            <w:tcW w:w="380" w:type="dxa"/>
            <w:vAlign w:val="bottom"/>
          </w:tcPr>
          <w:p>
            <w:pPr>
              <w:jc w:val="right"/>
              <w:spacing w:after="0"/>
              <w:rPr>
                <w:sz w:val="20"/>
                <w:szCs w:val="20"/>
                <w:color w:val="auto"/>
              </w:rPr>
            </w:pPr>
            <w:r>
              <w:rPr>
                <w:rFonts w:ascii="Arial" w:cs="Arial" w:eastAsia="Arial" w:hAnsi="Arial"/>
                <w:sz w:val="17"/>
                <w:szCs w:val="17"/>
                <w:color w:val="auto"/>
              </w:rPr>
              <w:t>506</w:t>
            </w:r>
          </w:p>
        </w:tc>
        <w:tc>
          <w:tcPr>
            <w:tcW w:w="44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(157.7)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Interest expense consists of interest incurred from outstanding short-term borrowings and notes payable. Interest expense increased to $164,000 in the six months ended June 30, 2017 from $51,000 in the six months ended June 30, 2016, principally as a result of increased borrowings under short-term bank loans. We earn interest income from depositary accounts. Interest income was nominal in the six months ended June 30, 2017 and 2016.</w:t>
      </w:r>
    </w:p>
    <w:p>
      <w:pPr>
        <w:spacing w:after="0" w:line="154"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Other income, net primarily reflects (a) gains or losses recognized from the effect of exchange rates on our foreign currency-denominated asset and liability balances, (b) depreciation of assets acquired with government subsidies, as described under “—Key Components of Results of Operations—PRC Government Research and Development Funding” above, and (c) losses we recognized upon dispositions of fixed assets.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Income Tax (Expense) Benefit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presents components of income tax (expense) benefit for the indicated periods:</w:t>
      </w:r>
    </w:p>
    <w:p>
      <w:pPr>
        <w:spacing w:after="0" w:line="119"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Six Months Ended</w:t>
      </w:r>
    </w:p>
    <w:p>
      <w:pPr>
        <w:jc w:val="center"/>
        <w:ind w:left="8040"/>
        <w:spacing w:after="0" w:line="223" w:lineRule="auto"/>
        <w:rPr>
          <w:sz w:val="20"/>
          <w:szCs w:val="20"/>
          <w:color w:val="auto"/>
        </w:rPr>
      </w:pPr>
      <w:r>
        <w:rPr>
          <w:rFonts w:ascii="Arial" w:cs="Arial" w:eastAsia="Arial" w:hAnsi="Arial"/>
          <w:sz w:val="14"/>
          <w:szCs w:val="14"/>
          <w:b w:val="1"/>
          <w:bCs w:val="1"/>
          <w:color w:val="auto"/>
        </w:rPr>
        <w:t>June 30,</w:t>
      </w:r>
    </w:p>
    <w:tbl>
      <w:tblPr>
        <w:tblLayout w:type="fixed"/>
        <w:tblInd w:w="920" w:type="dxa"/>
        <w:tblCellMar>
          <w:top w:w="0" w:type="dxa"/>
          <w:left w:w="0" w:type="dxa"/>
          <w:bottom w:w="0" w:type="dxa"/>
          <w:right w:w="0" w:type="dxa"/>
        </w:tblCellMar>
      </w:tblPr>
      <w:tr>
        <w:trPr>
          <w:trHeight w:val="136"/>
        </w:trPr>
        <w:tc>
          <w:tcPr>
            <w:tcW w:w="59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7" w:lineRule="exact"/>
              <w:rPr>
                <w:sz w:val="20"/>
                <w:szCs w:val="20"/>
                <w:color w:val="auto"/>
              </w:rPr>
            </w:pPr>
            <w:r>
              <w:rPr>
                <w:rFonts w:ascii="Arial" w:cs="Arial" w:eastAsia="Arial" w:hAnsi="Arial"/>
                <w:sz w:val="14"/>
                <w:szCs w:val="14"/>
                <w:b w:val="1"/>
                <w:bCs w:val="1"/>
                <w:color w:val="auto"/>
                <w:w w:val="83"/>
              </w:rPr>
              <w:t>2017</w:t>
            </w:r>
          </w:p>
        </w:tc>
        <w:tc>
          <w:tcPr>
            <w:tcW w:w="3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current income tax (expense) benefit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7"/>
                <w:szCs w:val="17"/>
                <w:color w:val="auto"/>
              </w:rPr>
              <w:t>Deferred:</w:t>
            </w:r>
          </w:p>
        </w:tc>
        <w:tc>
          <w:tcPr>
            <w:tcW w:w="2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federal</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00" w:type="dxa"/>
            <w:vAlign w:val="bottom"/>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700"/>
              <w:spacing w:after="0"/>
              <w:rPr>
                <w:sz w:val="20"/>
                <w:szCs w:val="20"/>
                <w:color w:val="auto"/>
              </w:rPr>
            </w:pPr>
            <w:r>
              <w:rPr>
                <w:rFonts w:ascii="Arial" w:cs="Arial" w:eastAsia="Arial" w:hAnsi="Arial"/>
                <w:sz w:val="17"/>
                <w:szCs w:val="17"/>
                <w:color w:val="auto"/>
              </w:rPr>
              <w:t>Total deferred income tax (expense) benefit</w:t>
            </w: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(749)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income tax (expense) benefit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Chinese income tax purpose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7"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tax rate of 15%. ACM Shanghai was certified as an “advanced and new technology enterprise” in 2012 and again in 2016, with an effective period of three years.</w:t>
      </w:r>
    </w:p>
    <w:p>
      <w:pPr>
        <w:spacing w:after="0" w:line="233" w:lineRule="exact"/>
        <w:rPr>
          <w:sz w:val="20"/>
          <w:szCs w:val="20"/>
          <w:color w:val="auto"/>
        </w:rPr>
      </w:pPr>
    </w:p>
    <w:p>
      <w:pPr>
        <w:jc w:val="both"/>
        <w:ind w:right="20" w:firstLine="457"/>
        <w:spacing w:after="0" w:line="29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4"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We intend to reinvest indefinitely our PRC earnings as of June 30, 2017 outside of the United States, and we therefore have not provided for taxes with respect to the remissions of such earnings from the PRC to the United States.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Years Ended 2016 and 2015</w:t>
      </w:r>
    </w:p>
    <w:p>
      <w:pPr>
        <w:spacing w:after="0" w:line="32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Revenue</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40" w:type="dxa"/>
            <w:vAlign w:val="bottom"/>
          </w:tcPr>
          <w:p>
            <w:pPr>
              <w:jc w:val="center"/>
              <w:ind w:left="471"/>
              <w:spacing w:after="0"/>
              <w:rPr>
                <w:sz w:val="20"/>
                <w:szCs w:val="20"/>
                <w:color w:val="auto"/>
              </w:rPr>
            </w:pPr>
            <w:r>
              <w:rPr>
                <w:rFonts w:ascii="Arial" w:cs="Arial" w:eastAsia="Arial" w:hAnsi="Arial"/>
                <w:sz w:val="14"/>
                <w:szCs w:val="14"/>
                <w:b w:val="1"/>
                <w:bCs w:val="1"/>
                <w:color w:val="auto"/>
                <w:w w:val="90"/>
              </w:rPr>
              <w:t>Year Ended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6"/>
        </w:trPr>
        <w:tc>
          <w:tcPr>
            <w:tcW w:w="3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6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ind w:right="751"/>
              <w:spacing w:after="0" w:line="137"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jc w:val="right"/>
              <w:ind w:right="82"/>
              <w:spacing w:after="0" w:line="137"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20" w:type="dxa"/>
            <w:vAlign w:val="bottom"/>
            <w:gridSpan w:val="2"/>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402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$27,371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$31,206</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decrease in revenue in 2016 from 2015 reflected a decline in revenue from single-wafer wet cleaning equipment of $5.4 million, offset in part by a $1.5 million increase in revenue from advanced packaging equipment. Our revenue in 2016 compared to 2015 reflected a $20.2 million reduction in sales, from $26.8 million in 2015 to $6.6 million in 2016, to our largest customer in 2015, offset in part by (a) a $1.3 million increase from 2015 to 2016 in purchases by our second largest customer in 2015 and (b) $16.1 million in revenue in 2016 from initial purchases of our single-wafer wet cleaning equipment by two PRC foundries. Chip fabricators typically purchase types of tools in phases based on multi-year capital plans, and their purchases of specific types of tools therefore vary from year to year. We believe the decline in sales to our largest customer from 2015 to 2016 reflected the customer’s multi-year capital plan.</w:t>
      </w:r>
    </w:p>
    <w:p>
      <w:pPr>
        <w:spacing w:after="0" w:line="27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Cost of Revenue and Gross Margin</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tcPr>
          <w:p>
            <w:pPr>
              <w:jc w:val="right"/>
              <w:ind w:right="11"/>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 of Change</w:t>
            </w:r>
          </w:p>
        </w:tc>
        <w:tc>
          <w:tcPr>
            <w:tcW w:w="0" w:type="dxa"/>
            <w:vAlign w:val="bottom"/>
          </w:tcPr>
          <w:p>
            <w:pPr>
              <w:spacing w:after="0"/>
              <w:rPr>
                <w:sz w:val="1"/>
                <w:szCs w:val="1"/>
                <w:color w:val="auto"/>
              </w:rPr>
            </w:pPr>
          </w:p>
        </w:tc>
      </w:tr>
      <w:tr>
        <w:trPr>
          <w:trHeight w:val="166"/>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0" w:type="dxa"/>
            <w:vAlign w:val="bottom"/>
            <w:tcBorders>
              <w:top w:val="single" w:sz="8" w:color="auto"/>
              <w:bottom w:val="single" w:sz="8" w:color="auto"/>
            </w:tcBorders>
          </w:tcPr>
          <w:p>
            <w:pPr>
              <w:jc w:val="right"/>
              <w:ind w:right="911"/>
              <w:spacing w:after="0" w:line="137"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0" w:type="dxa"/>
            <w:vAlign w:val="bottom"/>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20" w:type="dxa"/>
            <w:vAlign w:val="bottom"/>
            <w:gridSpan w:val="2"/>
            <w:shd w:val="clear" w:color="auto" w:fill="CCEEFF"/>
          </w:tcPr>
          <w:p>
            <w:pPr>
              <w:jc w:val="right"/>
              <w:ind w:right="751"/>
              <w:spacing w:after="0"/>
              <w:rPr>
                <w:sz w:val="20"/>
                <w:szCs w:val="20"/>
                <w:color w:val="auto"/>
              </w:rPr>
            </w:pPr>
            <w:r>
              <w:rPr>
                <w:rFonts w:ascii="Arial" w:cs="Arial" w:eastAsia="Arial" w:hAnsi="Arial"/>
                <w:sz w:val="17"/>
                <w:szCs w:val="17"/>
                <w:color w:val="auto"/>
              </w:rPr>
              <w:t>$14,042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$17,085</w:t>
            </w:r>
          </w:p>
        </w:tc>
        <w:tc>
          <w:tcPr>
            <w:tcW w:w="5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7"/>
                <w:szCs w:val="17"/>
                <w:color w:val="auto"/>
              </w:rPr>
              <w:t>Gross profit</w:t>
            </w:r>
          </w:p>
        </w:tc>
        <w:tc>
          <w:tcPr>
            <w:tcW w:w="3720" w:type="dxa"/>
            <w:vAlign w:val="bottom"/>
            <w:gridSpan w:val="2"/>
          </w:tcPr>
          <w:p>
            <w:pPr>
              <w:jc w:val="right"/>
              <w:ind w:right="751"/>
              <w:spacing w:after="0"/>
              <w:rPr>
                <w:sz w:val="20"/>
                <w:szCs w:val="20"/>
                <w:color w:val="auto"/>
              </w:rPr>
            </w:pPr>
            <w:r>
              <w:rPr>
                <w:rFonts w:ascii="Arial" w:cs="Arial" w:eastAsia="Arial" w:hAnsi="Arial"/>
                <w:sz w:val="17"/>
                <w:szCs w:val="17"/>
                <w:color w:val="auto"/>
              </w:rPr>
              <w:t>$13,329</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$14,121</w:t>
            </w:r>
          </w:p>
        </w:tc>
        <w:tc>
          <w:tcPr>
            <w:tcW w:w="5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720" w:type="dxa"/>
            <w:vAlign w:val="bottom"/>
            <w:gridSpan w:val="2"/>
            <w:shd w:val="clear" w:color="auto" w:fill="CCEEFF"/>
          </w:tcPr>
          <w:p>
            <w:pPr>
              <w:jc w:val="right"/>
              <w:ind w:right="611"/>
              <w:spacing w:after="0"/>
              <w:rPr>
                <w:sz w:val="20"/>
                <w:szCs w:val="20"/>
                <w:color w:val="auto"/>
              </w:rPr>
            </w:pPr>
            <w:r>
              <w:rPr>
                <w:rFonts w:ascii="Arial" w:cs="Arial" w:eastAsia="Arial" w:hAnsi="Arial"/>
                <w:sz w:val="17"/>
                <w:szCs w:val="17"/>
                <w:color w:val="auto"/>
              </w:rPr>
              <w:t>48.7%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45.3%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Cost of revenue decreased $3.0 million in 2016 from 2015, primarily due to decreases in component costs related to lower volume Gross margin increased 3.4%, reflecting a relative increase in sales of higher-margin products.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80"/>
          </w:cols>
          <w:pgMar w:left="240" w:top="447" w:right="2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Operating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center"/>
              <w:ind w:right="413"/>
              <w:spacing w:after="0"/>
              <w:rPr>
                <w:sz w:val="20"/>
                <w:szCs w:val="20"/>
                <w:color w:val="auto"/>
              </w:rPr>
            </w:pPr>
            <w:r>
              <w:rPr>
                <w:rFonts w:ascii="Arial" w:cs="Arial" w:eastAsia="Arial" w:hAnsi="Arial"/>
                <w:sz w:val="14"/>
                <w:szCs w:val="14"/>
                <w:b w:val="1"/>
                <w:bCs w:val="1"/>
                <w:color w:val="auto"/>
                <w:w w:val="90"/>
              </w:rPr>
              <w:t>Year Ended</w:t>
            </w:r>
          </w:p>
        </w:tc>
        <w:tc>
          <w:tcPr>
            <w:tcW w:w="74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46"/>
              <w:spacing w:after="0" w:line="137"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top w:val="single" w:sz="8" w:color="auto"/>
              <w:bottom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7"/>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3"/>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$3,907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3,259</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2,942</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7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360"/>
              <w:spacing w:after="0"/>
              <w:rPr>
                <w:sz w:val="20"/>
                <w:szCs w:val="20"/>
                <w:color w:val="auto"/>
              </w:rPr>
            </w:pPr>
            <w:r>
              <w:rPr>
                <w:rFonts w:ascii="Arial" w:cs="Arial" w:eastAsia="Arial" w:hAnsi="Arial"/>
                <w:sz w:val="17"/>
                <w:szCs w:val="17"/>
                <w:color w:val="auto"/>
              </w:rPr>
              <w:t>Total operating expenses, net</w:t>
            </w: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9,839</w:t>
            </w:r>
          </w:p>
        </w:tc>
        <w:tc>
          <w:tcPr>
            <w:tcW w:w="1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9,258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decreased $306,000 in 2016 compared to 2015, primarily due to a decrease of $520,000 in sales commissions reflecting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lower level of sales in 2016, offset in part by a $385,000 increase in consulting fees.</w:t>
      </w:r>
    </w:p>
    <w:p>
      <w:pPr>
        <w:spacing w:after="0" w:line="158"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$317,000 in 2016 from 2015, principally as a result of increases of $147,000 in personnel costs, $104,000 in</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consumption expense and $57,000 in travel expense. Research and development expense represented 11.9% of revenue in 2016 and 9.4% of revenue in 2015. Without reduction by grant amounts received from PRC governmental authorities (see “—Key Components of Results of Operations—PRC Government Research and Development Funding”), gross research and development expense totaled $7.5 million, or 27.4% of revenue, in 2016 and $6.6 million, or 21.1% of revenue, in 2015.</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$571,000 in 2016 compared to 2015, principally resulting from preparations to become a public company.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These costs reflected increases of $321,000 in professional fees, $84,000 in personnel costs and $77,000 in travel expense.</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Income and Expenses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351"/>
              <w:spacing w:after="0" w:line="137"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2015 v 2016</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80" w:type="dxa"/>
            <w:vAlign w:val="bottom"/>
            <w:gridSpan w:val="2"/>
          </w:tcPr>
          <w:p>
            <w:pPr>
              <w:jc w:val="right"/>
              <w:ind w:right="279"/>
              <w:spacing w:after="0" w:line="137" w:lineRule="exact"/>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34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$(165)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$(105)</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7"/>
                <w:szCs w:val="17"/>
                <w:color w:val="auto"/>
              </w:rPr>
              <w:t>Other income, net</w:t>
            </w:r>
          </w:p>
        </w:tc>
        <w:tc>
          <w:tcPr>
            <w:tcW w:w="3340" w:type="dxa"/>
            <w:vAlign w:val="bottom"/>
            <w:gridSpan w:val="2"/>
          </w:tcPr>
          <w:p>
            <w:pPr>
              <w:jc w:val="right"/>
              <w:ind w:right="231"/>
              <w:spacing w:after="0"/>
              <w:rPr>
                <w:sz w:val="20"/>
                <w:szCs w:val="20"/>
                <w:color w:val="auto"/>
              </w:rPr>
            </w:pPr>
            <w:r>
              <w:rPr>
                <w:rFonts w:ascii="Arial" w:cs="Arial" w:eastAsia="Arial" w:hAnsi="Arial"/>
                <w:sz w:val="17"/>
                <w:szCs w:val="17"/>
                <w:color w:val="auto"/>
              </w:rPr>
              <w:t>(343)</w:t>
            </w:r>
          </w:p>
        </w:tc>
        <w:tc>
          <w:tcPr>
            <w:tcW w:w="720" w:type="dxa"/>
            <w:vAlign w:val="bottom"/>
          </w:tcPr>
          <w:p>
            <w:pPr>
              <w:jc w:val="right"/>
              <w:spacing w:after="0"/>
              <w:rPr>
                <w:sz w:val="20"/>
                <w:szCs w:val="20"/>
                <w:color w:val="auto"/>
              </w:rPr>
            </w:pPr>
            <w:r>
              <w:rPr>
                <w:rFonts w:ascii="Arial" w:cs="Arial" w:eastAsia="Arial" w:hAnsi="Arial"/>
                <w:sz w:val="17"/>
                <w:szCs w:val="17"/>
                <w:color w:val="auto"/>
              </w:rPr>
              <w:t>632</w:t>
            </w:r>
          </w:p>
        </w:tc>
        <w:tc>
          <w:tcPr>
            <w:tcW w:w="34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Interest expense consists of interest incurred from outstanding short-term borrowings and notes payable. Interest expense increased to $181,000 in 2016 from $122,000 in 2015, principally as a result of increased borrowings under short-term bank loans. We earn interest income from depositary accounts. Interest income totaled $16,000 in 2016 and $17,000 in 2015.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448" w:right="2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 Benefit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presents components of income tax benefit (expense) for the indicated periods:</w:t>
      </w:r>
    </w:p>
    <w:p>
      <w:pPr>
        <w:spacing w:after="0" w:line="236"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Year Ended</w:t>
      </w:r>
    </w:p>
    <w:p>
      <w:pPr>
        <w:jc w:val="center"/>
        <w:ind w:left="792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36"/>
        </w:trPr>
        <w:tc>
          <w:tcPr>
            <w:tcW w:w="58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8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60" w:type="dxa"/>
            <w:vAlign w:val="bottom"/>
            <w:gridSpan w:val="4"/>
          </w:tcPr>
          <w:p>
            <w:pPr>
              <w:jc w:val="right"/>
              <w:ind w:right="253"/>
              <w:spacing w:after="0" w:line="137"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2900" w:type="dxa"/>
            <w:vAlign w:val="bottom"/>
            <w:gridSpan w:val="3"/>
          </w:tcPr>
          <w:p>
            <w:pPr>
              <w:jc w:val="right"/>
              <w:ind w:right="380"/>
              <w:spacing w:after="0"/>
              <w:rPr>
                <w:sz w:val="20"/>
                <w:szCs w:val="20"/>
                <w:color w:val="auto"/>
              </w:rPr>
            </w:pPr>
            <w:r>
              <w:rPr>
                <w:rFonts w:ascii="Arial" w:cs="Arial" w:eastAsia="Arial" w:hAnsi="Arial"/>
                <w:sz w:val="17"/>
                <w:szCs w:val="17"/>
                <w:color w:val="auto"/>
              </w:rPr>
              <w:t>$ —</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state</w:t>
            </w:r>
          </w:p>
        </w:tc>
        <w:tc>
          <w:tcPr>
            <w:tcW w:w="29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current income tax benefit (expense)</w:t>
            </w:r>
          </w:p>
        </w:tc>
        <w:tc>
          <w:tcPr>
            <w:tcW w:w="29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7"/>
                <w:szCs w:val="17"/>
                <w:color w:val="auto"/>
              </w:rPr>
              <w:t>Deferred:</w:t>
            </w:r>
          </w:p>
        </w:tc>
        <w:tc>
          <w:tcPr>
            <w:tcW w:w="2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federal</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840" w:type="dxa"/>
            <w:vAlign w:val="bottom"/>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700"/>
              <w:spacing w:after="0"/>
              <w:rPr>
                <w:sz w:val="20"/>
                <w:szCs w:val="20"/>
                <w:color w:val="auto"/>
              </w:rPr>
            </w:pPr>
            <w:r>
              <w:rPr>
                <w:rFonts w:ascii="Arial" w:cs="Arial" w:eastAsia="Arial" w:hAnsi="Arial"/>
                <w:sz w:val="17"/>
                <w:szCs w:val="17"/>
                <w:color w:val="auto"/>
              </w:rPr>
              <w:t>Total deferred income tax benefit</w:t>
            </w:r>
          </w:p>
        </w:tc>
        <w:tc>
          <w:tcPr>
            <w:tcW w:w="2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(594)</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income tax benefit</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(595)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20" w:firstLine="457"/>
        <w:spacing w:after="0" w:line="320"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PRC income tax purposes, due to the effects of the valuation allowance and permanent book-tax differences pertaining to the value of client equity securities received for services.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Initially we funded our operations principally through issuances of four series of convertible preferred stock from our formation in 1998 through 2001 and issuances of convertible and term promissory notes in 2003 and 2004. We issued additional convertible and term promissory notes in 2005 and 2006 in anticipation of moving our operational center to Shanghai in 2006, and following that transition, our new subsidiary ACM Shanghai initially raised funds through sales of its non-controlling equity interests in 2007. Since 2008 we have funded our technology development and operations through:</w:t>
      </w:r>
    </w:p>
    <w:p>
      <w:pPr>
        <w:spacing w:after="0" w:line="68" w:lineRule="exact"/>
        <w:rPr>
          <w:sz w:val="20"/>
          <w:szCs w:val="20"/>
          <w:color w:val="auto"/>
        </w:rPr>
      </w:pPr>
    </w:p>
    <w:p>
      <w:pPr>
        <w:ind w:left="900" w:hanging="439"/>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issuances of two additional series of convertible preferred stock in 2016 and the third quarter of 2017;</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investment deposit in 2016 made in connection with issuance of a Class A common stock warrant in March 2017;</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additional issuances of ACM Shanghai equity interests in 2008 and 2009;</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subsidies received from PRC governmental authorities pursuant to grants made in 2008, 2009 and 2014;</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short-term borrowings by ACM Shanghai from local financial institutions in 2009 and each year since 2011;</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additional issuances of term promissory notes in 2013, 2014 and 2015;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operating cash flow in 2015 and the first half of 2017.</w:t>
      </w:r>
    </w:p>
    <w:p>
      <w:pPr>
        <w:spacing w:after="0" w:line="222"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We believe our existing cash and cash equivalents, our cash flow from operating activities, short-term bank borrowings by ACM Shanghai and our net proceeds of this offering and the concurrent private placement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360"/>
          </w:cols>
          <w:pgMar w:left="240" w:top="448" w:right="29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payment schedules of our customers, and the timing of investment in our research and development as well as sales and marketing. To the extent our cash and cash equivalents, cash flow from operating activities, short-term bank borrowings and net proceeds of this offering are insufficient to fund our future activities, we may need to raise additional funds through bank credit arrangements or public or private debt or equity financings. We also may need to raise additional funds in the event we determine in the future to effect one or more acquisitions of businesses, technologies and products. If additional funding is required, we may not be able to obtain bank credit arrangements or to effect an equity or debt financing on terms acceptable to us or at all.</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Sources of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Equity and Equity-Related Securities</w:t>
      </w:r>
    </w:p>
    <w:p>
      <w:pPr>
        <w:spacing w:after="0" w:line="117"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Since 1998 we have received gross proceeds of $41.9 million from sales of common stock, convertible preferred stock, convertible preferred notes and a warrant of ACM Research Inc. and sales of equity securities of ACM Shanghai, as described below.</w:t>
      </w:r>
    </w:p>
    <w:p>
      <w:pPr>
        <w:spacing w:after="0" w:line="158" w:lineRule="exact"/>
        <w:rPr>
          <w:sz w:val="20"/>
          <w:szCs w:val="20"/>
          <w:color w:val="auto"/>
        </w:rPr>
      </w:pPr>
    </w:p>
    <w:p>
      <w:pPr>
        <w:jc w:val="both"/>
        <w:ind w:right="200" w:firstLine="457"/>
        <w:spacing w:after="0" w:line="287" w:lineRule="auto"/>
        <w:rPr>
          <w:sz w:val="20"/>
          <w:szCs w:val="20"/>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From 1998 through September 30, 2017 we sold common stock to founders, investors and exercising option holders for gross proceeds of $2.7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Convertible Preferred Stock</w:t>
      </w:r>
      <w:r>
        <w:rPr>
          <w:rFonts w:ascii="Arial" w:cs="Arial" w:eastAsia="Arial" w:hAnsi="Arial"/>
          <w:sz w:val="17"/>
          <w:szCs w:val="17"/>
          <w:color w:val="auto"/>
        </w:rPr>
        <w:t>. We have sold convertible preferred stock to investors for gross proceeds of $23.7 million, as follows:</w:t>
      </w:r>
    </w:p>
    <w:p>
      <w:pPr>
        <w:spacing w:after="0" w:line="238" w:lineRule="exact"/>
        <w:rPr>
          <w:sz w:val="20"/>
          <w:szCs w:val="20"/>
          <w:color w:val="auto"/>
        </w:rPr>
      </w:pPr>
    </w:p>
    <w:tbl>
      <w:tblPr>
        <w:tblLayout w:type="fixed"/>
        <w:tblInd w:w="3900" w:type="dxa"/>
        <w:tblCellMar>
          <w:top w:w="0" w:type="dxa"/>
          <w:left w:w="0" w:type="dxa"/>
          <w:bottom w:w="0" w:type="dxa"/>
          <w:right w:w="0" w:type="dxa"/>
        </w:tblCellMar>
      </w:tblPr>
      <w:tr>
        <w:trPr>
          <w:trHeight w:val="179"/>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Year Issued</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4"/>
                <w:szCs w:val="14"/>
                <w:b w:val="1"/>
                <w:bCs w:val="1"/>
                <w:color w:val="auto"/>
                <w:w w:val="89"/>
              </w:rPr>
              <w:t>Convertible Preferred Stock</w:t>
            </w:r>
          </w:p>
        </w:tc>
        <w:tc>
          <w:tcPr>
            <w:tcW w:w="14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Gross Proceeds</w:t>
            </w:r>
          </w:p>
        </w:tc>
      </w:tr>
      <w:tr>
        <w:trPr>
          <w:trHeight w:val="123"/>
        </w:trPr>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i w:val="1"/>
                <w:iCs w:val="1"/>
                <w:color w:val="auto"/>
                <w:w w:val="96"/>
              </w:rPr>
              <w:t>(in thousands)</w:t>
            </w:r>
          </w:p>
        </w:tc>
        <w:tc>
          <w:tcPr>
            <w:tcW w:w="40" w:type="dxa"/>
            <w:vAlign w:val="bottom"/>
          </w:tcPr>
          <w:p>
            <w:pPr>
              <w:spacing w:after="0"/>
              <w:rPr>
                <w:sz w:val="10"/>
                <w:szCs w:val="10"/>
                <w:color w:val="auto"/>
              </w:rPr>
            </w:pP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1998</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A</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288</w:t>
            </w:r>
          </w:p>
        </w:tc>
      </w:tr>
      <w:tr>
        <w:trPr>
          <w:trHeight w:val="209"/>
        </w:trPr>
        <w:tc>
          <w:tcPr>
            <w:tcW w:w="72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100" w:type="dxa"/>
            <w:vAlign w:val="bottom"/>
          </w:tcPr>
          <w:p>
            <w:pPr>
              <w:spacing w:after="0"/>
              <w:rPr>
                <w:sz w:val="18"/>
                <w:szCs w:val="18"/>
                <w:color w:val="auto"/>
              </w:rPr>
            </w:pPr>
          </w:p>
        </w:tc>
        <w:tc>
          <w:tcPr>
            <w:tcW w:w="1680" w:type="dxa"/>
            <w:vAlign w:val="bottom"/>
          </w:tcPr>
          <w:p>
            <w:pPr>
              <w:ind w:left="620"/>
              <w:spacing w:after="0"/>
              <w:rPr>
                <w:sz w:val="20"/>
                <w:szCs w:val="20"/>
                <w:color w:val="auto"/>
              </w:rPr>
            </w:pPr>
            <w:r>
              <w:rPr>
                <w:rFonts w:ascii="Arial" w:cs="Arial" w:eastAsia="Arial" w:hAnsi="Arial"/>
                <w:sz w:val="17"/>
                <w:szCs w:val="17"/>
                <w:color w:val="auto"/>
              </w:rPr>
              <w:t>Series B</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1,572</w:t>
            </w: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1999</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C</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2,041</w:t>
            </w:r>
          </w:p>
        </w:tc>
      </w:tr>
      <w:tr>
        <w:trPr>
          <w:trHeight w:val="209"/>
        </w:trPr>
        <w:tc>
          <w:tcPr>
            <w:tcW w:w="720" w:type="dxa"/>
            <w:vAlign w:val="bottom"/>
          </w:tcPr>
          <w:p>
            <w:pPr>
              <w:jc w:val="center"/>
              <w:spacing w:after="0"/>
              <w:rPr>
                <w:sz w:val="20"/>
                <w:szCs w:val="20"/>
                <w:color w:val="auto"/>
              </w:rPr>
            </w:pPr>
            <w:r>
              <w:rPr>
                <w:rFonts w:ascii="Arial" w:cs="Arial" w:eastAsia="Arial" w:hAnsi="Arial"/>
                <w:sz w:val="17"/>
                <w:szCs w:val="17"/>
                <w:color w:val="auto"/>
                <w:w w:val="95"/>
              </w:rPr>
              <w:t>2001</w:t>
            </w:r>
          </w:p>
        </w:tc>
        <w:tc>
          <w:tcPr>
            <w:tcW w:w="100" w:type="dxa"/>
            <w:vAlign w:val="bottom"/>
          </w:tcPr>
          <w:p>
            <w:pPr>
              <w:spacing w:after="0"/>
              <w:rPr>
                <w:sz w:val="18"/>
                <w:szCs w:val="18"/>
                <w:color w:val="auto"/>
              </w:rPr>
            </w:pPr>
          </w:p>
        </w:tc>
        <w:tc>
          <w:tcPr>
            <w:tcW w:w="1680" w:type="dxa"/>
            <w:vAlign w:val="bottom"/>
          </w:tcPr>
          <w:p>
            <w:pPr>
              <w:ind w:left="600"/>
              <w:spacing w:after="0"/>
              <w:rPr>
                <w:sz w:val="20"/>
                <w:szCs w:val="20"/>
                <w:color w:val="auto"/>
              </w:rPr>
            </w:pPr>
            <w:r>
              <w:rPr>
                <w:rFonts w:ascii="Arial" w:cs="Arial" w:eastAsia="Arial" w:hAnsi="Arial"/>
                <w:sz w:val="17"/>
                <w:szCs w:val="17"/>
                <w:color w:val="auto"/>
              </w:rPr>
              <w:t>Series D</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4,975</w:t>
            </w: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F</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9,040</w:t>
            </w:r>
          </w:p>
        </w:tc>
      </w:tr>
      <w:tr>
        <w:trPr>
          <w:trHeight w:val="215"/>
        </w:trPr>
        <w:tc>
          <w:tcPr>
            <w:tcW w:w="720" w:type="dxa"/>
            <w:vAlign w:val="bottom"/>
          </w:tcPr>
          <w:p>
            <w:pPr>
              <w:jc w:val="right"/>
              <w:ind w:right="296"/>
              <w:spacing w:after="0"/>
              <w:rPr>
                <w:sz w:val="20"/>
                <w:szCs w:val="20"/>
                <w:color w:val="auto"/>
              </w:rPr>
            </w:pPr>
            <w:r>
              <w:rPr>
                <w:rFonts w:ascii="Arial" w:cs="Arial" w:eastAsia="Arial" w:hAnsi="Arial"/>
                <w:sz w:val="17"/>
                <w:szCs w:val="17"/>
                <w:color w:val="auto"/>
                <w:w w:val="84"/>
              </w:rPr>
              <w:t>2017</w:t>
            </w:r>
          </w:p>
        </w:tc>
        <w:tc>
          <w:tcPr>
            <w:tcW w:w="100" w:type="dxa"/>
            <w:vAlign w:val="bottom"/>
          </w:tcPr>
          <w:p>
            <w:pPr>
              <w:spacing w:after="0"/>
              <w:rPr>
                <w:sz w:val="18"/>
                <w:szCs w:val="18"/>
                <w:color w:val="auto"/>
              </w:rPr>
            </w:pPr>
          </w:p>
        </w:tc>
        <w:tc>
          <w:tcPr>
            <w:tcW w:w="1680" w:type="dxa"/>
            <w:vAlign w:val="bottom"/>
          </w:tcPr>
          <w:p>
            <w:pPr>
              <w:ind w:left="620"/>
              <w:spacing w:after="0"/>
              <w:rPr>
                <w:sz w:val="20"/>
                <w:szCs w:val="20"/>
                <w:color w:val="auto"/>
              </w:rPr>
            </w:pPr>
            <w:r>
              <w:rPr>
                <w:rFonts w:ascii="Arial" w:cs="Arial" w:eastAsia="Arial" w:hAnsi="Arial"/>
                <w:sz w:val="17"/>
                <w:szCs w:val="17"/>
                <w:color w:val="auto"/>
              </w:rPr>
              <w:t>Series E</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5,800</w:t>
            </w:r>
          </w:p>
        </w:tc>
        <w:tc>
          <w:tcPr>
            <w:tcW w:w="4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23,716</w:t>
            </w: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u w:val="single" w:color="auto"/>
          <w:color w:val="auto"/>
        </w:rPr>
        <w:t>Convertible Promissory Notes</w:t>
      </w:r>
      <w:r>
        <w:rPr>
          <w:rFonts w:ascii="Arial" w:cs="Arial" w:eastAsia="Arial" w:hAnsi="Arial"/>
          <w:sz w:val="17"/>
          <w:szCs w:val="17"/>
          <w:color w:val="auto"/>
        </w:rPr>
        <w:t>. In the years following our issuance of Series D convertible preferred stock in 2001, we borrowed an aggregate of $1.6 million pursuant to promissory “bridge” notes that bore interest at the rate of 6% per annum and subsequently converted into equity securities.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Issued  Gross Proceeds</w:t>
      </w:r>
    </w:p>
    <w:tbl>
      <w:tblPr>
        <w:tblLayout w:type="fixed"/>
        <w:tblInd w:w="4820" w:type="dxa"/>
        <w:tblCellMar>
          <w:top w:w="0" w:type="dxa"/>
          <w:left w:w="0" w:type="dxa"/>
          <w:bottom w:w="0" w:type="dxa"/>
          <w:right w:w="0" w:type="dxa"/>
        </w:tblCellMar>
      </w:tblPr>
      <w:tr>
        <w:trPr>
          <w:trHeight w:val="141"/>
        </w:trPr>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ind w:left="60"/>
              <w:spacing w:after="0" w:line="141" w:lineRule="exact"/>
              <w:rPr>
                <w:sz w:val="20"/>
                <w:szCs w:val="20"/>
                <w:color w:val="auto"/>
              </w:rPr>
            </w:pPr>
            <w:r>
              <w:rPr>
                <w:rFonts w:ascii="Arial" w:cs="Arial" w:eastAsia="Arial" w:hAnsi="Arial"/>
                <w:sz w:val="14"/>
                <w:szCs w:val="14"/>
                <w:i w:val="1"/>
                <w:iCs w:val="1"/>
                <w:color w:val="auto"/>
                <w:w w:val="92"/>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2003</w:t>
            </w: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60" w:type="dxa"/>
            <w:vAlign w:val="bottom"/>
            <w:shd w:val="clear" w:color="auto" w:fill="CCEEFF"/>
          </w:tcPr>
          <w:p>
            <w:pPr>
              <w:spacing w:after="0"/>
              <w:rPr>
                <w:sz w:val="18"/>
                <w:szCs w:val="18"/>
                <w:color w:val="auto"/>
              </w:rPr>
            </w:pPr>
          </w:p>
        </w:tc>
      </w:tr>
      <w:tr>
        <w:trPr>
          <w:trHeight w:val="209"/>
        </w:trPr>
        <w:tc>
          <w:tcPr>
            <w:tcW w:w="720" w:type="dxa"/>
            <w:vAlign w:val="bottom"/>
          </w:tcPr>
          <w:p>
            <w:pPr>
              <w:jc w:val="right"/>
              <w:ind w:right="9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292</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60" w:type="dxa"/>
            <w:vAlign w:val="bottom"/>
            <w:shd w:val="clear" w:color="auto" w:fill="CCEEFF"/>
          </w:tcPr>
          <w:p>
            <w:pPr>
              <w:spacing w:after="0"/>
              <w:rPr>
                <w:sz w:val="18"/>
                <w:szCs w:val="18"/>
                <w:color w:val="auto"/>
              </w:rPr>
            </w:pPr>
          </w:p>
        </w:tc>
      </w:tr>
      <w:tr>
        <w:trPr>
          <w:trHeight w:val="215"/>
        </w:trPr>
        <w:tc>
          <w:tcPr>
            <w:tcW w:w="720" w:type="dxa"/>
            <w:vAlign w:val="bottom"/>
          </w:tcPr>
          <w:p>
            <w:pPr>
              <w:jc w:val="right"/>
              <w:ind w:right="93"/>
              <w:spacing w:after="0"/>
              <w:rPr>
                <w:sz w:val="20"/>
                <w:szCs w:val="20"/>
                <w:color w:val="auto"/>
              </w:rPr>
            </w:pPr>
            <w:r>
              <w:rPr>
                <w:rFonts w:ascii="Arial" w:cs="Arial" w:eastAsia="Arial" w:hAnsi="Arial"/>
                <w:sz w:val="17"/>
                <w:szCs w:val="17"/>
                <w:color w:val="auto"/>
              </w:rPr>
              <w:t>2006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616</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60" w:type="dxa"/>
            <w:vAlign w:val="bottom"/>
            <w:shd w:val="clear" w:color="auto" w:fill="CCEEFF"/>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180" w:firstLine="457"/>
        <w:spacing w:after="0" w:line="271" w:lineRule="auto"/>
        <w:rPr>
          <w:sz w:val="20"/>
          <w:szCs w:val="20"/>
          <w:color w:val="auto"/>
        </w:rPr>
      </w:pPr>
      <w:r>
        <w:rPr>
          <w:rFonts w:ascii="Arial" w:cs="Arial" w:eastAsia="Arial" w:hAnsi="Arial"/>
          <w:sz w:val="17"/>
          <w:szCs w:val="17"/>
          <w:color w:val="auto"/>
        </w:rPr>
        <w:t>The convertible promissory notes were issued with common stock warrants, all of which expired unexercised. Upon the closing of our issuance of Series F convertible preferred stock in December 2016, the outstanding convertible promissory notes converted into 47,454 shares of Series F convertible preferred stock and 1,812,069 shares of Class A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448" w:right="2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u w:val="single" w:color="auto"/>
          <w:color w:val="auto"/>
        </w:rPr>
        <w:t>ACM Shanghai Equity</w:t>
      </w:r>
      <w:r>
        <w:rPr>
          <w:rFonts w:ascii="Arial" w:cs="Arial" w:eastAsia="Arial" w:hAnsi="Arial"/>
          <w:sz w:val="17"/>
          <w:szCs w:val="17"/>
          <w:color w:val="auto"/>
        </w:rPr>
        <w:t>. Three investors have paid a total of $11.0 million to purchase from ACM Shanghai equity interests currently representing 37.1% of ACM Shanghai’s outstanding equity.</w:t>
      </w:r>
    </w:p>
    <w:p>
      <w:pPr>
        <w:spacing w:after="0" w:line="174" w:lineRule="exact"/>
        <w:rPr>
          <w:sz w:val="20"/>
          <w:szCs w:val="20"/>
          <w:color w:val="auto"/>
        </w:rPr>
      </w:pPr>
    </w:p>
    <w:p>
      <w:pPr>
        <w:ind w:left="4820"/>
        <w:spacing w:after="0"/>
        <w:tabs>
          <w:tab w:leader="none" w:pos="5620" w:val="left"/>
        </w:tabs>
        <w:rPr>
          <w:sz w:val="20"/>
          <w:szCs w:val="20"/>
          <w:color w:val="auto"/>
        </w:rPr>
      </w:pPr>
      <w:r>
        <w:rPr>
          <w:rFonts w:ascii="Arial" w:cs="Arial" w:eastAsia="Arial" w:hAnsi="Arial"/>
          <w:sz w:val="14"/>
          <w:szCs w:val="14"/>
          <w:b w:val="1"/>
          <w:bCs w:val="1"/>
          <w:u w:val="single" w:color="auto"/>
          <w:color w:val="auto"/>
        </w:rPr>
        <w:t>Year Issued</w:t>
      </w:r>
      <w:r>
        <w:rPr>
          <w:sz w:val="20"/>
          <w:szCs w:val="20"/>
          <w:color w:val="auto"/>
        </w:rPr>
        <w:tab/>
      </w:r>
      <w:r>
        <w:rPr>
          <w:rFonts w:ascii="Arial" w:cs="Arial" w:eastAsia="Arial" w:hAnsi="Arial"/>
          <w:sz w:val="10"/>
          <w:szCs w:val="10"/>
          <w:b w:val="1"/>
          <w:bCs w:val="1"/>
          <w:u w:val="single" w:color="auto"/>
          <w:color w:val="auto"/>
        </w:rPr>
        <w:t>Gross Proceeds</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-635</wp:posOffset>
            </wp:positionV>
            <wp:extent cx="1125855" cy="132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25855" cy="132715"/>
                    </a:xfrm>
                    <a:prstGeom prst="rect">
                      <a:avLst/>
                    </a:prstGeom>
                    <a:noFill/>
                  </pic:spPr>
                </pic:pic>
              </a:graphicData>
            </a:graphic>
          </wp:anchor>
        </w:drawing>
      </w:r>
    </w:p>
    <w:p>
      <w:pPr>
        <w:ind w:left="5020"/>
        <w:spacing w:after="0"/>
        <w:tabs>
          <w:tab w:leader="none" w:pos="5620" w:val="left"/>
          <w:tab w:leader="none" w:pos="6140" w:val="left"/>
        </w:tabs>
        <w:rPr>
          <w:sz w:val="20"/>
          <w:szCs w:val="20"/>
          <w:color w:val="auto"/>
        </w:rPr>
      </w:pPr>
      <w:r>
        <w:rPr>
          <w:rFonts w:ascii="Arial" w:cs="Arial" w:eastAsia="Arial" w:hAnsi="Arial"/>
          <w:sz w:val="17"/>
          <w:szCs w:val="17"/>
          <w:color w:val="auto"/>
        </w:rPr>
        <w:t>2007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5,252</w:t>
      </w:r>
    </w:p>
    <w:p>
      <w:pPr>
        <w:spacing w:after="0" w:line="11" w:lineRule="exact"/>
        <w:rPr>
          <w:sz w:val="20"/>
          <w:szCs w:val="20"/>
          <w:color w:val="auto"/>
        </w:rPr>
      </w:pPr>
    </w:p>
    <w:p>
      <w:pPr>
        <w:ind w:left="5020"/>
        <w:spacing w:after="0"/>
        <w:tabs>
          <w:tab w:leader="none" w:pos="6140" w:val="left"/>
        </w:tabs>
        <w:rPr>
          <w:sz w:val="20"/>
          <w:szCs w:val="20"/>
          <w:color w:val="auto"/>
        </w:rPr>
      </w:pPr>
      <w:r>
        <w:rPr>
          <w:rFonts w:ascii="Arial" w:cs="Arial" w:eastAsia="Arial" w:hAnsi="Arial"/>
          <w:sz w:val="17"/>
          <w:szCs w:val="17"/>
          <w:color w:val="auto"/>
        </w:rPr>
        <w:t>2008</w:t>
      </w:r>
      <w:r>
        <w:rPr>
          <w:sz w:val="20"/>
          <w:szCs w:val="20"/>
          <w:color w:val="auto"/>
        </w:rPr>
        <w:tab/>
      </w:r>
      <w:r>
        <w:rPr>
          <w:rFonts w:ascii="Arial" w:cs="Arial" w:eastAsia="Arial" w:hAnsi="Arial"/>
          <w:sz w:val="17"/>
          <w:szCs w:val="17"/>
          <w:color w:val="auto"/>
        </w:rPr>
        <w:t>2,358</w:t>
      </w:r>
    </w:p>
    <w:p>
      <w:pPr>
        <w:spacing w:after="0" w:line="13" w:lineRule="exact"/>
        <w:rPr>
          <w:sz w:val="20"/>
          <w:szCs w:val="20"/>
          <w:color w:val="auto"/>
        </w:rPr>
      </w:pPr>
    </w:p>
    <w:p>
      <w:pPr>
        <w:ind w:left="5020"/>
        <w:spacing w:after="0"/>
        <w:tabs>
          <w:tab w:leader="none" w:pos="6140" w:val="left"/>
        </w:tabs>
        <w:rPr>
          <w:sz w:val="20"/>
          <w:szCs w:val="20"/>
          <w:color w:val="auto"/>
        </w:rPr>
      </w:pPr>
      <w:r>
        <w:rPr>
          <w:rFonts w:ascii="Arial" w:cs="Arial" w:eastAsia="Arial" w:hAnsi="Arial"/>
          <w:sz w:val="17"/>
          <w:szCs w:val="17"/>
          <w:color w:val="auto"/>
        </w:rPr>
        <w:t>2009</w:t>
      </w:r>
      <w:r>
        <w:rPr>
          <w:sz w:val="20"/>
          <w:szCs w:val="20"/>
          <w:color w:val="auto"/>
        </w:rPr>
        <w:tab/>
      </w:r>
      <w:r>
        <w:rPr>
          <w:rFonts w:ascii="Arial" w:cs="Arial" w:eastAsia="Arial" w:hAnsi="Arial"/>
          <w:sz w:val="17"/>
          <w:szCs w:val="17"/>
          <w:color w:val="auto"/>
        </w:rPr>
        <w:t>3,365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-123190</wp:posOffset>
            </wp:positionV>
            <wp:extent cx="1125855" cy="140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25855" cy="140970"/>
                    </a:xfrm>
                    <a:prstGeom prst="rect">
                      <a:avLst/>
                    </a:prstGeom>
                    <a:noFill/>
                  </pic:spPr>
                </pic:pic>
              </a:graphicData>
            </a:graphic>
          </wp:anchor>
        </w:drawing>
      </w:r>
    </w:p>
    <w:p>
      <w:pPr>
        <w:spacing w:after="0" w:line="7" w:lineRule="exact"/>
        <w:rPr>
          <w:sz w:val="20"/>
          <w:szCs w:val="20"/>
          <w:color w:val="auto"/>
        </w:rPr>
      </w:pPr>
    </w:p>
    <w:p>
      <w:pPr>
        <w:ind w:left="6080" w:hanging="444"/>
        <w:spacing w:after="0"/>
        <w:tabs>
          <w:tab w:leader="none" w:pos="6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10,975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15875</wp:posOffset>
            </wp:positionV>
            <wp:extent cx="5797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33020</wp:posOffset>
            </wp:positionV>
            <wp:extent cx="579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58"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We have entered into agreements with the three minority investors pursuant to which ACM Research will acquire, before the closing of this offering, all of the minority equity interests in ACM Shanghai, as described under “—Recent Equity Transactions—Acquisitions of Outstanding Minority Interests in Our Operating Company.”</w:t>
      </w:r>
    </w:p>
    <w:p>
      <w:pPr>
        <w:spacing w:after="0" w:line="172" w:lineRule="exact"/>
        <w:rPr>
          <w:sz w:val="20"/>
          <w:szCs w:val="20"/>
          <w:color w:val="auto"/>
        </w:rPr>
      </w:pPr>
    </w:p>
    <w:p>
      <w:pPr>
        <w:ind w:right="140" w:firstLine="457"/>
        <w:spacing w:after="0" w:line="288" w:lineRule="auto"/>
        <w:rPr>
          <w:sz w:val="20"/>
          <w:szCs w:val="20"/>
          <w:color w:val="auto"/>
        </w:rPr>
      </w:pPr>
      <w:r>
        <w:rPr>
          <w:rFonts w:ascii="Arial" w:cs="Arial" w:eastAsia="Arial" w:hAnsi="Arial"/>
          <w:sz w:val="16"/>
          <w:szCs w:val="16"/>
          <w:u w:val="single" w:color="auto"/>
          <w:color w:val="auto"/>
        </w:rPr>
        <w:t>Warrant</w:t>
      </w:r>
      <w:r>
        <w:rPr>
          <w:rFonts w:ascii="Arial" w:cs="Arial" w:eastAsia="Arial" w:hAnsi="Arial"/>
          <w:sz w:val="16"/>
          <w:szCs w:val="16"/>
          <w:color w:val="auto"/>
        </w:rPr>
        <w:t>. In December 2016 SMC delivered to ACM Shanghai 20,123,500 RMB (approximately $3.0 million as of the date of funding) in cash for potential investment pursuant to terms to be subsequently negotiated. In March 2017 we issued to SMC a warrant exercisable to purchase 397,502 shares of Class A common stock at a price of $7.50 per share, for a total exercise price of approximately $3.0 million. ACM Shanghai may become obligated to repay to SMC an amount equal to approximately $3.0 million in the circumstances described under “—Recent Equity Transactions—Issuance of Warrant.”</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Indebtedness</w:t>
      </w:r>
    </w:p>
    <w:p>
      <w:pPr>
        <w:spacing w:after="0" w:line="117"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u w:val="single" w:color="auto"/>
          <w:color w:val="auto"/>
        </w:rPr>
        <w:t>Promissory Notes</w:t>
      </w:r>
      <w:r>
        <w:rPr>
          <w:rFonts w:ascii="Arial" w:cs="Arial" w:eastAsia="Arial" w:hAnsi="Arial"/>
          <w:sz w:val="17"/>
          <w:szCs w:val="17"/>
          <w:color w:val="auto"/>
        </w:rPr>
        <w:t>. From 2003 through 2014 we borrowed an aggregate of $888,000 pursuant to non-convertible term notes as well as from convertible promissory notes that were repaid in cash. All of these notes bore interest at a rate of 6% per annum.</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Date Issued Gross Proceeds</w:t>
      </w:r>
    </w:p>
    <w:p>
      <w:pPr>
        <w:spacing w:after="0" w:line="18" w:lineRule="exact"/>
        <w:rPr>
          <w:sz w:val="20"/>
          <w:szCs w:val="20"/>
          <w:color w:val="auto"/>
        </w:rPr>
      </w:pPr>
    </w:p>
    <w:tbl>
      <w:tblPr>
        <w:tblLayout w:type="fixed"/>
        <w:tblInd w:w="4840" w:type="dxa"/>
        <w:tblCellMar>
          <w:top w:w="0" w:type="dxa"/>
          <w:left w:w="0" w:type="dxa"/>
          <w:bottom w:w="0" w:type="dxa"/>
          <w:right w:w="0" w:type="dxa"/>
        </w:tblCellMar>
      </w:tblPr>
      <w:tr>
        <w:trPr>
          <w:trHeight w:val="136"/>
        </w:trPr>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i w:val="1"/>
                <w:iCs w:val="1"/>
                <w:color w:val="auto"/>
                <w:w w:val="94"/>
              </w:rPr>
              <w:t>(in thousands)</w:t>
            </w:r>
          </w:p>
        </w:tc>
        <w:tc>
          <w:tcPr>
            <w:tcW w:w="40" w:type="dxa"/>
            <w:vAlign w:val="bottom"/>
            <w:gridSpan w:val="2"/>
          </w:tcPr>
          <w:p>
            <w:pPr>
              <w:spacing w:after="0"/>
              <w:rPr>
                <w:sz w:val="11"/>
                <w:szCs w:val="11"/>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2003</w:t>
            </w:r>
          </w:p>
        </w:tc>
        <w:tc>
          <w:tcPr>
            <w:tcW w:w="46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9"/>
        </w:trPr>
        <w:tc>
          <w:tcPr>
            <w:tcW w:w="700" w:type="dxa"/>
            <w:vAlign w:val="bottom"/>
          </w:tcPr>
          <w:p>
            <w:pPr>
              <w:jc w:val="right"/>
              <w:ind w:right="93"/>
              <w:spacing w:after="0"/>
              <w:rPr>
                <w:sz w:val="20"/>
                <w:szCs w:val="20"/>
                <w:color w:val="auto"/>
              </w:rPr>
            </w:pPr>
            <w:r>
              <w:rPr>
                <w:rFonts w:ascii="Arial" w:cs="Arial" w:eastAsia="Arial" w:hAnsi="Arial"/>
                <w:sz w:val="17"/>
                <w:szCs w:val="17"/>
                <w:color w:val="auto"/>
              </w:rPr>
              <w:t>2004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162</w:t>
            </w:r>
          </w:p>
        </w:tc>
        <w:tc>
          <w:tcPr>
            <w:tcW w:w="20" w:type="dxa"/>
            <w:vAlign w:val="bottom"/>
          </w:tcPr>
          <w:p>
            <w:pPr>
              <w:spacing w:after="0"/>
              <w:rPr>
                <w:sz w:val="18"/>
                <w:szCs w:val="18"/>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468</w:t>
            </w:r>
          </w:p>
        </w:tc>
        <w:tc>
          <w:tcPr>
            <w:tcW w:w="20" w:type="dxa"/>
            <w:vAlign w:val="bottom"/>
            <w:shd w:val="clear" w:color="auto" w:fill="CCEEFF"/>
          </w:tcPr>
          <w:p>
            <w:pPr>
              <w:spacing w:after="0"/>
              <w:rPr>
                <w:sz w:val="18"/>
                <w:szCs w:val="18"/>
                <w:color w:val="auto"/>
              </w:rPr>
            </w:pPr>
          </w:p>
        </w:tc>
      </w:tr>
      <w:tr>
        <w:trPr>
          <w:trHeight w:val="209"/>
        </w:trPr>
        <w:tc>
          <w:tcPr>
            <w:tcW w:w="700" w:type="dxa"/>
            <w:vAlign w:val="bottom"/>
          </w:tcPr>
          <w:p>
            <w:pPr>
              <w:jc w:val="right"/>
              <w:ind w:right="93"/>
              <w:spacing w:after="0"/>
              <w:rPr>
                <w:sz w:val="20"/>
                <w:szCs w:val="20"/>
                <w:color w:val="auto"/>
              </w:rPr>
            </w:pPr>
            <w:r>
              <w:rPr>
                <w:rFonts w:ascii="Arial" w:cs="Arial" w:eastAsia="Arial" w:hAnsi="Arial"/>
                <w:sz w:val="17"/>
                <w:szCs w:val="17"/>
                <w:color w:val="auto"/>
              </w:rPr>
              <w:t>2013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2014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5"/>
        </w:trPr>
        <w:tc>
          <w:tcPr>
            <w:tcW w:w="700" w:type="dxa"/>
            <w:vAlign w:val="bottom"/>
          </w:tcPr>
          <w:p>
            <w:pPr>
              <w:spacing w:after="0"/>
              <w:rPr>
                <w:sz w:val="18"/>
                <w:szCs w:val="18"/>
                <w:color w:val="auto"/>
              </w:rPr>
            </w:pPr>
          </w:p>
        </w:tc>
        <w:tc>
          <w:tcPr>
            <w:tcW w:w="460" w:type="dxa"/>
            <w:vAlign w:val="bottom"/>
            <w:gridSpan w:val="2"/>
          </w:tcPr>
          <w:p>
            <w:pPr>
              <w:jc w:val="right"/>
              <w:ind w:right="231"/>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888</w:t>
            </w:r>
          </w:p>
        </w:tc>
        <w:tc>
          <w:tcPr>
            <w:tcW w:w="2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ACM Shanghai Short-Term Loan Facilities</w:t>
      </w:r>
      <w:r>
        <w:rPr>
          <w:rFonts w:ascii="Arial" w:cs="Arial" w:eastAsia="Arial" w:hAnsi="Arial"/>
          <w:sz w:val="17"/>
          <w:szCs w:val="17"/>
          <w:color w:val="auto"/>
        </w:rPr>
        <w:t>. ACM Shanghai is a party to lines of credit with three banks,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Agreement</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Annual</w:t>
            </w:r>
          </w:p>
        </w:tc>
        <w:tc>
          <w:tcPr>
            <w:tcW w:w="1380" w:type="dxa"/>
            <w:vAlign w:val="bottom"/>
            <w:gridSpan w:val="3"/>
          </w:tcPr>
          <w:p>
            <w:pPr>
              <w:ind w:left="240"/>
              <w:spacing w:after="0"/>
              <w:rPr>
                <w:sz w:val="20"/>
                <w:szCs w:val="20"/>
                <w:color w:val="auto"/>
              </w:rPr>
            </w:pPr>
            <w:r>
              <w:rPr>
                <w:rFonts w:ascii="Arial" w:cs="Arial" w:eastAsia="Arial" w:hAnsi="Arial"/>
                <w:sz w:val="14"/>
                <w:szCs w:val="14"/>
                <w:b w:val="1"/>
                <w:bCs w:val="1"/>
                <w:color w:val="auto"/>
              </w:rPr>
              <w:t>Maximum</w:t>
            </w: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3"/>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Lender</w:t>
            </w:r>
          </w:p>
        </w:tc>
        <w:tc>
          <w:tcPr>
            <w:tcW w:w="3780" w:type="dxa"/>
            <w:vAlign w:val="bottom"/>
            <w:gridSpan w:val="2"/>
            <w:vMerge w:val="restart"/>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3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Maturity Date</w:t>
            </w:r>
          </w:p>
        </w:tc>
        <w:tc>
          <w:tcPr>
            <w:tcW w:w="28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80" w:type="dxa"/>
            <w:vAlign w:val="bottom"/>
            <w:gridSpan w:val="3"/>
          </w:tcPr>
          <w:p>
            <w:pPr>
              <w:ind w:left="240"/>
              <w:spacing w:after="0" w:line="143" w:lineRule="exact"/>
              <w:rPr>
                <w:sz w:val="20"/>
                <w:szCs w:val="20"/>
                <w:color w:val="auto"/>
              </w:rPr>
            </w:pPr>
            <w:r>
              <w:rPr>
                <w:rFonts w:ascii="Arial" w:cs="Arial" w:eastAsia="Arial" w:hAnsi="Arial"/>
                <w:sz w:val="14"/>
                <w:szCs w:val="14"/>
                <w:b w:val="1"/>
                <w:bCs w:val="1"/>
                <w:color w:val="auto"/>
              </w:rPr>
              <w:t>Borrowing</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 w:type="dxa"/>
            <w:vAlign w:val="bottom"/>
            <w:tcBorders>
              <w:bottom w:val="single" w:sz="8" w:color="auto"/>
            </w:tcBorders>
            <w:vMerge w:val="continue"/>
          </w:tcPr>
          <w:p>
            <w:pPr>
              <w:spacing w:after="0"/>
              <w:rPr>
                <w:sz w:val="14"/>
                <w:szCs w:val="14"/>
                <w:color w:val="auto"/>
              </w:rPr>
            </w:pPr>
          </w:p>
        </w:tc>
        <w:tc>
          <w:tcPr>
            <w:tcW w:w="3780" w:type="dxa"/>
            <w:vAlign w:val="bottom"/>
            <w:tcBorders>
              <w:bottom w:val="single" w:sz="8" w:color="CCEEFF"/>
            </w:tcBorders>
            <w:gridSpan w:val="2"/>
            <w:vMerge w:val="continue"/>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4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Amount(1)</w:t>
            </w:r>
          </w:p>
        </w:tc>
        <w:tc>
          <w:tcPr>
            <w:tcW w:w="280" w:type="dxa"/>
            <w:vAlign w:val="bottom"/>
            <w:tcBorders>
              <w:bottom w:val="single" w:sz="8" w:color="CCEEFF"/>
            </w:tcBorders>
            <w:gridSpan w:val="2"/>
          </w:tcPr>
          <w:p>
            <w:pPr>
              <w:spacing w:after="0"/>
              <w:rPr>
                <w:sz w:val="14"/>
                <w:szCs w:val="1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8"/>
              </w:rPr>
              <w:t>Outstanding(1)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Bank</w:t>
            </w: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 China Pudong Branch</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2017</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March 2018</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5.69%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RMB30,000</w:t>
            </w:r>
          </w:p>
        </w:tc>
        <w:tc>
          <w:tcPr>
            <w:tcW w:w="280" w:type="dxa"/>
            <w:vAlign w:val="bottom"/>
            <w:gridSpan w:val="2"/>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RMB14,500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$4,521</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$2,185</w:t>
            </w:r>
          </w:p>
        </w:tc>
        <w:tc>
          <w:tcPr>
            <w:tcW w:w="0" w:type="dxa"/>
            <w:vAlign w:val="bottom"/>
          </w:tcPr>
          <w:p>
            <w:pPr>
              <w:spacing w:after="0"/>
              <w:rPr>
                <w:sz w:val="1"/>
                <w:szCs w:val="1"/>
                <w:color w:val="auto"/>
              </w:rPr>
            </w:pPr>
          </w:p>
        </w:tc>
      </w:tr>
      <w:tr>
        <w:trPr>
          <w:trHeight w:val="209"/>
        </w:trPr>
        <w:tc>
          <w:tcPr>
            <w:tcW w:w="4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Bank of Shanghai Pudong Branch</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August 2017</w:t>
            </w:r>
          </w:p>
        </w:tc>
        <w:tc>
          <w:tcPr>
            <w:tcW w:w="16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September 2018</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5.66</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RMB25,000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RMB8,540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$3,768</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$1,287</w:t>
            </w:r>
          </w:p>
        </w:tc>
        <w:tc>
          <w:tcPr>
            <w:tcW w:w="0" w:type="dxa"/>
            <w:vAlign w:val="bottom"/>
          </w:tcPr>
          <w:p>
            <w:pPr>
              <w:spacing w:after="0"/>
              <w:rPr>
                <w:sz w:val="1"/>
                <w:szCs w:val="1"/>
                <w:color w:val="auto"/>
              </w:rPr>
            </w:pPr>
          </w:p>
        </w:tc>
      </w:tr>
      <w:tr>
        <w:trPr>
          <w:trHeight w:val="209"/>
        </w:trPr>
        <w:tc>
          <w:tcPr>
            <w:tcW w:w="4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Shanghai Rural Commercial Bank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September 2017</w:t>
            </w:r>
          </w:p>
        </w:tc>
        <w:tc>
          <w:tcPr>
            <w:tcW w:w="16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September 2018</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5.44-5.66</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RMB5,000</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RMB60,000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RMB23,040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$9,043</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$3,472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tab/>
        <w:t>Converted to dollars as of September 30, 2017</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8"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All of the amounts owing under the line of credit with Bank of China Pudong Branch are secured by ACM Shanghai’s intellectual property. All of the amounts owing under the lines of credit with Bank of Shanghai Pudong Branch and Shanghai Rural Commercial Bank are guaranteed by David Wang, our Chair of the Board, Chief Executive Officer and President.</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Cash Flow from Operating Activities</w:t>
      </w:r>
    </w:p>
    <w:p>
      <w:pPr>
        <w:spacing w:after="0" w:line="117" w:lineRule="exact"/>
        <w:rPr>
          <w:sz w:val="20"/>
          <w:szCs w:val="20"/>
          <w:color w:val="auto"/>
        </w:rPr>
      </w:pPr>
    </w:p>
    <w:p>
      <w:pPr>
        <w:ind w:right="20" w:firstLine="457"/>
        <w:spacing w:after="0" w:line="312" w:lineRule="auto"/>
        <w:rPr>
          <w:sz w:val="20"/>
          <w:szCs w:val="20"/>
          <w:color w:val="auto"/>
        </w:rPr>
      </w:pPr>
      <w:r>
        <w:rPr>
          <w:rFonts w:ascii="Arial" w:cs="Arial" w:eastAsia="Arial" w:hAnsi="Arial"/>
          <w:sz w:val="15"/>
          <w:szCs w:val="15"/>
          <w:color w:val="auto"/>
        </w:rPr>
        <w:t>As we initiated and grew our business from our inception in 1998 through 2014, in 2016 and in the first half of 2017, our operating activities used cash flow. Our operations provided cash flow of $2.7 million in 2015, and used cash flow of $3.7 million in 2016 and provided cash flow of $3.0 million in the first half of 2017. Our cash flow from operating activities is influenced by (a) the amount of cash we invest in personnel and technology development to support anticipated future growth in our business, (b) increases in the number of customers using our products and services, and (c) the amount and timing of payments by customers.</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Government Research and Development Grants</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As described under “—Key Components of Results of Operations—PRC Government Research and Development Funding,” ACM Shanghai has received research and development grants from local and central PRC governmental authorities.</w:t>
      </w:r>
    </w:p>
    <w:p>
      <w:pPr>
        <w:spacing w:after="0" w:line="174" w:lineRule="exact"/>
        <w:rPr>
          <w:sz w:val="20"/>
          <w:szCs w:val="20"/>
          <w:color w:val="auto"/>
        </w:rPr>
      </w:pPr>
    </w:p>
    <w:tbl>
      <w:tblPr>
        <w:tblLayout w:type="fixed"/>
        <w:tblInd w:w="4160" w:type="dxa"/>
        <w:tblCellMar>
          <w:top w:w="0" w:type="dxa"/>
          <w:left w:w="0" w:type="dxa"/>
          <w:bottom w:w="0" w:type="dxa"/>
          <w:right w:w="0" w:type="dxa"/>
        </w:tblCellMar>
      </w:tblPr>
      <w:tr>
        <w:trPr>
          <w:trHeight w:val="179"/>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Award Date</w:t>
            </w: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w w:val="97"/>
              </w:rPr>
              <w:t>Grant Amount</w:t>
            </w:r>
          </w:p>
        </w:tc>
      </w:tr>
      <w:tr>
        <w:trPr>
          <w:trHeight w:val="136"/>
        </w:trPr>
        <w:tc>
          <w:tcPr>
            <w:tcW w:w="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i w:val="1"/>
                <w:iCs w:val="1"/>
                <w:color w:val="auto"/>
                <w:w w:val="92"/>
              </w:rPr>
              <w:t>(in thousands)</w:t>
            </w:r>
          </w:p>
        </w:tc>
        <w:tc>
          <w:tcPr>
            <w:tcW w:w="4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2007-2010</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4,288</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2011</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6,334</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3,278</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2013</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2,442</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6,256</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2015</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6,579</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6,620</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auto"/>
                <w:w w:val="93"/>
              </w:rPr>
              <w:t>2017 (through September 30)</w:t>
            </w: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2,387</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38,184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Not all grant amounts are received in the year in which a grant is awarded. As of September 30, 2017, ACM Shanghai expected to receive an additional $2.9 million in the future. We currently estimate ACM Shanghai will receive between $1.6 and $2.7 million in 2017, $2.4 million of which had been received as of September 30, 2017.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26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Working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selected working capital information:</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June 30,</w:t>
            </w:r>
          </w:p>
        </w:tc>
      </w:tr>
      <w:tr>
        <w:trPr>
          <w:trHeight w:val="166"/>
        </w:trPr>
        <w:tc>
          <w:tcPr>
            <w:tcW w:w="4360" w:type="dxa"/>
            <w:vAlign w:val="bottom"/>
          </w:tcPr>
          <w:p>
            <w:pPr>
              <w:spacing w:after="0"/>
              <w:rPr>
                <w:sz w:val="14"/>
                <w:szCs w:val="14"/>
                <w:color w:val="auto"/>
              </w:rPr>
            </w:pPr>
          </w:p>
        </w:tc>
        <w:tc>
          <w:tcPr>
            <w:tcW w:w="5180" w:type="dxa"/>
            <w:vAlign w:val="bottom"/>
            <w:gridSpan w:val="2"/>
          </w:tcPr>
          <w:p>
            <w:pPr>
              <w:jc w:val="center"/>
              <w:ind w:left="4256"/>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136"/>
        </w:trPr>
        <w:tc>
          <w:tcPr>
            <w:tcW w:w="43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8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i w:val="1"/>
                <w:iCs w:val="1"/>
                <w:color w:val="auto"/>
                <w:w w:val="87"/>
              </w:rPr>
              <w:t>(in thousands)</w:t>
            </w:r>
          </w:p>
        </w:tc>
        <w:tc>
          <w:tcPr>
            <w:tcW w:w="60" w:type="dxa"/>
            <w:vAlign w:val="bottom"/>
          </w:tcPr>
          <w:p>
            <w:pPr>
              <w:spacing w:after="0"/>
              <w:rPr>
                <w:sz w:val="11"/>
                <w:szCs w:val="11"/>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13,206</w:t>
            </w:r>
          </w:p>
        </w:tc>
        <w:tc>
          <w:tcPr>
            <w:tcW w:w="60" w:type="dxa"/>
            <w:vAlign w:val="bottom"/>
            <w:shd w:val="clear" w:color="auto" w:fill="CCEEFF"/>
          </w:tcPr>
          <w:p>
            <w:pPr>
              <w:spacing w:after="0"/>
              <w:rPr>
                <w:sz w:val="18"/>
                <w:szCs w:val="18"/>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7"/>
                <w:szCs w:val="17"/>
                <w:color w:val="auto"/>
              </w:rPr>
              <w:t>Accounts receivable, less allowance for doubtful amounts</w:t>
            </w:r>
          </w:p>
        </w:tc>
        <w:tc>
          <w:tcPr>
            <w:tcW w:w="5180" w:type="dxa"/>
            <w:vAlign w:val="bottom"/>
            <w:gridSpan w:val="2"/>
          </w:tcPr>
          <w:p>
            <w:pPr>
              <w:jc w:val="right"/>
              <w:spacing w:after="0"/>
              <w:rPr>
                <w:sz w:val="20"/>
                <w:szCs w:val="20"/>
                <w:color w:val="auto"/>
              </w:rPr>
            </w:pPr>
            <w:r>
              <w:rPr>
                <w:rFonts w:ascii="Arial" w:cs="Arial" w:eastAsia="Arial" w:hAnsi="Arial"/>
                <w:sz w:val="17"/>
                <w:szCs w:val="17"/>
                <w:color w:val="auto"/>
              </w:rPr>
              <w:t>12,310</w:t>
            </w:r>
          </w:p>
        </w:tc>
        <w:tc>
          <w:tcPr>
            <w:tcW w:w="60" w:type="dxa"/>
            <w:vAlign w:val="bottom"/>
          </w:tcPr>
          <w:p>
            <w:pPr>
              <w:spacing w:after="0"/>
              <w:rPr>
                <w:sz w:val="18"/>
                <w:szCs w:val="18"/>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14,106</w:t>
            </w:r>
          </w:p>
        </w:tc>
        <w:tc>
          <w:tcPr>
            <w:tcW w:w="60" w:type="dxa"/>
            <w:vAlign w:val="bottom"/>
            <w:shd w:val="clear" w:color="auto" w:fill="CCEEFF"/>
          </w:tcPr>
          <w:p>
            <w:pPr>
              <w:spacing w:after="0"/>
              <w:rPr>
                <w:sz w:val="18"/>
                <w:szCs w:val="18"/>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7"/>
                <w:szCs w:val="17"/>
                <w:color w:val="auto"/>
              </w:rPr>
              <w:t>Working capital</w:t>
            </w:r>
          </w:p>
        </w:tc>
        <w:tc>
          <w:tcPr>
            <w:tcW w:w="5180" w:type="dxa"/>
            <w:vAlign w:val="bottom"/>
            <w:gridSpan w:val="2"/>
          </w:tcPr>
          <w:p>
            <w:pPr>
              <w:jc w:val="right"/>
              <w:spacing w:after="0"/>
              <w:rPr>
                <w:sz w:val="20"/>
                <w:szCs w:val="20"/>
                <w:color w:val="auto"/>
              </w:rPr>
            </w:pPr>
            <w:r>
              <w:rPr>
                <w:rFonts w:ascii="Arial" w:cs="Arial" w:eastAsia="Arial" w:hAnsi="Arial"/>
                <w:sz w:val="17"/>
                <w:szCs w:val="17"/>
                <w:color w:val="auto"/>
              </w:rPr>
              <w:t>23,433</w:t>
            </w:r>
          </w:p>
        </w:tc>
        <w:tc>
          <w:tcPr>
            <w:tcW w:w="60" w:type="dxa"/>
            <w:vAlign w:val="bottom"/>
          </w:tcPr>
          <w:p>
            <w:pPr>
              <w:spacing w:after="0"/>
              <w:rPr>
                <w:sz w:val="19"/>
                <w:szCs w:val="19"/>
                <w:color w:val="auto"/>
              </w:rPr>
            </w:pPr>
          </w:p>
        </w:tc>
      </w:tr>
      <w:tr>
        <w:trPr>
          <w:trHeight w:val="340"/>
        </w:trPr>
        <w:tc>
          <w:tcPr>
            <w:tcW w:w="4360" w:type="dxa"/>
            <w:vAlign w:val="bottom"/>
          </w:tcPr>
          <w:p>
            <w:pPr>
              <w:spacing w:after="0"/>
              <w:rPr>
                <w:sz w:val="24"/>
                <w:szCs w:val="24"/>
                <w:color w:val="auto"/>
              </w:rPr>
            </w:pPr>
          </w:p>
        </w:tc>
        <w:tc>
          <w:tcPr>
            <w:tcW w:w="4380" w:type="dxa"/>
            <w:vAlign w:val="bottom"/>
          </w:tcPr>
          <w:p>
            <w:pPr>
              <w:jc w:val="right"/>
              <w:ind w:right="3776"/>
              <w:spacing w:after="0"/>
              <w:rPr>
                <w:sz w:val="20"/>
                <w:szCs w:val="20"/>
                <w:color w:val="auto"/>
              </w:rPr>
            </w:pPr>
            <w:r>
              <w:rPr>
                <w:rFonts w:ascii="Arial" w:cs="Arial" w:eastAsia="Arial" w:hAnsi="Arial"/>
                <w:sz w:val="17"/>
                <w:szCs w:val="17"/>
                <w:color w:val="auto"/>
              </w:rPr>
              <w:t>84</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448" w:right="2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Our cash and cash equivalents at June 30, 2017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See “Dividend Policy.”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not entered into, and do not expect to enter into, investments for trading or speculative purposes.</w:t>
      </w:r>
    </w:p>
    <w:p>
      <w:pPr>
        <w:spacing w:after="0" w:line="222"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Our accounts receivable balance fluctuates from period to period, which affects our cash flow from operating activities. Fluctuations vary depending on cash collections, client mix, and the timing of shipment and acceptance of our tools.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Uses of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Capital Expenditures</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Our capital expenditures totaled $795,000 in 2016. Substantially all of the capital expenditures were made to purchase equipment or improve infrastructure for our research and development and manufacturing facilities.</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During 2017 we are continuing to invest in equipment and infrastructure improvements for our manufacturing and research and development facilities and, to a lesser extent, leasehold improvements for our administrative facilities. The extent of these investments may be affected by the pace with which we add new customers and obtain additional purchase orders. Our capital expenditures totaled $26,000 in the six months ended June 30, 2017. We are not currently party to any purchase contracts related to future capital expenditures.</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Contractual Obligations and Requirements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sets forth our commitments to settle contractual obligations as of December 31,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Less than</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1 to 3</w:t>
            </w:r>
          </w:p>
        </w:tc>
        <w:tc>
          <w:tcPr>
            <w:tcW w:w="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3 to 5</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280" w:type="dxa"/>
            <w:vAlign w:val="bottom"/>
          </w:tcPr>
          <w:p>
            <w:pPr>
              <w:spacing w:after="0"/>
              <w:rPr>
                <w:sz w:val="14"/>
                <w:szCs w:val="14"/>
                <w:color w:val="auto"/>
              </w:rPr>
            </w:pP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1 Year</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2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ind w:left="220"/>
              <w:spacing w:after="0" w:line="137" w:lineRule="exact"/>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3920" w:type="dxa"/>
            <w:vAlign w:val="bottom"/>
            <w:gridSpan w:val="3"/>
            <w:shd w:val="clear" w:color="auto" w:fill="CCEEFF"/>
          </w:tcPr>
          <w:p>
            <w:pPr>
              <w:jc w:val="center"/>
              <w:ind w:left="2133"/>
              <w:spacing w:after="0"/>
              <w:rPr>
                <w:sz w:val="20"/>
                <w:szCs w:val="20"/>
                <w:color w:val="auto"/>
              </w:rPr>
            </w:pPr>
            <w:r>
              <w:rPr>
                <w:rFonts w:ascii="Arial" w:cs="Arial" w:eastAsia="Arial" w:hAnsi="Arial"/>
                <w:sz w:val="17"/>
                <w:szCs w:val="17"/>
                <w:color w:val="auto"/>
              </w:rPr>
              <w:t>$ 2,538</w:t>
            </w:r>
          </w:p>
        </w:tc>
        <w:tc>
          <w:tcPr>
            <w:tcW w:w="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8</w:t>
            </w:r>
          </w:p>
        </w:tc>
        <w:tc>
          <w:tcPr>
            <w:tcW w:w="12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2,546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Operating lease obligations with respect to office space consisted of amounts arising under lease agreements for our headquarters in Fremont, California, our operation center in Shanghai, PRC, and other small regional office locations. For additional information about these lease agreements, see “Business—Facilities.” 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80" w:lineRule="exact"/>
        <w:rPr>
          <w:sz w:val="20"/>
          <w:szCs w:val="20"/>
          <w:color w:val="auto"/>
        </w:rPr>
      </w:pPr>
    </w:p>
    <w:p>
      <w:pPr>
        <w:ind w:right="220" w:firstLine="457"/>
        <w:spacing w:after="0" w:line="266" w:lineRule="auto"/>
        <w:rPr>
          <w:sz w:val="20"/>
          <w:szCs w:val="20"/>
          <w:color w:val="auto"/>
        </w:rPr>
      </w:pPr>
      <w:r>
        <w:rPr>
          <w:rFonts w:ascii="Arial" w:cs="Arial" w:eastAsia="Arial" w:hAnsi="Arial"/>
          <w:sz w:val="17"/>
          <w:szCs w:val="17"/>
          <w:color w:val="auto"/>
        </w:rPr>
        <w:t>As of June 30, 2017, we did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trading activities involving non-exchange traded contracts. We therefore believe we are not materially exposed to any financing, liquidity, market or credit risk that could arise if we had engaged in these relationships.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12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8"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As of June 30, 2017, we did not have any significant off-balance sheet arrangements, as defined in Item 303(a)(4)(ii) of Regulation S-K of the Securities and Exchange Commission.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123" w:lineRule="exact"/>
        <w:rPr>
          <w:sz w:val="20"/>
          <w:szCs w:val="20"/>
          <w:color w:val="auto"/>
        </w:rPr>
      </w:pPr>
    </w:p>
    <w:p>
      <w:pPr>
        <w:ind w:right="320" w:firstLine="457"/>
        <w:spacing w:after="0" w:line="357" w:lineRule="auto"/>
        <w:rPr>
          <w:sz w:val="20"/>
          <w:szCs w:val="20"/>
          <w:color w:val="auto"/>
        </w:rPr>
      </w:pPr>
      <w:r>
        <w:rPr>
          <w:rFonts w:ascii="Arial" w:cs="Arial" w:eastAsia="Arial" w:hAnsi="Arial"/>
          <w:sz w:val="15"/>
          <w:szCs w:val="15"/>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117"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Although our financial statements are denominated in U.S. dollars, a sizable portion of our revenues and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54" w:lineRule="exact"/>
        <w:rPr>
          <w:sz w:val="20"/>
          <w:szCs w:val="20"/>
          <w:color w:val="auto"/>
        </w:rPr>
      </w:pPr>
    </w:p>
    <w:p>
      <w:pPr>
        <w:ind w:right="120" w:firstLine="457"/>
        <w:spacing w:after="0" w:line="284"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To the extent that we need to convert U.S. dollars we received from this offering and the concurrent private placement into Renminbi for our operations or capital expenditures, appreciation of the Renminbi against the U.S. dollar would have an adverse effect on the Renminbi amount we would receive from the conversion. Conversely, if we decide to convert our Renminbi into U.S. dollars for the purpose of making payments for dividends on our Class A common stock or for other business purposes, appreciation of the U.S. dollar against the Renminbi would have a negative effect on the U.S. dollar amount available to us.</w:t>
      </w:r>
    </w:p>
    <w:p>
      <w:pPr>
        <w:spacing w:after="0" w:line="163"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We estimate that we will receive net proceeds from this offering and the concurrent private placement of $15.3 million, if the underwriters do not exercise their over-allotment option, after deducting underwriting discounts and commissions, private placement fees, and estimated offering expenses. Assuming that we convert the full amount of the net proceeds from this offering and the concurrent private placement into Renminbi, a 10% appreciation of the U.S. dollar against the Renminbi, from a rate of RMB6.6369 to $1.00 to a rate of RMB7.3006 to $1.00, will result in an increase of RMB10.1 million in our estimated net proceeds from this offering and the concurrent private placement. Conversely, a 10% depreciation of the U.S. dollar against the Renminbi, from a rate of RMB6.6369 to $1.00 to a rate of RMB5.9732 to $1.00, will result in a decrease of RMB10.1 million in our estimated net proceeds from this offering and the concurrent private placement.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At June 30, 2017, we had unrestricted cash and cash equivalents totaling $13.2 million. These amounts were held for working capital purposes and were primarily in checking accounts of various banks. We believe we do not have any material exposure to changes in our cash balance as a result of changes in interest rates. Declines in interest rates, however, would reduce future interest income.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448" w:right="2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2007 we have focused our development efforts on developing single-wafer wet cleaning equipment based on differentiated proprietary technology:</w:t>
      </w:r>
    </w:p>
    <w:p>
      <w:pPr>
        <w:spacing w:after="0" w:line="142" w:lineRule="exact"/>
        <w:rPr>
          <w:sz w:val="20"/>
          <w:szCs w:val="20"/>
          <w:color w:val="auto"/>
        </w:rPr>
      </w:pPr>
    </w:p>
    <w:p>
      <w:pPr>
        <w:ind w:left="900" w:hanging="439"/>
        <w:spacing w:after="0" w:line="26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SAPS technology, which we introduced in 2009, employs alternating phases of megasonic waves to deliver 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for which jet spray technology has proven to be ineffective.</w:t>
      </w:r>
    </w:p>
    <w:p>
      <w:pPr>
        <w:spacing w:after="0" w:line="85"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TEBO technology, which we introduced in March 2016, has been developed to provide effective, damage-free cleaning for both conventional two-dimensional, or 2D, and three-dimensional, or 3D, patterned wafers at advanced process nodes. We have demonstrated the damage-free cleaning capabilities of TEBO technology on 3D patterned wafers for feature nodes as small as 16nm.</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As of September 30, 2017, we had been issued more than 140 patents in the United States, the People’s Republic of China or the PRC, Japan, Korea, Singapore and Taiwan.</w:t>
      </w:r>
    </w:p>
    <w:p>
      <w:pPr>
        <w:spacing w:after="0" w:line="15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seek to market our single-wafer wet processing equipment by first establishing a referenceable base of leading logic and memory chip makers, whose use of our products can influence decisions by other manufacturers. Our SAPS technology employs alternating phases of megasonic waves to deliver megasonic energy to flat and patterned wafer surfaces in a highly uniform manner on a microscopic level. We believe this process is helping us penetrate the mature integrated circuit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four leading PRC memory and logic chip foundries. Using a similar “demo-to-sales” process, we have placed TEBO evaluation equipment with a leading PRC foundry and a leading Taiwanese foundry and we recognized revenue from our initial sale of TEBO equipment in 2016. Our revenue from the selected customers’ purchases of single-wafer wet cleaning equipment totaled $10.6 million, or 73.6% of our revenue, in the first half of 2017, $21.5 million, or 78.4% of our total revenue, in 2016 and $26.8 million, or 86.0% of our total revenue, in 2015.</w:t>
      </w:r>
    </w:p>
    <w:p>
      <w:pPr>
        <w:spacing w:after="0" w:line="168" w:lineRule="exact"/>
        <w:rPr>
          <w:sz w:val="20"/>
          <w:szCs w:val="20"/>
          <w:color w:val="auto"/>
        </w:rPr>
      </w:pPr>
    </w:p>
    <w:p>
      <w:pPr>
        <w:jc w:val="both"/>
        <w:ind w:right="40" w:firstLine="457"/>
        <w:spacing w:after="0" w:line="263" w:lineRule="auto"/>
        <w:rPr>
          <w:sz w:val="20"/>
          <w:szCs w:val="20"/>
          <w:color w:val="auto"/>
        </w:rPr>
      </w:pPr>
      <w:r>
        <w:rPr>
          <w:rFonts w:ascii="Arial" w:cs="Arial" w:eastAsia="Arial" w:hAnsi="Arial"/>
          <w:sz w:val="17"/>
          <w:szCs w:val="17"/>
          <w:color w:val="auto"/>
        </w:rPr>
        <w:t>In 2006 we established our operational center in Shanghai, and we currently conduct substantially all of our development and manufacturing activities in the PRC. Our Shanghai operations position us near potential customers in not only the PRC but also Taiwan, Korea and throughout Asia, giving us increased access to those customers and reducing shipping and manufacturing costs for equipment they purchase. We continue to perform strategic planning and marketing activities in our corporate headquarters in Fremont, California, and we intend to increase the personnel and functions at our Fremont headquarters as part of our plan to expand our market presence in North America and Europe.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48"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123"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Semiconductors are the foundation of the exponential growth of digital technologies and applications. For more than thirty years, strong demand for personal computers, tablet computers, mobile phones and other digital products has fueled the growth of the semiconductor industry. Today the migration of computing, networking and storage to the cloud and the proliferation of “smart” appliances, buildings, cars and devices—the “Internet of Things”—are driving semiconductor development and manufacturing. IC Insights, Inc. (March 2016) estimates that worldwide semiconductor shipments grew from 103.7 billion units in 1987 to 840.4 billion units in 2015 and will increase at a compound annual growth rate, or CAGR, of 6.7% to reach 1.0 trillion units in 2018.</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Continuing Demand for Faster, Better, Cheaper Chips</w:t>
      </w:r>
    </w:p>
    <w:p>
      <w:pPr>
        <w:spacing w:after="0" w:line="117" w:lineRule="exact"/>
        <w:rPr>
          <w:sz w:val="20"/>
          <w:szCs w:val="20"/>
          <w:color w:val="auto"/>
        </w:rPr>
      </w:pPr>
    </w:p>
    <w:p>
      <w:pPr>
        <w:ind w:right="240" w:firstLine="457"/>
        <w:spacing w:after="0" w:line="263"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A chip is an array of transistors and other circuit elements built on a wafer of substrate material, typically silicon, with wiring and other interconnects that connect the circuit elements to each other and to outside devices. Chips store and manipulate data in binary form, with the two largest categories of integrated circuits being memory chips, for data storage and retrieval, and logic chips, for computer processing and control.</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For a half century the number of transistors that can fit in a given area has roughly doubled every two years, a rate of improvement referred to as “Moore’s Law.” Chip feature sizes have been repeatedly scaled down to pack more transistors in smaller chips. The minimum line width on a chip, known as the node, shrank from 30,000nm in 1963 to 1,000nm in 1989, 90nm in 2003 and 14nm in 2014. A chip today may contain more than thirty billion transistors, with features finer than one ten-thousandth of the diameter of a human hair.</w:t>
      </w:r>
    </w:p>
    <w:p>
      <w:pPr>
        <w:spacing w:after="0" w:line="176"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In recent years, however, the rate of chip improvement delivered solely by shrinking feature sizes has slowed. At the 22nm node, transistor and interconnect parameters for conventional chips, in which features are arrayed in 2D structures, begin to approach their critical performance limitations. For example, photolithography, a key chip manufacturing process that projects 193nm laser light through masks to print patterns on a wafer surface, may be unable to create patterning with sufficient resolution and selectivity. Moreover, the feature density and power levels of a 22nm chip may require additional circuit elements, such as special circuitry to correct errors or to track and adapt to performance variations, that occupy chip area and increase cost.</w:t>
      </w:r>
    </w:p>
    <w:p>
      <w:pPr>
        <w:spacing w:after="0" w:line="163"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 xml:space="preserve">In order to extend Moore’s Law, chip designers and manufacturers are developing and implementing technologies and architectures to transition to advanced chips with 3D structures. Logic chip makers are rapidly adopting use of 3D, fin-shaped Fin Field Effect Transistors, or </w:t>
      </w:r>
      <w:r>
        <w:rPr>
          <w:rFonts w:ascii="Arial" w:cs="Arial" w:eastAsia="Arial" w:hAnsi="Arial"/>
          <w:sz w:val="17"/>
          <w:szCs w:val="17"/>
          <w:i w:val="1"/>
          <w:iCs w:val="1"/>
          <w:color w:val="auto"/>
        </w:rPr>
        <w:t>FinFET</w:t>
      </w:r>
      <w:r>
        <w:rPr>
          <w:rFonts w:ascii="Arial" w:cs="Arial" w:eastAsia="Arial" w:hAnsi="Arial"/>
          <w:sz w:val="17"/>
          <w:szCs w:val="17"/>
          <w:color w:val="auto"/>
        </w:rPr>
        <w:t xml:space="preserve">, which provide faster switching while consuming less power. For memory chip manufacturers, </w:t>
      </w:r>
      <w:r>
        <w:rPr>
          <w:rFonts w:ascii="Arial" w:cs="Arial" w:eastAsia="Arial" w:hAnsi="Arial"/>
          <w:sz w:val="17"/>
          <w:szCs w:val="17"/>
          <w:i w:val="1"/>
          <w:iCs w:val="1"/>
          <w:color w:val="auto"/>
        </w:rPr>
        <w:t>3D NAND</w:t>
      </w:r>
      <w:r>
        <w:rPr>
          <w:rFonts w:ascii="Arial" w:cs="Arial" w:eastAsia="Arial" w:hAnsi="Arial"/>
          <w:sz w:val="17"/>
          <w:szCs w:val="17"/>
          <w:color w:val="auto"/>
        </w:rPr>
        <w:t xml:space="preserve"> stacks memory cells to deliver greater capacity at lower cost and </w:t>
      </w:r>
      <w:r>
        <w:rPr>
          <w:rFonts w:ascii="Arial" w:cs="Arial" w:eastAsia="Arial" w:hAnsi="Arial"/>
          <w:sz w:val="17"/>
          <w:szCs w:val="17"/>
          <w:i w:val="1"/>
          <w:iCs w:val="1"/>
          <w:color w:val="auto"/>
        </w:rPr>
        <w:t>3D cross point</w:t>
      </w:r>
      <w:r>
        <w:rPr>
          <w:rFonts w:ascii="Arial" w:cs="Arial" w:eastAsia="Arial" w:hAnsi="Arial"/>
          <w:sz w:val="17"/>
          <w:szCs w:val="17"/>
          <w:color w:val="auto"/>
        </w:rPr>
        <w:t xml:space="preserve">, a transistor-less memory cell architecture, is being developed to accelerate processing of massive data sets. </w:t>
      </w:r>
      <w:r>
        <w:rPr>
          <w:rFonts w:ascii="Arial" w:cs="Arial" w:eastAsia="Arial" w:hAnsi="Arial"/>
          <w:sz w:val="17"/>
          <w:szCs w:val="17"/>
          <w:i w:val="1"/>
          <w:iCs w:val="1"/>
          <w:color w:val="auto"/>
        </w:rPr>
        <w:t>EUV lithography</w:t>
      </w:r>
      <w:r>
        <w:rPr>
          <w:rFonts w:ascii="Arial" w:cs="Arial" w:eastAsia="Arial" w:hAnsi="Arial"/>
          <w:sz w:val="17"/>
          <w:szCs w:val="17"/>
          <w:color w:val="auto"/>
        </w:rPr>
        <w:t xml:space="preserve"> is a promising manufacturing technology that could improve patterning capability and increase feature density at nodes of 5nm and beyond by extending photolithography to the extreme ultraviolet wavelength of 13.5nm.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Escalating Need for Advanced Chip Manufacturing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Manufacturing steps differ for logic and memory chips, but all chips are manufactured in two general processes:</w:t>
      </w:r>
    </w:p>
    <w:p>
      <w:pPr>
        <w:spacing w:after="0" w:line="130" w:lineRule="exact"/>
        <w:rPr>
          <w:sz w:val="20"/>
          <w:szCs w:val="20"/>
          <w:color w:val="auto"/>
        </w:rPr>
      </w:pPr>
    </w:p>
    <w:p>
      <w:pPr>
        <w:ind w:left="900" w:right="100" w:hanging="439"/>
        <w:spacing w:after="0" w:line="263"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In the front-end fabrication process, hundreds of copies of functional circuitry are created on a 100–to 300–millimeter, or mm, silicon wafer over a period of 6 to 8 weeks. A sequence of a few hundred complex, repetitive steps forms transistors, other circuit elements and interconnects on the wafer through the deposit and selective removal of successive material layers, using </w:t>
      </w:r>
      <w:r>
        <w:rPr>
          <w:rFonts w:ascii="Arial" w:cs="Arial" w:eastAsia="Arial" w:hAnsi="Arial"/>
          <w:sz w:val="17"/>
          <w:szCs w:val="17"/>
          <w:i w:val="1"/>
          <w:iCs w:val="1"/>
          <w:color w:val="auto"/>
        </w:rPr>
        <w:t>photolithography</w:t>
      </w:r>
      <w:r>
        <w:rPr>
          <w:rFonts w:ascii="Arial" w:cs="Arial" w:eastAsia="Arial" w:hAnsi="Arial"/>
          <w:sz w:val="17"/>
          <w:szCs w:val="17"/>
          <w:color w:val="auto"/>
        </w:rPr>
        <w:t xml:space="preserve"> to create a design, </w:t>
      </w:r>
      <w:r>
        <w:rPr>
          <w:rFonts w:ascii="Arial" w:cs="Arial" w:eastAsia="Arial" w:hAnsi="Arial"/>
          <w:sz w:val="17"/>
          <w:szCs w:val="17"/>
          <w:i w:val="1"/>
          <w:iCs w:val="1"/>
          <w:color w:val="auto"/>
        </w:rPr>
        <w:t>deposition</w:t>
      </w:r>
      <w:r>
        <w:rPr>
          <w:rFonts w:ascii="Arial" w:cs="Arial" w:eastAsia="Arial" w:hAnsi="Arial"/>
          <w:sz w:val="17"/>
          <w:szCs w:val="17"/>
          <w:color w:val="auto"/>
        </w:rPr>
        <w:t xml:space="preserve"> to add layers of materials, </w:t>
      </w:r>
      <w:r>
        <w:rPr>
          <w:rFonts w:ascii="Arial" w:cs="Arial" w:eastAsia="Arial" w:hAnsi="Arial"/>
          <w:sz w:val="17"/>
          <w:szCs w:val="17"/>
          <w:i w:val="1"/>
          <w:iCs w:val="1"/>
          <w:color w:val="auto"/>
        </w:rPr>
        <w:t>etching</w:t>
      </w:r>
      <w:r>
        <w:rPr>
          <w:rFonts w:ascii="Arial" w:cs="Arial" w:eastAsia="Arial" w:hAnsi="Arial"/>
          <w:sz w:val="17"/>
          <w:szCs w:val="17"/>
          <w:color w:val="auto"/>
        </w:rPr>
        <w:t xml:space="preserve"> to remove unwanted exposed materials, and </w:t>
      </w:r>
      <w:r>
        <w:rPr>
          <w:rFonts w:ascii="Arial" w:cs="Arial" w:eastAsia="Arial" w:hAnsi="Arial"/>
          <w:sz w:val="17"/>
          <w:szCs w:val="17"/>
          <w:i w:val="1"/>
          <w:iCs w:val="1"/>
          <w:color w:val="auto"/>
        </w:rPr>
        <w:t>chemical mechanical planarization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CMP</w:t>
      </w:r>
      <w:r>
        <w:rPr>
          <w:rFonts w:ascii="Arial" w:cs="Arial" w:eastAsia="Arial" w:hAnsi="Arial"/>
          <w:sz w:val="17"/>
          <w:szCs w:val="17"/>
          <w:color w:val="auto"/>
        </w:rPr>
        <w:t xml:space="preserve"> to smooth the surface for the next cycle of process steps.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448"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240" w:hanging="439"/>
        <w:spacing w:after="0" w:line="271"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back-end assembly and testing process, a completed wafer from the front-end process is cut into individual “dies.” Each die is tested against specifications and, if compliant, encapsulated in a package that protects the die and supports critical power and electrical connections. The resulting chip is then subjected to final electrical and reliability tests.</w:t>
      </w:r>
    </w:p>
    <w:p>
      <w:pPr>
        <w:spacing w:after="0" w:line="172" w:lineRule="exact"/>
        <w:rPr>
          <w:sz w:val="20"/>
          <w:szCs w:val="20"/>
          <w:color w:val="auto"/>
        </w:rPr>
      </w:pPr>
    </w:p>
    <w:p>
      <w:pPr>
        <w:ind w:right="300" w:firstLine="457"/>
        <w:spacing w:after="0" w:line="262" w:lineRule="auto"/>
        <w:rPr>
          <w:sz w:val="20"/>
          <w:szCs w:val="20"/>
          <w:color w:val="auto"/>
        </w:rPr>
      </w:pPr>
      <w:r>
        <w:rPr>
          <w:rFonts w:ascii="Arial" w:cs="Arial" w:eastAsia="Arial" w:hAnsi="Arial"/>
          <w:sz w:val="17"/>
          <w:szCs w:val="17"/>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chip fabrication plant, or fab, may have more than 500 highly specialized tools representing more than 70 categories of equipment, all situated in an environmentally controlled “clean room.” As a result, construction of a new advanced fab can cost between $5 and $10 billion (Semiconductor Industry Association/Nathan Associates, May 2016). Semiconductor Equipment and Materials International or SEMI (August 2016) estimates that worldwide fab tool billings totaled $36.0 billion in 2015 and will reach $41.4 billion by 2017, a CAGR of 7.2%.</w:t>
      </w:r>
    </w:p>
    <w:p>
      <w:pPr>
        <w:spacing w:after="0" w:line="180"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Because of the significant capital expenditures and manufacturing expenses, chip makers focus on improving their yield, which is the percentage of chips on a wafer that conform to specifications. Even with use of precision tools in a controlled manufacturing environment, a substantial number of chips may contain defects and be rejected, directly impacting cost-per-chip and profitability. We estimate that a 1% decrease in yield can reduce annual profits by $30 to $50 million for a fab producing dynamic random-access memory, or DRAM, chips on 100,000 wafers per month—and a 1% yield loss may decrease profits even more for a fab making logic chips, which typically have higher prices. Moreover, lower yield may necessitate greater fab capacity, increasing capital expenditures.</w:t>
      </w:r>
    </w:p>
    <w:p>
      <w:pPr>
        <w:spacing w:after="0" w:line="16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New technologies and architectures introduced in transitioning to more advanced nodes can lead to significant yield loss. We believe chip manufacturers with state-of-the-art, established fabs for process nodes of 22nm or more typically target a yield of 90% or more, but yield can drop to as low as 50% when, for example, a manufacturer migrates to chips incorporating FinFET. To reduce yield loss, a manufacturer transitioning to a more advanced node must implement additional fabrication steps and new process capabilities, which in turn require innovative, reliable front-end tool solutions.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Growing Influence of the PRC Across the Semiconductor Industry</w:t>
      </w:r>
    </w:p>
    <w:p>
      <w:pPr>
        <w:spacing w:after="0" w:line="117"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color w:val="auto"/>
        </w:rPr>
        <w:t>The PRC is both the largest and the fastest-growing market for semiconductors. According to a study by PricewaterhouseCoopers (January 2017), during the ten-year period ending in 2015, the PRC’s semiconductor consumption grew at a CAGR of 14.3% while worldwide consumption increased by only 4.0%, and by 2015 the PRC consumed 58.5% of the world’s semiconductors. The PRC government is implementing focused policies, including state-led investment initiatives, that aim to create and support an independent domestic semiconductor supply chain spanning from design to final system production. The PRC has already made significant progress across the principal semiconductor industry sectors, as shown in the following market information compiled by PricewaterhouseCoopers:</w:t>
      </w:r>
    </w:p>
    <w:p>
      <w:pPr>
        <w:spacing w:after="0" w:line="57" w:lineRule="exact"/>
        <w:rPr>
          <w:sz w:val="20"/>
          <w:szCs w:val="20"/>
          <w:color w:val="auto"/>
        </w:rPr>
      </w:pPr>
    </w:p>
    <w:p>
      <w:pPr>
        <w:ind w:left="900" w:right="120" w:hanging="439"/>
        <w:spacing w:after="0" w:line="287"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chip design, or “fabless,” industry is the fastest growing segment of the PRC’s semiconductor industry, with revenue increasing from $1.5 billion in 2005 to $21.1 billion in 2015, a CAGR of 30.1%.</w:t>
      </w:r>
    </w:p>
    <w:p>
      <w:pPr>
        <w:spacing w:after="0" w:line="66" w:lineRule="exact"/>
        <w:rPr>
          <w:rFonts w:ascii="Arial" w:cs="Arial" w:eastAsia="Arial" w:hAnsi="Arial"/>
          <w:sz w:val="17"/>
          <w:szCs w:val="17"/>
          <w:color w:val="auto"/>
        </w:rPr>
      </w:pPr>
    </w:p>
    <w:p>
      <w:pPr>
        <w:ind w:left="900" w:right="940" w:hanging="439"/>
        <w:spacing w:after="0" w:line="287"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China’s share of worldwide semiconductor manufacturing capacity expanded from 7.3% in 2006 to 12.7% in 2015, and its semiconductor manufacturing revenue increased at a CAGR of 17.6% over the ten-year period ending in 2015.</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China’s semiconductor packaging, assembly and test revenue also grew at a CAGR of 18% over the ten-year period ending in 2015.</w:t>
      </w:r>
    </w:p>
    <w:p>
      <w:pPr>
        <w:spacing w:after="0" w:line="222" w:lineRule="exact"/>
        <w:rPr>
          <w:sz w:val="20"/>
          <w:szCs w:val="20"/>
          <w:color w:val="auto"/>
        </w:rPr>
      </w:pPr>
    </w:p>
    <w:p>
      <w:pPr>
        <w:ind w:right="480" w:firstLine="457"/>
        <w:spacing w:after="0" w:line="266" w:lineRule="auto"/>
        <w:rPr>
          <w:sz w:val="20"/>
          <w:szCs w:val="20"/>
          <w:color w:val="auto"/>
        </w:rPr>
      </w:pPr>
      <w:r>
        <w:rPr>
          <w:rFonts w:ascii="Arial" w:cs="Arial" w:eastAsia="Arial" w:hAnsi="Arial"/>
          <w:sz w:val="17"/>
          <w:szCs w:val="17"/>
          <w:color w:val="auto"/>
        </w:rPr>
        <w:t>The PRC’s semiconductor tools industry produced less than 0.5% of the world’s semiconductor manufacturing equipment in 2014 (International Trade Association of U.S. Department of Commerce, July 2016). The PRC’s governmental goals anticipate significant growth in all segments of the domestic semiconductor industry, however, and tool manufacturers with a Chinese presence should experience support from both upstream and downstream Chinese companies in the semiconductor supply chain.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8"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Emerging Criticality of Wafer Cleaning</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the chip fabrication process, random defects such as particles, residual chemicals and other contaminants can lead directly to yield loss by distorting images for pattern formation in a lithographic step, obstructing deposition of a film, blocking an etch or otherwise impairing chip performance. Random defects can originate from substrate material, tools, fab personnel, clean room air and nearly every other aspect of the manufacturing process. Shapes and sizes of random defects vary widely, and with each decrease in process node, the dimension of the smallest random defect that can cause a chip to fail, known as the “killer defect” size, shrinks.</w:t>
      </w:r>
    </w:p>
    <w:p>
      <w:pPr>
        <w:spacing w:after="0" w:line="180"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Chip fabrication includes steps designed to eliminate random defects without collapsing patterns, causing loss of materials or otherwise damaging features. The number of these steps has increased dramatically with chip complexity. Cleaning is now the most frequently repeated step in chip fabrication and may be performed in as many as 200 steps for each wafer. A sub-optimal cleaning process has repeated opportunities to reduce yield by being either insufficiently forceful, which leaves random defects behind, or overly aggressive, which damages the chip. Over the past decade, fabricators seeking to improve cleaning performance have switched from batch processes, in which several wafers are processed at the same time, to single-wafer cleaning tools.</w:t>
      </w:r>
    </w:p>
    <w:p>
      <w:pPr>
        <w:spacing w:after="0" w:line="163"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 xml:space="preserve">There are two basic types of cleaning methods. </w:t>
      </w:r>
      <w:r>
        <w:rPr>
          <w:rFonts w:ascii="Arial" w:cs="Arial" w:eastAsia="Arial" w:hAnsi="Arial"/>
          <w:sz w:val="17"/>
          <w:szCs w:val="17"/>
          <w:i w:val="1"/>
          <w:iCs w:val="1"/>
          <w:color w:val="auto"/>
        </w:rPr>
        <w:t>Wet cleaning</w:t>
      </w:r>
      <w:r>
        <w:rPr>
          <w:rFonts w:ascii="Arial" w:cs="Arial" w:eastAsia="Arial" w:hAnsi="Arial"/>
          <w:sz w:val="17"/>
          <w:szCs w:val="17"/>
          <w:color w:val="auto"/>
        </w:rPr>
        <w:t xml:space="preserve"> uses liquid chemistry by applying combinations of solvents, acids and water to spray, scrub, etch and dissolve random defects. </w:t>
      </w:r>
      <w:r>
        <w:rPr>
          <w:rFonts w:ascii="Arial" w:cs="Arial" w:eastAsia="Arial" w:hAnsi="Arial"/>
          <w:sz w:val="17"/>
          <w:szCs w:val="17"/>
          <w:i w:val="1"/>
          <w:iCs w:val="1"/>
          <w:color w:val="auto"/>
        </w:rPr>
        <w:t>Dry cleaning</w:t>
      </w:r>
      <w:r>
        <w:rPr>
          <w:rFonts w:ascii="Arial" w:cs="Arial" w:eastAsia="Arial" w:hAnsi="Arial"/>
          <w:sz w:val="17"/>
          <w:szCs w:val="17"/>
          <w:color w:val="auto"/>
        </w:rPr>
        <w:t xml:space="preserve"> uses gas phase chemistry, relying on chemical reactions and techniques such as lasers, aerosols and ozonated chemistries. Wet cleaning typically outperforms dry cleaning in achieving wafer surface cleanliness and smoothness, and it is the standard method for single-wafer cleaning, constituting more than 90% of the cleaning steps in the fabrication process. RCA clean, a standardized process using hot alkaline and acidic hydrogen peroxide solutions, has been the industry standard for wet cleaning for a quarter century.</w:t>
      </w:r>
    </w:p>
    <w:p>
      <w:pPr>
        <w:spacing w:after="0" w:line="180"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Wet cleaning’s chemistry has not changed appreciably over the past 25 years, but its implementation has shifted from simple immersion to increasingly sophisticated techniques such as jet spraying and megasonic vibration. Jet spray cleaning shoots high-velocity, tens of micron-sized water droplets at a wafer surface to remove random defects. Megasonic cleaning transmits acoustic waves through a fluid bath to produce, in a process known as transient cavitation, bubble oscillation that dislodges random defects. The cavitation can dislodge defects unreachable by jet spray, but the bubbles collapse quickly and can generate energy that damages wafer features.</w:t>
      </w:r>
    </w:p>
    <w:p>
      <w:pPr>
        <w:spacing w:after="0" w:line="180" w:lineRule="exact"/>
        <w:rPr>
          <w:sz w:val="20"/>
          <w:szCs w:val="20"/>
          <w:color w:val="auto"/>
        </w:rPr>
      </w:pPr>
    </w:p>
    <w:p>
      <w:pPr>
        <w:jc w:val="both"/>
        <w:ind w:right="120" w:firstLine="457"/>
        <w:spacing w:after="0" w:line="296" w:lineRule="auto"/>
        <w:rPr>
          <w:sz w:val="20"/>
          <w:szCs w:val="20"/>
          <w:color w:val="auto"/>
        </w:rPr>
      </w:pPr>
      <w:r>
        <w:rPr>
          <w:rFonts w:ascii="Arial" w:cs="Arial" w:eastAsia="Arial" w:hAnsi="Arial"/>
          <w:sz w:val="16"/>
          <w:szCs w:val="16"/>
          <w:color w:val="auto"/>
        </w:rPr>
        <w:t>As jet spray and megasonic cleaning techniques have continued to develop, chip makers have regularly upgraded from simple tanks with on-off switches to complex, specialized, expensive single-wafer cleaning tools. According to Transparency Market Research Pvt. Ltd, the global market for cleaning equipment for single-wafer processing systems totaled $2.6 billion in 2015 and is expected to increase to $3.7 billion in 2020, a CAGR of 6.8%.</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Inadequacy of Traditional Single-Wafer Cleaning Technologies</w:t>
      </w:r>
    </w:p>
    <w:p>
      <w:pPr>
        <w:spacing w:after="0" w:line="117" w:lineRule="exact"/>
        <w:rPr>
          <w:sz w:val="20"/>
          <w:szCs w:val="20"/>
          <w:color w:val="auto"/>
        </w:rPr>
      </w:pPr>
    </w:p>
    <w:p>
      <w:pPr>
        <w:jc w:val="both"/>
        <w:ind w:right="200" w:firstLine="457"/>
        <w:spacing w:after="0" w:line="323" w:lineRule="auto"/>
        <w:rPr>
          <w:sz w:val="20"/>
          <w:szCs w:val="20"/>
          <w:color w:val="auto"/>
        </w:rPr>
      </w:pPr>
      <w:r>
        <w:rPr>
          <w:rFonts w:ascii="Arial" w:cs="Arial" w:eastAsia="Arial" w:hAnsi="Arial"/>
          <w:sz w:val="15"/>
          <w:szCs w:val="15"/>
          <w:color w:val="auto"/>
        </w:rPr>
        <w:t>At process nodes of 100nm or more, chips consisted of 2D features and architectures, which made wafer cleaning relatively straightforward. Cleaning was most commonly performed in batch processes using an immersion tool with megasonic energy. Megasonic vibrations transmit at relatively high frequencies and therefore create smaller bubbles that remove more-diminutive defects and that generate lower levels of destructive transient energy when they collapse.</w:t>
      </w:r>
    </w:p>
    <w:p>
      <w:pPr>
        <w:spacing w:after="0" w:line="138"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As process nodes shrank below 100nm, equipment manufacturers introduced single-wafer megasonic cleaning tools, which processed wafers one by one, rather than in batches. Because these tools did not deliver energy uniformly across the wafer surface, manufacturers found the tools did not clean wafers thoroughly and evenly and, increasingly as process nodes continued to shrink, led to damage to patterned wafer structures. Equipment makers also began to offer single-wafer cleaning tools that used jet spraying rather than acoustic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00"/>
          </w:cols>
          <w:pgMar w:left="240" w:top="448" w:right="2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vibrations. The physical energy of jet spraying enabled these tools to be used with less assertive chemicals, which reduced wafer material loss. Once process nodes reach 45nm, however, the force of jet sprayed water droplets can damage finer chip features and jet spraying can fail to eliminate killer defect-sized contaminants due to its reduced lateral fluid speed as the fluid approaches the wafer surfaces.</w:t>
      </w:r>
    </w:p>
    <w:p>
      <w:pPr>
        <w:spacing w:after="0" w:line="172"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As process nodes continue to shrink to 22nm and less, finer feature sizes and denser, more complex architectures make the cleaning process even more complicated and challenging:</w:t>
      </w:r>
    </w:p>
    <w:p>
      <w:pPr>
        <w:spacing w:after="0" w:line="67" w:lineRule="exact"/>
        <w:rPr>
          <w:sz w:val="20"/>
          <w:szCs w:val="20"/>
          <w:color w:val="auto"/>
        </w:rPr>
      </w:pPr>
    </w:p>
    <w:p>
      <w:pPr>
        <w:ind w:left="900" w:right="280" w:hanging="439"/>
        <w:spacing w:after="0" w:line="320"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Random defects are harder to remove as the killer defect size decreases. Smaller random defects are denser and bind to a wafer more strongly than larger contaminants, and additional energy is required to deliver greater levels of necessary force to more minuscule sizes.</w:t>
      </w:r>
    </w:p>
    <w:p>
      <w:pPr>
        <w:spacing w:after="0" w:line="43" w:lineRule="exact"/>
        <w:rPr>
          <w:rFonts w:ascii="Arial" w:cs="Arial" w:eastAsia="Arial" w:hAnsi="Arial"/>
          <w:sz w:val="16"/>
          <w:szCs w:val="16"/>
          <w:color w:val="auto"/>
        </w:rPr>
      </w:pPr>
    </w:p>
    <w:p>
      <w:pPr>
        <w:jc w:val="both"/>
        <w:ind w:left="900" w:right="120" w:hanging="439"/>
        <w:spacing w:after="0" w:line="271"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New 3D architectures are often more delicate or fragile than 2D conventional structures. FinFET structures, for example, are relatively tall, thin and deep, which makes them more susceptible to damage or destruction by the physical force of jet sprays and megasonic transient cavitation used in the cleaning process.</w:t>
      </w:r>
    </w:p>
    <w:p>
      <w:pPr>
        <w:spacing w:after="0" w:line="80" w:lineRule="exact"/>
        <w:rPr>
          <w:rFonts w:ascii="Arial" w:cs="Arial" w:eastAsia="Arial" w:hAnsi="Arial"/>
          <w:sz w:val="17"/>
          <w:szCs w:val="17"/>
          <w:color w:val="auto"/>
        </w:rPr>
      </w:pPr>
    </w:p>
    <w:p>
      <w:pPr>
        <w:ind w:left="900" w:right="40" w:hanging="439"/>
        <w:spacing w:after="0" w:line="288"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New chip technologies and architectures amplify cleaning challenges. It is, for example, progressively more difficult to remove random defects from the bottom of a chip structure, such as a via, as the “aspect ratio” of the structure’s depth to its width increases. While conventional 2D structures typically have aspect ratios of 3-to-1 or less, FinFET structures have aspect ratios of 10-to-1 currently and are expected to have aspect ratios in excess of 20-to-1 for future process nodes. Moreover, aspect ratios for 3D NAND, 3D cross point and other 3D structures may reach 60-to-1.</w:t>
      </w:r>
    </w:p>
    <w:p>
      <w:pPr>
        <w:spacing w:after="0" w:line="16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Effective, damage-free cleaning poses a significant challenge for manufacturers seeking to fabricate chips in the advanced process nodes available today or introduced in the future, including the 10nm node announced for 2017 and the 7nm node announced for 2018. In order to extend Moore’s law, chip manufacturers must be able to remove ever smaller random defects from not only flat wafer surfaces but also progressively more intricate, finer-featured 3D chip architectures, in each case without incurring damage or material loss that curtails yield and profits. Because fabrication of chips at 22nm or less requires an increasingly complex, specialized process flow, a next-generation single-wafer cleaning tool solution should be designed to be easily tailored to meet a manufacturer’s unique process requirements. The single-wafer cleaning tools should produce less environmentally harmful chemical waste and should be easily accessible to manufacturers in the burgeoning Chinese market.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Solutions</w:t>
      </w:r>
    </w:p>
    <w:p>
      <w:pPr>
        <w:spacing w:after="0" w:line="123"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wet cleaning equipment to remove random defects from chip wafers with fine feature sizes, complex patterning, dense circuit architectures and high aspect ratios more effectively than traditional jet spray and transient megasonic technologies. Key elements of our solutions include:</w:t>
      </w:r>
    </w:p>
    <w:p>
      <w:pPr>
        <w:spacing w:after="0" w:line="176"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b w:val="1"/>
          <w:bCs w:val="1"/>
          <w:i w:val="1"/>
          <w:iCs w:val="1"/>
          <w:color w:val="auto"/>
        </w:rPr>
        <w:t>Differentiated technologies for advanced chips</w:t>
      </w:r>
      <w:r>
        <w:rPr>
          <w:rFonts w:ascii="Arial" w:cs="Arial" w:eastAsia="Arial" w:hAnsi="Arial"/>
          <w:sz w:val="16"/>
          <w:szCs w:val="16"/>
          <w:color w:val="auto"/>
        </w:rPr>
        <w:t>. Our proprietary single-wafer wet cleaning technologies control the power intensity and distribution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megasonic cleaning in order to remove random defects from a wafer surface effectively, without damaging the wafer or its features, even at process nodes of 22nm or less. We developed these technologies to help semiconductor manufacturers produce chips that reach their ultimate physical limitations.</w:t>
      </w:r>
    </w:p>
    <w:p>
      <w:pPr>
        <w:spacing w:after="0" w:line="62" w:lineRule="exact"/>
        <w:rPr>
          <w:sz w:val="20"/>
          <w:szCs w:val="20"/>
          <w:color w:val="auto"/>
        </w:rPr>
      </w:pPr>
    </w:p>
    <w:p>
      <w:pPr>
        <w:ind w:left="900" w:right="40" w:hanging="439"/>
        <w:spacing w:after="0" w:line="266"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Flat and patterned wafer surfaces. </w:t>
      </w:r>
      <w:r>
        <w:rPr>
          <w:rFonts w:ascii="Arial" w:cs="Arial" w:eastAsia="Arial" w:hAnsi="Arial"/>
          <w:sz w:val="17"/>
          <w:szCs w:val="17"/>
          <w:color w:val="auto"/>
        </w:rPr>
        <w:t>Our Space Alternated Phase Shift, or SAPS, technology, which we introduced in 2009, employs alternating phases</w:t>
      </w:r>
      <w:r>
        <w:rPr>
          <w:rFonts w:ascii="Arial" w:cs="Arial" w:eastAsia="Arial" w:hAnsi="Arial"/>
          <w:sz w:val="17"/>
          <w:szCs w:val="17"/>
          <w:i w:val="1"/>
          <w:iCs w:val="1"/>
          <w:color w:val="auto"/>
        </w:rPr>
        <w:t xml:space="preserve"> </w:t>
      </w:r>
      <w:r>
        <w:rPr>
          <w:rFonts w:ascii="Arial" w:cs="Arial" w:eastAsia="Arial" w:hAnsi="Arial"/>
          <w:sz w:val="17"/>
          <w:szCs w:val="17"/>
          <w:color w:val="auto"/>
        </w:rPr>
        <w:t>of megasonic waves to deliver 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360"/>
          </w:cols>
          <w:pgMar w:left="240" w:top="448" w:right="2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360"/>
        <w:spacing w:after="0" w:line="271" w:lineRule="auto"/>
        <w:rPr>
          <w:sz w:val="20"/>
          <w:szCs w:val="20"/>
          <w:color w:val="auto"/>
        </w:rPr>
      </w:pPr>
      <w:r>
        <w:rPr>
          <w:rFonts w:ascii="Arial" w:cs="Arial" w:eastAsia="Arial" w:hAnsi="Arial"/>
          <w:sz w:val="17"/>
          <w:szCs w:val="17"/>
          <w:color w:val="auto"/>
        </w:rPr>
        <w:t>less than 50nm in size,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81" w:lineRule="exact"/>
        <w:rPr>
          <w:sz w:val="20"/>
          <w:szCs w:val="20"/>
          <w:color w:val="auto"/>
        </w:rPr>
      </w:pPr>
    </w:p>
    <w:p>
      <w:pPr>
        <w:ind w:left="900" w:hanging="439"/>
        <w:spacing w:after="0" w:line="298" w:lineRule="auto"/>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High-aspect ratio conventional 2D and advanced 3D patterned wafer surfaces. </w:t>
      </w:r>
      <w:r>
        <w:rPr>
          <w:rFonts w:ascii="Arial" w:cs="Arial" w:eastAsia="Arial" w:hAnsi="Arial"/>
          <w:sz w:val="15"/>
          <w:szCs w:val="15"/>
          <w:color w:val="auto"/>
        </w:rPr>
        <w:t>Our Timely Energized Bubble Oscillation, or TEBO,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which we introduced in March 2016, has been 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at controlled sizes, shapes and temperatures. Because the bubbles oscillate instead of imploding or collapsing, TEBO technology avoids the pattern damage caused by transient cavitation in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architectures such as FinFET, DRAM, 3D NAND and 3D cross point memory having aspect ratios as high as 60-to-1. We believe TEBO technology can be applied for even smaller process nodes. TEBO tools are currently being evaluated by a selected group of leading memory and logic chip manufacturers.</w:t>
      </w:r>
    </w:p>
    <w:p>
      <w:pPr>
        <w:spacing w:after="0" w:line="15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b w:val="1"/>
          <w:bCs w:val="1"/>
          <w:i w:val="1"/>
          <w:iCs w:val="1"/>
          <w:color w:val="auto"/>
        </w:rPr>
        <w:t>China-based operations</w:t>
      </w:r>
      <w:r>
        <w:rPr>
          <w:rFonts w:ascii="Arial" w:cs="Arial" w:eastAsia="Arial" w:hAnsi="Arial"/>
          <w:sz w:val="17"/>
          <w:szCs w:val="17"/>
          <w:color w:val="auto"/>
        </w:rPr>
        <w:t>. In 2006 we established our operational center in Shanghai, and currently we conduct substantially all of our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activities in the PRC. This strategy positions us near potential customers throughout Asia, giving us increased access to those customers and reducing shipping and manufacturing costs for equipment they purchase. An estimated 78% of new front-end facilities and production lines starting operation from 2017 through 2020 are projected to be constructed in Asia, with 42% expected to be built in the PRC. Our Shanghai location also gives us access to a large pool of highly qualified potential employees.</w:t>
      </w:r>
    </w:p>
    <w:p>
      <w:pPr>
        <w:spacing w:after="0" w:line="180"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b w:val="1"/>
          <w:bCs w:val="1"/>
          <w:i w:val="1"/>
          <w:iCs w:val="1"/>
          <w:color w:val="auto"/>
        </w:rPr>
        <w:t>Extensive intellectual property protection</w:t>
      </w:r>
      <w:r>
        <w:rPr>
          <w:rFonts w:ascii="Arial" w:cs="Arial" w:eastAsia="Arial" w:hAnsi="Arial"/>
          <w:sz w:val="17"/>
          <w:szCs w:val="17"/>
          <w:color w:val="auto"/>
        </w:rPr>
        <w:t>. Since our formation in 1998, we have focused on building a strategic portfolio of intellectual property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protect our key innovations, including most recently our SAPS and TEBO technologies. As of September 30, 2017, we had been issued more than 140 patents in the United States, the PRC, Japan, Korea, Singapore and Taiwan.</w:t>
      </w:r>
    </w:p>
    <w:p>
      <w:pPr>
        <w:spacing w:after="0" w:line="172"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b w:val="1"/>
          <w:bCs w:val="1"/>
          <w:i w:val="1"/>
          <w:iCs w:val="1"/>
          <w:color w:val="auto"/>
        </w:rPr>
        <w:t>Custom-made wafer assembly packaging solutions</w:t>
      </w:r>
      <w:r>
        <w:rPr>
          <w:rFonts w:ascii="Arial" w:cs="Arial" w:eastAsia="Arial" w:hAnsi="Arial"/>
          <w:sz w:val="17"/>
          <w:szCs w:val="17"/>
          <w:color w:val="auto"/>
        </w:rPr>
        <w:t>. In addition to our product offerings for single-wafer cleaning in the front-end wafer fabrication process,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leverage our technology and expertise to provide a wide range of advanced packaging equipment, such as coaters, developers, photoresist strippers, scrubbers, wet etchers and copper-plating tools, to back-end wafer assembly and packaging factories, particularly in the PRC. For these offerings, we focus on providing customized equipment with competitive performance, service and pricing.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3"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58"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b w:val="1"/>
          <w:bCs w:val="1"/>
          <w:i w:val="1"/>
          <w:iCs w:val="1"/>
          <w:color w:val="auto"/>
        </w:rPr>
        <w:t>Extend technology leadership</w:t>
      </w:r>
      <w:r>
        <w:rPr>
          <w:rFonts w:ascii="Arial" w:cs="Arial" w:eastAsia="Arial" w:hAnsi="Arial"/>
          <w:sz w:val="17"/>
          <w:szCs w:val="17"/>
          <w:color w:val="auto"/>
        </w:rPr>
        <w:t>. We intend to build upon our technology leadership in wet processing by continuing to develop and refine our differentiated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SAPS and TEBO technologies and equipment designed to address cleaning challenges presented by the manufacture of increasingly advanced chip nodes. To continue to build our strategic intellectual property portfolio, which included more than 140 patents as of September 30, 2017. Our investment in research and development totaled $1.9 million, or 12.9% of our revenue, in the first half of 2017 and $3.3 million, or 11.9% of our revenue, in 2016. We will continue to invest in product development and to strengthen our global patent portfolio in strategic jurisdictions.</w:t>
      </w:r>
    </w:p>
    <w:p>
      <w:pPr>
        <w:spacing w:after="0" w:line="180"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b w:val="1"/>
          <w:bCs w:val="1"/>
          <w:i w:val="1"/>
          <w:iCs w:val="1"/>
          <w:color w:val="auto"/>
        </w:rPr>
        <w:t>Establish referenceable customer base</w:t>
      </w:r>
      <w:r>
        <w:rPr>
          <w:rFonts w:ascii="Arial" w:cs="Arial" w:eastAsia="Arial" w:hAnsi="Arial"/>
          <w:sz w:val="17"/>
          <w:szCs w:val="17"/>
          <w:color w:val="auto"/>
        </w:rPr>
        <w:t>. Semiconductors fall into two principal product categories, memory and logic, and the processes associated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products in those two categories differ.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8"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commercializing our SAPS equipment, we placed evaluation equipment with selected customers, who subsequently purchased additional SAPS equipment to enable them to add more cleaning steps during their manufacturing processes. We have initiated a similar process for TEBO equipment, and have placed TEBO evaluation equipment with two leading memory and logic chip customers, whose use of our products can influence decisions by other manufacturers.</w:t>
      </w:r>
    </w:p>
    <w:p>
      <w:pPr>
        <w:spacing w:after="0" w:line="154"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b w:val="1"/>
          <w:bCs w:val="1"/>
          <w:i w:val="1"/>
          <w:iCs w:val="1"/>
          <w:color w:val="auto"/>
        </w:rPr>
        <w:t>Leverage local presence to address growing PRC market</w:t>
      </w:r>
      <w:r>
        <w:rPr>
          <w:rFonts w:ascii="Arial" w:cs="Arial" w:eastAsia="Arial" w:hAnsi="Arial"/>
          <w:sz w:val="15"/>
          <w:szCs w:val="15"/>
          <w:color w:val="auto"/>
        </w:rPr>
        <w:t>. The market for semiconductor manufacturing equipment in the PRC is expected to grow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markedly in the upcoming years. Our experience has shown that chip manufacturers in the PRC demand equipment meeting their specific technical requirements and prefer building relationships with local suppliers. Since establishing our operations in Shanghai a decade ago, we have leveraged our local presence to begin displacing some incumbent providers of wet cleaning equipment. We will continue to work closely with PRC-based chip manufacturers to understand their specific requirements, encourage them to adopt our SAPS and TEBO technologies, and enable us to design innovative products and solutions to address their needs.</w:t>
      </w:r>
    </w:p>
    <w:p>
      <w:pPr>
        <w:spacing w:after="0" w:line="148"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b w:val="1"/>
          <w:bCs w:val="1"/>
          <w:i w:val="1"/>
          <w:iCs w:val="1"/>
          <w:color w:val="auto"/>
        </w:rPr>
        <w:t>Continue to improve performance through operational excellence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increase the breadth of our product offerings and the size of our operations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base, we must continually improve the efficiency and quality of our operations in order to satisfy our customers’ needs and meet our financial goals. We actively manage our business through principles of operational excellence designed to ensure continuous improvement of our key operational and financial metrics. We will continue to develop and implement these principles to, for example, identify key quantifiable annual goals for all aspects of our business, implement factory constraint management, change control and inventory management systems, and enhance our risk management system.</w:t>
      </w:r>
    </w:p>
    <w:p>
      <w:pPr>
        <w:spacing w:after="0" w:line="16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products that will expand the functionality of our products, provide access to new markets or customers, or otherwise complement our existing operations. We also may seek to expand our product and service offerings by entering into business relationships involving additional distribution channels, investments in other enterprises and joint ventures, or similar arrangements. On September 11, 2017, we acquired 20% of the outstanding equity of Ninebell, one of our key subassembly providers, as described under “Management’s Discussion and Analysis of Financial Condition and Results of Operations—Recent Equity Transactions —Strategic Investment in Key Supplier.”</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Technologies</w:t>
      </w:r>
    </w:p>
    <w:p>
      <w:pPr>
        <w:spacing w:after="0" w:line="123" w:lineRule="exact"/>
        <w:rPr>
          <w:sz w:val="20"/>
          <w:szCs w:val="20"/>
          <w:color w:val="auto"/>
        </w:rPr>
      </w:pPr>
    </w:p>
    <w:p>
      <w:pPr>
        <w:ind w:right="60" w:firstLine="457"/>
        <w:spacing w:after="0" w:line="323" w:lineRule="auto"/>
        <w:rPr>
          <w:sz w:val="20"/>
          <w:szCs w:val="20"/>
          <w:color w:val="auto"/>
        </w:rPr>
      </w:pPr>
      <w:r>
        <w:rPr>
          <w:rFonts w:ascii="Arial" w:cs="Arial" w:eastAsia="Arial" w:hAnsi="Arial"/>
          <w:sz w:val="15"/>
          <w:szCs w:val="15"/>
          <w:color w:val="auto"/>
        </w:rPr>
        <w:t>We develop, manufacture and sell single-wafer wet cleaning equipment usable at numerous steps of the chip manufacturing process flow to improve product yield for conventional 2D and advanced 3D patterned chips at small process nodes. Our equipment, which we market and sell under the brand name “Ultra C,” is designed to remove random defects from a wafer surface effectively, without damaging the wafer or its features, even at increasingly advanced process nodes.</w:t>
      </w:r>
    </w:p>
    <w:p>
      <w:pPr>
        <w:spacing w:after="0" w:line="138"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After incorporating in 1998, we initially focused on developing tools for manufacturing process steps involving the integration of ultra-low-K materials and copper. Ultra-low-K materials, which insulate better than silicon, presented opportunities for size scaling and performance improvement, and higher conductivity copper had begun to replace aluminum in forming interconnects. Our early efforts focused in particular on stress-free copper-polishing technology, and we sold tools based on that technology in the early 2000s.</w:t>
      </w:r>
    </w:p>
    <w:p>
      <w:pPr>
        <w:spacing w:after="0" w:line="176"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In 2006 we established our operational center in Shanghai. This strategic decision was made to help us establish and build relationships with chip manufacturers in China and throughout Asia, which helps us to understand their requirements and to develop innovative technologies and tools addressing their needs.</w:t>
      </w:r>
    </w:p>
    <w:p>
      <w:pPr>
        <w:spacing w:after="0" w:line="172" w:lineRule="exact"/>
        <w:rPr>
          <w:sz w:val="20"/>
          <w:szCs w:val="20"/>
          <w:color w:val="auto"/>
        </w:rPr>
      </w:pPr>
    </w:p>
    <w:p>
      <w:pPr>
        <w:ind w:right="680" w:firstLine="457"/>
        <w:spacing w:after="0" w:line="287" w:lineRule="auto"/>
        <w:rPr>
          <w:sz w:val="20"/>
          <w:szCs w:val="20"/>
          <w:color w:val="auto"/>
        </w:rPr>
      </w:pPr>
      <w:r>
        <w:rPr>
          <w:rFonts w:ascii="Arial" w:cs="Arial" w:eastAsia="Arial" w:hAnsi="Arial"/>
          <w:sz w:val="17"/>
          <w:szCs w:val="17"/>
          <w:color w:val="auto"/>
        </w:rPr>
        <w:t>In 2007 we began to focus our development efforts on single-wafer wet-cleaning solutions for the front-end fabrication process. We have developed innovative, proprietary technologies that reintroduce megasonic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48"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technology to the wafer cleaning process. Our approach is based on our understanding of the shortfalls and limitations of previously existing megasonic cleaning technologies that led to ineffective cleaning and damaged chip features. In 2009 we introduced our proprietary Space Alternated Phase Shift, or SAPS, megasonic technology, which can be applied in flat patterned wafer cleaning at numerous steps during the chip fabrication process. By delivering megasonic energy uniformly across a wafer, SAPS technology eliminates the particle removal inefficiencies that characterized traditional megasonic cleaning technologies. In March 2016 we introduced our proprietary Timely Energized Bubble Oscillation, or TEBO, technology, which can be applied at numerous steps during the fabrication of small node conventional 2D and 3D patterned wafers. By providing multi-parameter control of bubble cavitation during megasonic cleaning, TEBO technology avoids the fine-pattern damage caused by previously existing megasonic cleaning processes.</w:t>
      </w:r>
    </w:p>
    <w:p>
      <w:pPr>
        <w:spacing w:after="0" w:line="166"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We have designed our equipment models for SAPS and TEBO solutions using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quartz, sapphire and glass.</w:t>
      </w:r>
    </w:p>
    <w:p>
      <w:pPr>
        <w:spacing w:after="0" w:line="180"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In addition to our SAPS and TEBO tool offerings, we offer a range of custom-made equipment, such as cleaners, coaters, developers, photoresist strippers, wet etchers and copper-plating tools, to back-end wafer assembly and packaging factories, principally in the PRC.</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Space Alternated Phase Shift Cleaning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Technology</w:t>
      </w:r>
    </w:p>
    <w:p>
      <w:pPr>
        <w:spacing w:after="0" w:line="117" w:lineRule="exact"/>
        <w:rPr>
          <w:sz w:val="20"/>
          <w:szCs w:val="20"/>
          <w:color w:val="auto"/>
        </w:rPr>
      </w:pPr>
    </w:p>
    <w:p>
      <w:pPr>
        <w:ind w:right="120" w:firstLine="457"/>
        <w:spacing w:after="0" w:line="307" w:lineRule="auto"/>
        <w:rPr>
          <w:sz w:val="20"/>
          <w:szCs w:val="20"/>
          <w:color w:val="auto"/>
        </w:rPr>
      </w:pPr>
      <w:r>
        <w:rPr>
          <w:rFonts w:ascii="Arial" w:cs="Arial" w:eastAsia="Arial" w:hAnsi="Arial"/>
          <w:sz w:val="15"/>
          <w:szCs w:val="15"/>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4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45nm. These trials show that SAPs technology has an even greater relative advantage over conventional jet spray technology when cleaning defects between 50 and 65nm in size and that SAPs technology continues to be effective for defects of sizes between 45 nm and 50nm, for which jet spray technology has proven to be ineffective.</w:t>
      </w:r>
    </w:p>
    <w:p>
      <w:pPr>
        <w:spacing w:after="0" w:line="27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Applications</w:t>
      </w:r>
    </w:p>
    <w:p>
      <w:pPr>
        <w:spacing w:after="0" w:line="117"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SAPS megasonic cleaning technology can be applied during the chip fabrication process to clean wafer surfaces and interconnects. It also can be used to clean, and lengthen the lifetime of, recycled test wafers.</w:t>
      </w:r>
    </w:p>
    <w:p>
      <w:pPr>
        <w:spacing w:after="0" w:line="158"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i w:val="1"/>
          <w:iCs w:val="1"/>
          <w:color w:val="auto"/>
        </w:rPr>
        <w:t xml:space="preserve">Wafer Surfaces. </w:t>
      </w:r>
      <w:r>
        <w:rPr>
          <w:rFonts w:ascii="Arial" w:cs="Arial" w:eastAsia="Arial" w:hAnsi="Arial"/>
          <w:sz w:val="17"/>
          <w:szCs w:val="17"/>
          <w:color w:val="auto"/>
        </w:rPr>
        <w:t>SAPS technology can enhance removal of random defects following planarization and deposition, which are among the most important, and</w:t>
      </w:r>
      <w:r>
        <w:rPr>
          <w:rFonts w:ascii="Arial" w:cs="Arial" w:eastAsia="Arial" w:hAnsi="Arial"/>
          <w:sz w:val="17"/>
          <w:szCs w:val="17"/>
          <w:i w:val="1"/>
          <w:iCs w:val="1"/>
          <w:color w:val="auto"/>
        </w:rPr>
        <w:t xml:space="preserve"> </w:t>
      </w:r>
      <w:r>
        <w:rPr>
          <w:rFonts w:ascii="Arial" w:cs="Arial" w:eastAsia="Arial" w:hAnsi="Arial"/>
          <w:sz w:val="17"/>
          <w:szCs w:val="17"/>
          <w:color w:val="auto"/>
        </w:rPr>
        <w:t>most repeated, steps in the fabrication process:</w:t>
      </w:r>
    </w:p>
    <w:p>
      <w:pPr>
        <w:spacing w:after="0" w:line="67" w:lineRule="exact"/>
        <w:rPr>
          <w:sz w:val="20"/>
          <w:szCs w:val="20"/>
          <w:color w:val="auto"/>
        </w:rPr>
      </w:pPr>
    </w:p>
    <w:p>
      <w:pPr>
        <w:ind w:left="900" w:hanging="439"/>
        <w:spacing w:after="0" w:line="287"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Post CMP</w:t>
      </w:r>
      <w:r>
        <w:rPr>
          <w:rFonts w:ascii="Arial" w:cs="Arial" w:eastAsia="Arial" w:hAnsi="Arial"/>
          <w:sz w:val="17"/>
          <w:szCs w:val="17"/>
          <w:color w:val="auto"/>
        </w:rPr>
        <w:t>: Chemical mechanical planarization, or CMP, uses an abrasive chemical slurry following other fabrication processes, such as deposition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etching, in order to achieve a smooth wafer surface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48" w:right="25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420"/>
        <w:spacing w:after="0" w:line="287" w:lineRule="auto"/>
        <w:rPr>
          <w:sz w:val="20"/>
          <w:szCs w:val="20"/>
          <w:color w:val="auto"/>
        </w:rPr>
      </w:pPr>
      <w:r>
        <w:rPr>
          <w:rFonts w:ascii="Arial" w:cs="Arial" w:eastAsia="Arial" w:hAnsi="Arial"/>
          <w:sz w:val="17"/>
          <w:szCs w:val="17"/>
          <w:color w:val="auto"/>
        </w:rPr>
        <w:t>in preparation for subsequent processing steps. SAPS technology can be applied following each CMP process to remove residual random defects deposited or formed during CMP.</w:t>
      </w:r>
    </w:p>
    <w:p>
      <w:pPr>
        <w:spacing w:after="0" w:line="67" w:lineRule="exact"/>
        <w:rPr>
          <w:sz w:val="20"/>
          <w:szCs w:val="20"/>
          <w:color w:val="auto"/>
        </w:rPr>
      </w:pPr>
    </w:p>
    <w:p>
      <w:pPr>
        <w:ind w:left="900" w:right="440" w:hanging="439"/>
        <w:spacing w:after="0" w:line="266"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Post Hard Mask Deposition: </w:t>
      </w:r>
      <w:r>
        <w:rPr>
          <w:rFonts w:ascii="Arial" w:cs="Arial" w:eastAsia="Arial" w:hAnsi="Arial"/>
          <w:sz w:val="17"/>
          <w:szCs w:val="17"/>
          <w:color w:val="auto"/>
        </w:rPr>
        <w:t>As part of the photolithographical patterning process, a mask is applied with each deposition of a material layer to</w:t>
      </w:r>
      <w:r>
        <w:rPr>
          <w:rFonts w:ascii="Arial" w:cs="Arial" w:eastAsia="Arial" w:hAnsi="Arial"/>
          <w:sz w:val="17"/>
          <w:szCs w:val="17"/>
          <w:i w:val="1"/>
          <w:iCs w:val="1"/>
          <w:color w:val="auto"/>
        </w:rPr>
        <w:t xml:space="preserve"> </w:t>
      </w:r>
      <w:r>
        <w:rPr>
          <w:rFonts w:ascii="Arial" w:cs="Arial" w:eastAsia="Arial" w:hAnsi="Arial"/>
          <w:sz w:val="17"/>
          <w:szCs w:val="17"/>
          <w:color w:val="auto"/>
        </w:rPr>
        <w:t>prevent 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w:t>
      </w:r>
      <w:r>
        <w:rPr>
          <w:rFonts w:ascii="Arial" w:cs="Arial" w:eastAsia="Arial" w:hAnsi="Arial"/>
          <w:sz w:val="14"/>
          <w:szCs w:val="14"/>
          <w:color w:val="auto"/>
        </w:rPr>
        <w:t>,</w:t>
      </w:r>
      <w:r>
        <w:rPr>
          <w:rFonts w:ascii="Arial" w:cs="Arial" w:eastAsia="Arial" w:hAnsi="Arial"/>
          <w:sz w:val="17"/>
          <w:szCs w:val="17"/>
          <w:color w:val="auto"/>
        </w:rPr>
        <w:t xml:space="preserve">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81" w:lineRule="exact"/>
        <w:rPr>
          <w:sz w:val="20"/>
          <w:szCs w:val="20"/>
          <w:color w:val="auto"/>
        </w:rPr>
      </w:pPr>
    </w:p>
    <w:p>
      <w:pPr>
        <w:ind w:right="240" w:firstLine="457"/>
        <w:spacing w:after="0" w:line="266" w:lineRule="auto"/>
        <w:rPr>
          <w:sz w:val="20"/>
          <w:szCs w:val="20"/>
          <w:color w:val="auto"/>
        </w:rPr>
      </w:pPr>
      <w:r>
        <w:rPr>
          <w:rFonts w:ascii="Arial" w:cs="Arial" w:eastAsia="Arial" w:hAnsi="Arial"/>
          <w:sz w:val="17"/>
          <w:szCs w:val="17"/>
          <w:i w:val="1"/>
          <w:iCs w:val="1"/>
          <w:color w:val="auto"/>
        </w:rPr>
        <w:t xml:space="preserve">Interconnects and Barrier Metals. </w:t>
      </w:r>
      <w:r>
        <w:rPr>
          <w:rFonts w:ascii="Arial" w:cs="Arial" w:eastAsia="Arial" w:hAnsi="Arial"/>
          <w:sz w:val="17"/>
          <w:szCs w:val="17"/>
          <w:color w:val="auto"/>
        </w:rPr>
        <w:t>Each successive advanced process node has led to finer feature sizes of interconnects such as contacts, which form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85" w:lineRule="exact"/>
        <w:rPr>
          <w:sz w:val="20"/>
          <w:szCs w:val="20"/>
          <w:color w:val="auto"/>
        </w:rPr>
      </w:pPr>
    </w:p>
    <w:p>
      <w:pPr>
        <w:ind w:left="900" w:hanging="439"/>
        <w:spacing w:after="0" w:line="287"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Post Contact/Via Etch: </w:t>
      </w:r>
      <w:r>
        <w:rPr>
          <w:rFonts w:ascii="Arial" w:cs="Arial" w:eastAsia="Arial" w:hAnsi="Arial"/>
          <w:sz w:val="17"/>
          <w:szCs w:val="17"/>
          <w:color w:val="auto"/>
        </w:rPr>
        <w:t>Wet etching processes are commonly used to create patterns of high-density contacts and vias. SAPS technology can be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after each such etching process to remove random defects that could otherwise lead to electrical shorts.</w:t>
      </w:r>
    </w:p>
    <w:p>
      <w:pPr>
        <w:spacing w:after="0" w:line="66"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Pre Barrier Metal Deposition</w:t>
      </w:r>
      <w:r>
        <w:rPr>
          <w:rFonts w:ascii="Arial" w:cs="Arial" w:eastAsia="Arial" w:hAnsi="Arial"/>
          <w:sz w:val="17"/>
          <w:szCs w:val="17"/>
          <w:color w:val="auto"/>
        </w:rPr>
        <w:t>: Copper wiring requires metal diffusion barriers at the top of via holes to prevent electrical leakage. SAPS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can be applied prior to deposition of barrier metal to remove residual oxidized copper, which otherwise would adhere poorly to the barrier and impair performance.</w:t>
      </w:r>
    </w:p>
    <w:p>
      <w:pPr>
        <w:spacing w:after="0" w:line="17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80"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i w:val="1"/>
          <w:iCs w:val="1"/>
          <w:color w:val="auto"/>
        </w:rPr>
        <w:t xml:space="preserve">Recycled Test Wafers. </w:t>
      </w:r>
      <w:r>
        <w:rPr>
          <w:rFonts w:ascii="Arial" w:cs="Arial" w:eastAsia="Arial" w:hAnsi="Arial"/>
          <w:sz w:val="17"/>
          <w:szCs w:val="17"/>
          <w:color w:val="auto"/>
        </w:rPr>
        <w:t>In addition to using silicon wafers for chip production, chip manufacturers routinely process wafers through a limited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front-end 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448"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filter units that balances intake and exhaust flows, precise temperature and concentration controls that ensure better handling of concentrated acid processes, and two-chemical recycle capability that reduces chemical consumption.</w:t>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Equipment</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We currently offer two models of wet wafer cleaning equipment based on our SAPS technology, Ultra C SAPS II and Ultra C SAPS V. Each of these models is a single-wafer, serial-processing tool that can be</w:t>
      </w:r>
    </w:p>
    <w:p>
      <w:pPr>
        <w:spacing w:after="0" w:line="1" w:lineRule="exact"/>
        <w:rPr>
          <w:sz w:val="20"/>
          <w:szCs w:val="20"/>
          <w:color w:val="auto"/>
        </w:rPr>
      </w:pPr>
    </w:p>
    <w:p>
      <w:pPr>
        <w:ind w:left="3260"/>
        <w:spacing w:after="0" w:line="258" w:lineRule="auto"/>
        <w:rPr>
          <w:sz w:val="20"/>
          <w:szCs w:val="20"/>
          <w:color w:val="auto"/>
        </w:rPr>
      </w:pPr>
      <w:r>
        <w:rPr>
          <w:rFonts w:ascii="Arial" w:cs="Arial" w:eastAsia="Arial" w:hAnsi="Arial"/>
          <w:sz w:val="17"/>
          <w:szCs w:val="17"/>
          <w:color w:val="auto"/>
        </w:rPr>
        <w:t>configured to customer specifications and, in conjunction with appropriate dilute chemicals, used to remove random defects from wafer surfaces or interconnects and barrier metals as part of the chip front-end fabrication process or for purposes of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 We expect the sales prices of our SAPS tools generally to range between $2.5 million and $5.0 million, although the sales price of a particular tool will vary depending upon the required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-1066800</wp:posOffset>
            </wp:positionV>
            <wp:extent cx="1216660" cy="12166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16660" cy="12166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SAPS II was released in 2011. Its key features include:</w:t>
      </w:r>
    </w:p>
    <w:p>
      <w:pPr>
        <w:spacing w:after="0" w:line="130" w:lineRule="exact"/>
        <w:rPr>
          <w:sz w:val="20"/>
          <w:szCs w:val="20"/>
          <w:color w:val="auto"/>
        </w:rPr>
      </w:pPr>
    </w:p>
    <w:p>
      <w:pPr>
        <w:ind w:left="3680" w:hanging="356"/>
        <w:spacing w:after="0"/>
        <w:tabs>
          <w:tab w:leader="none" w:pos="3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141" w:lineRule="exact"/>
        <w:rPr>
          <w:rFonts w:ascii="Arial" w:cs="Arial" w:eastAsia="Arial" w:hAnsi="Arial"/>
          <w:sz w:val="16"/>
          <w:szCs w:val="16"/>
          <w:color w:val="auto"/>
        </w:rPr>
      </w:pPr>
    </w:p>
    <w:p>
      <w:pPr>
        <w:ind w:left="3680" w:hanging="356"/>
        <w:spacing w:after="0"/>
        <w:tabs>
          <w:tab w:leader="none" w:pos="3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up to 8 chambers, providing throughput of up to 225 wafers per hour;</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double-sided cleaning capability, with up to 5 cleaning chemicals for process flexibility;</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2-chemical recycling capability for reduced chemical consumption;</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image wafer detection method for lowering wafer breakage rates; and</w:t>
      </w:r>
    </w:p>
    <w:p>
      <w:pPr>
        <w:spacing w:after="0" w:line="143" w:lineRule="exact"/>
        <w:rPr>
          <w:rFonts w:ascii="Arial" w:cs="Arial" w:eastAsia="Arial" w:hAnsi="Arial"/>
          <w:sz w:val="17"/>
          <w:szCs w:val="17"/>
          <w:color w:val="auto"/>
        </w:rPr>
      </w:pPr>
    </w:p>
    <w:p>
      <w:pPr>
        <w:ind w:left="3680" w:right="180" w:hanging="356"/>
        <w:spacing w:after="0" w:line="287" w:lineRule="auto"/>
        <w:tabs>
          <w:tab w:leader="none" w:pos="3697" w:val="left"/>
        </w:tabs>
        <w:numPr>
          <w:ilvl w:val="0"/>
          <w:numId w:val="84"/>
        </w:numPr>
        <w:rPr>
          <w:rFonts w:ascii="Arial" w:cs="Arial" w:eastAsia="Arial" w:hAnsi="Arial"/>
          <w:sz w:val="17"/>
          <w:szCs w:val="17"/>
          <w:color w:val="auto"/>
        </w:rPr>
      </w:pPr>
      <w:r>
        <w:rPr>
          <w:rFonts w:ascii="Arial" w:cs="Arial" w:eastAsia="Arial" w:hAnsi="Arial"/>
          <w:sz w:val="17"/>
          <w:szCs w:val="17"/>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-1248410</wp:posOffset>
            </wp:positionV>
            <wp:extent cx="1233170" cy="11258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33170" cy="1125855"/>
                    </a:xfrm>
                    <a:prstGeom prst="rect">
                      <a:avLst/>
                    </a:prstGeom>
                    <a:noFill/>
                  </pic:spPr>
                </pic:pic>
              </a:graphicData>
            </a:graphic>
          </wp:anchor>
        </w:drawing>
      </w:r>
    </w:p>
    <w:p>
      <w:pPr>
        <w:spacing w:after="0" w:line="151"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SAPS V, which was released in 2014, offers increased productivity for chip manufacturers moving to advanced nodes. SAPS V provides all of the features and functionality of SAPS II, upgraded as follows:</w:t>
      </w:r>
    </w:p>
    <w:p>
      <w:pPr>
        <w:spacing w:after="0" w:line="67" w:lineRule="exact"/>
        <w:rPr>
          <w:sz w:val="20"/>
          <w:szCs w:val="20"/>
          <w:color w:val="auto"/>
        </w:rPr>
      </w:pPr>
    </w:p>
    <w:p>
      <w:pPr>
        <w:ind w:left="3680" w:hanging="356"/>
        <w:spacing w:after="0"/>
        <w:tabs>
          <w:tab w:leader="none" w:pos="3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compact design, with footprint of 2.55m x 5.1m x 2.85m (WxDxH);</w:t>
      </w:r>
    </w:p>
    <w:p>
      <w:pPr>
        <w:spacing w:after="0" w:line="130" w:lineRule="exact"/>
        <w:rPr>
          <w:rFonts w:ascii="Arial" w:cs="Arial" w:eastAsia="Arial" w:hAnsi="Arial"/>
          <w:sz w:val="17"/>
          <w:szCs w:val="17"/>
          <w:color w:val="auto"/>
        </w:rPr>
      </w:pPr>
    </w:p>
    <w:p>
      <w:pPr>
        <w:ind w:left="3680" w:hanging="356"/>
        <w:spacing w:after="0"/>
        <w:tabs>
          <w:tab w:leader="none" w:pos="3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 to 12 chambers, providing throughput of up to 375 wafers per hour;</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chemical supply system integrated into mainframe;</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inline mixing method replaces tank auto-changing, reducing process time; and</w:t>
      </w:r>
    </w:p>
    <w:p>
      <w:pPr>
        <w:spacing w:after="0" w:line="156" w:lineRule="exact"/>
        <w:rPr>
          <w:rFonts w:ascii="Arial" w:cs="Arial" w:eastAsia="Arial" w:hAnsi="Arial"/>
          <w:sz w:val="17"/>
          <w:szCs w:val="17"/>
          <w:color w:val="auto"/>
        </w:rPr>
      </w:pPr>
    </w:p>
    <w:p>
      <w:pPr>
        <w:ind w:left="3680" w:hanging="356"/>
        <w:spacing w:after="0"/>
        <w:tabs>
          <w:tab w:leader="none" w:pos="3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-976630</wp:posOffset>
            </wp:positionV>
            <wp:extent cx="1216660" cy="10763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16660" cy="1076325"/>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448"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Timely Energized Bubble Oscillation Cleaning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Technology</w:t>
      </w:r>
    </w:p>
    <w:p>
      <w:pPr>
        <w:spacing w:after="0" w:line="117" w:lineRule="exact"/>
        <w:rPr>
          <w:sz w:val="20"/>
          <w:szCs w:val="20"/>
          <w:color w:val="auto"/>
        </w:rPr>
      </w:pPr>
    </w:p>
    <w:p>
      <w:pPr>
        <w:ind w:right="360" w:firstLine="457"/>
        <w:spacing w:after="0" w:line="271" w:lineRule="auto"/>
        <w:rPr>
          <w:sz w:val="20"/>
          <w:szCs w:val="20"/>
          <w:color w:val="auto"/>
        </w:rPr>
      </w:pPr>
      <w:r>
        <w:rPr>
          <w:rFonts w:ascii="Arial" w:cs="Arial" w:eastAsia="Arial" w:hAnsi="Arial"/>
          <w:sz w:val="17"/>
          <w:szCs w:val="17"/>
          <w:color w:val="auto"/>
        </w:rPr>
        <w:t>We developed TEBO technology for application in wet wafer cleaning during the fabrication of both conventional 2D and 3D patterned wafers with fine feature sizes. TEBO technology facilitates effective cleaning even with patterned features too small or fragile to be addressed by conventional jet spray and megasonic cleaning technologies.</w:t>
      </w:r>
    </w:p>
    <w:p>
      <w:pPr>
        <w:spacing w:after="0" w:line="172" w:lineRule="exact"/>
        <w:rPr>
          <w:sz w:val="20"/>
          <w:szCs w:val="20"/>
          <w:color w:val="auto"/>
        </w:rPr>
      </w:pPr>
    </w:p>
    <w:p>
      <w:pPr>
        <w:ind w:right="140" w:firstLine="457"/>
        <w:spacing w:after="0" w:line="284"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63"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7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FinFET, DRAM, 3D NAND and 3D cross point memory as well as other 3D architectures that may be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Applications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85" w:lineRule="exact"/>
        <w:rPr>
          <w:sz w:val="20"/>
          <w:szCs w:val="20"/>
          <w:color w:val="auto"/>
        </w:rPr>
      </w:pPr>
    </w:p>
    <w:p>
      <w:pPr>
        <w:jc w:val="both"/>
        <w:ind w:left="900" w:right="80" w:hanging="439"/>
        <w:spacing w:after="0" w:line="271"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Memory Chips: </w:t>
      </w:r>
      <w:r>
        <w:rPr>
          <w:rFonts w:ascii="Arial" w:cs="Arial" w:eastAsia="Arial" w:hAnsi="Arial"/>
          <w:sz w:val="17"/>
          <w:szCs w:val="17"/>
          <w:color w:val="auto"/>
        </w:rPr>
        <w:t>TEBO technology can be applied in up to a total of 47 steps in the fabrication of a dynamic random-access memory, or DRAM, chip,</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8 steps in cleaning ISO structures, 19 steps in cleaning buried gates, and 20 steps in cleaning high aspect-ratio storage nodes and stacked films.</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Logic Chips: </w:t>
      </w:r>
      <w:r>
        <w:rPr>
          <w:rFonts w:ascii="Arial" w:cs="Arial" w:eastAsia="Arial" w:hAnsi="Arial"/>
          <w:sz w:val="17"/>
          <w:szCs w:val="17"/>
          <w:color w:val="auto"/>
        </w:rPr>
        <w:t>In the fabrication process for a logic chip with a FinFET structure, TEBO technology can be used in 15 or more cleaning steps.</w:t>
      </w:r>
    </w:p>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For purposes of solving inside pattern surface conditions for memory or logic chips, TEBO technology uses environmentally friendly dilute chemicals such as RCA SC-1 and hydrogen gas doped functional water.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8"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Equipment</w:t>
      </w:r>
    </w:p>
    <w:p>
      <w:pPr>
        <w:spacing w:after="0" w:line="11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We currently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28nm or less. TEBO equipment solves the problem of pattern damage caused by transient cavitation in conventional jet spray and megasonic cleaning processes, providing better particle removal efficiency with limited material loss or roughing. TEBO equipment currently is being evaluated by a select group of leading memory and logic chip customers, some of which recently have indicated an intent to move to production. We expect the sales prices of our TEBO tools generally to range between $3.5 million and $6.5 million, although the sales price of a particular tool will vary depending upon the required specifications.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model of TEBO equipment includes:</w:t>
      </w:r>
    </w:p>
    <w:p>
      <w:pPr>
        <w:spacing w:after="0" w:line="156" w:lineRule="exact"/>
        <w:rPr>
          <w:sz w:val="20"/>
          <w:szCs w:val="20"/>
          <w:color w:val="auto"/>
        </w:rPr>
      </w:pPr>
    </w:p>
    <w:p>
      <w:pPr>
        <w:ind w:left="4600" w:hanging="363"/>
        <w:spacing w:after="0"/>
        <w:tabs>
          <w:tab w:leader="none" w:pos="4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equipment front-end module, or EFEM, which moves wafers from chamber to chamber;</w:t>
      </w:r>
    </w:p>
    <w:p>
      <w:pPr>
        <w:spacing w:after="0" w:line="141" w:lineRule="exact"/>
        <w:rPr>
          <w:rFonts w:ascii="Arial" w:cs="Arial" w:eastAsia="Arial" w:hAnsi="Arial"/>
          <w:sz w:val="16"/>
          <w:szCs w:val="16"/>
          <w:color w:val="auto"/>
        </w:rPr>
      </w:pPr>
    </w:p>
    <w:p>
      <w:pPr>
        <w:ind w:left="4600" w:hanging="363"/>
        <w:spacing w:after="0"/>
        <w:tabs>
          <w:tab w:leader="none" w:pos="4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one or more chamber modules, each equipped with a TEBO megasonic generator system;</w:t>
      </w:r>
    </w:p>
    <w:p>
      <w:pPr>
        <w:spacing w:after="0" w:line="141" w:lineRule="exact"/>
        <w:rPr>
          <w:rFonts w:ascii="Arial" w:cs="Arial" w:eastAsia="Arial" w:hAnsi="Arial"/>
          <w:sz w:val="16"/>
          <w:szCs w:val="16"/>
          <w:color w:val="auto"/>
        </w:rPr>
      </w:pPr>
    </w:p>
    <w:p>
      <w:pPr>
        <w:ind w:left="4600" w:hanging="363"/>
        <w:spacing w:after="0"/>
        <w:tabs>
          <w:tab w:leader="none" w:pos="46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electrical module to provide power for the tool; and</w:t>
      </w:r>
    </w:p>
    <w:p>
      <w:pPr>
        <w:spacing w:after="0" w:line="130" w:lineRule="exact"/>
        <w:rPr>
          <w:rFonts w:ascii="Arial" w:cs="Arial" w:eastAsia="Arial" w:hAnsi="Arial"/>
          <w:sz w:val="17"/>
          <w:szCs w:val="17"/>
          <w:color w:val="auto"/>
        </w:rPr>
      </w:pPr>
    </w:p>
    <w:p>
      <w:pPr>
        <w:ind w:left="4600" w:hanging="363"/>
        <w:spacing w:after="0"/>
        <w:tabs>
          <w:tab w:leader="none" w:pos="46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chemical delivery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-736600</wp:posOffset>
            </wp:positionV>
            <wp:extent cx="1125855" cy="11258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25855" cy="112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Ultra C TEBO II was released in 2016.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115570</wp:posOffset>
            </wp:positionV>
            <wp:extent cx="1291590" cy="11423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91590" cy="1142365"/>
                    </a:xfrm>
                    <a:prstGeom prst="rect">
                      <a:avLst/>
                    </a:prstGeom>
                    <a:noFill/>
                  </pic:spPr>
                </pic:pic>
              </a:graphicData>
            </a:graphic>
          </wp:anchor>
        </w:drawing>
      </w:r>
    </w:p>
    <w:p>
      <w:pPr>
        <w:spacing w:after="0" w:line="163" w:lineRule="exact"/>
        <w:rPr>
          <w:sz w:val="20"/>
          <w:szCs w:val="20"/>
          <w:color w:val="auto"/>
        </w:rPr>
      </w:pPr>
    </w:p>
    <w:p>
      <w:pPr>
        <w:ind w:left="4600" w:hanging="363"/>
        <w:spacing w:after="0"/>
        <w:tabs>
          <w:tab w:leader="none" w:pos="46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compact design, with footprint of 2.25m x 2.25m x 2.85m (WxDxH);</w:t>
      </w:r>
    </w:p>
    <w:p>
      <w:pPr>
        <w:spacing w:after="0" w:line="182" w:lineRule="exact"/>
        <w:rPr>
          <w:rFonts w:ascii="Arial" w:cs="Arial" w:eastAsia="Arial" w:hAnsi="Arial"/>
          <w:sz w:val="17"/>
          <w:szCs w:val="17"/>
          <w:color w:val="auto"/>
        </w:rPr>
      </w:pPr>
    </w:p>
    <w:p>
      <w:pPr>
        <w:ind w:left="4580" w:right="100" w:hanging="343"/>
        <w:spacing w:after="0" w:line="287" w:lineRule="auto"/>
        <w:tabs>
          <w:tab w:leader="none" w:pos="4597"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 to 8 chambers with an upgraded transport system and optimized robotic scheduler, providing throughput of up to 300 wafers per hour;</w:t>
      </w:r>
    </w:p>
    <w:p>
      <w:pPr>
        <w:spacing w:after="0" w:line="119" w:lineRule="exact"/>
        <w:rPr>
          <w:rFonts w:ascii="Arial" w:cs="Arial" w:eastAsia="Arial" w:hAnsi="Arial"/>
          <w:sz w:val="17"/>
          <w:szCs w:val="17"/>
          <w:color w:val="auto"/>
        </w:rPr>
      </w:pPr>
    </w:p>
    <w:p>
      <w:pPr>
        <w:ind w:left="4600" w:hanging="363"/>
        <w:spacing w:after="0"/>
        <w:tabs>
          <w:tab w:leader="none" w:pos="46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EFEM module consisting of 4 load ports, transfer robot and 1 process robot; and</w:t>
      </w:r>
    </w:p>
    <w:p>
      <w:pPr>
        <w:spacing w:after="0" w:line="195" w:lineRule="exact"/>
        <w:rPr>
          <w:rFonts w:ascii="Arial" w:cs="Arial" w:eastAsia="Arial" w:hAnsi="Arial"/>
          <w:sz w:val="17"/>
          <w:szCs w:val="17"/>
          <w:color w:val="auto"/>
        </w:rPr>
      </w:pPr>
    </w:p>
    <w:p>
      <w:pPr>
        <w:ind w:left="4580" w:right="740" w:hanging="343"/>
        <w:spacing w:after="0" w:line="287" w:lineRule="auto"/>
        <w:tabs>
          <w:tab w:leader="none" w:pos="4597" w:val="left"/>
        </w:tabs>
        <w:numPr>
          <w:ilvl w:val="0"/>
          <w:numId w:val="88"/>
        </w:numPr>
        <w:rPr>
          <w:rFonts w:ascii="Arial" w:cs="Arial" w:eastAsia="Arial" w:hAnsi="Arial"/>
          <w:sz w:val="17"/>
          <w:szCs w:val="17"/>
          <w:color w:val="auto"/>
        </w:rPr>
      </w:pPr>
      <w:r>
        <w:rPr>
          <w:rFonts w:ascii="Arial" w:cs="Arial" w:eastAsia="Arial" w:hAnsi="Arial"/>
          <w:sz w:val="17"/>
          <w:szCs w:val="17"/>
          <w:color w:val="auto"/>
        </w:rPr>
        <w:t>focus on dilute chemicals contributes to environmental sustainability and lower cost of ownership.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Ultra C TEBO V also was introduced in 2016, and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107315</wp:posOffset>
            </wp:positionV>
            <wp:extent cx="1622425" cy="13493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2425" cy="1349375"/>
                    </a:xfrm>
                    <a:prstGeom prst="rect">
                      <a:avLst/>
                    </a:prstGeom>
                    <a:noFill/>
                  </pic:spPr>
                </pic:pic>
              </a:graphicData>
            </a:graphic>
          </wp:anchor>
        </w:drawing>
      </w:r>
    </w:p>
    <w:p>
      <w:pPr>
        <w:spacing w:after="0" w:line="228" w:lineRule="exact"/>
        <w:rPr>
          <w:sz w:val="20"/>
          <w:szCs w:val="20"/>
          <w:color w:val="auto"/>
        </w:rPr>
      </w:pPr>
    </w:p>
    <w:p>
      <w:pPr>
        <w:ind w:left="4600" w:hanging="363"/>
        <w:spacing w:after="0"/>
        <w:tabs>
          <w:tab w:leader="none" w:pos="4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footprint of 2.45m x 5.30m x 2.85m (WxDxH);</w:t>
      </w:r>
    </w:p>
    <w:p>
      <w:pPr>
        <w:spacing w:after="0" w:line="299" w:lineRule="exact"/>
        <w:rPr>
          <w:rFonts w:ascii="Arial" w:cs="Arial" w:eastAsia="Arial" w:hAnsi="Arial"/>
          <w:sz w:val="17"/>
          <w:szCs w:val="17"/>
          <w:color w:val="auto"/>
        </w:rPr>
      </w:pPr>
    </w:p>
    <w:p>
      <w:pPr>
        <w:ind w:left="4600" w:hanging="363"/>
        <w:spacing w:after="0"/>
        <w:tabs>
          <w:tab w:leader="none" w:pos="4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 to 12 chamber modules, providing throughput of up to 300 wafers per hour;</w:t>
      </w:r>
    </w:p>
    <w:p>
      <w:pPr>
        <w:spacing w:after="0" w:line="312" w:lineRule="exact"/>
        <w:rPr>
          <w:rFonts w:ascii="Arial" w:cs="Arial" w:eastAsia="Arial" w:hAnsi="Arial"/>
          <w:sz w:val="17"/>
          <w:szCs w:val="17"/>
          <w:color w:val="auto"/>
        </w:rPr>
      </w:pPr>
    </w:p>
    <w:p>
      <w:pPr>
        <w:ind w:left="4600" w:hanging="363"/>
        <w:spacing w:after="0"/>
        <w:tabs>
          <w:tab w:leader="none" w:pos="4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EFEM module consisting of 4 load ports, 1 transfer robot and 1 process robot; and</w:t>
      </w: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ind w:left="4580" w:right="80" w:hanging="343"/>
        <w:spacing w:after="0" w:line="287" w:lineRule="auto"/>
        <w:tabs>
          <w:tab w:leader="none" w:pos="4597" w:val="left"/>
        </w:tabs>
        <w:numPr>
          <w:ilvl w:val="0"/>
          <w:numId w:val="89"/>
        </w:numPr>
        <w:rPr>
          <w:rFonts w:ascii="Arial" w:cs="Arial" w:eastAsia="Arial" w:hAnsi="Arial"/>
          <w:sz w:val="17"/>
          <w:szCs w:val="17"/>
          <w:color w:val="auto"/>
        </w:rPr>
      </w:pPr>
      <w:r>
        <w:rPr>
          <w:rFonts w:ascii="Arial" w:cs="Arial" w:eastAsia="Arial" w:hAnsi="Arial"/>
          <w:sz w:val="17"/>
          <w:szCs w:val="17"/>
          <w:color w:val="auto"/>
        </w:rPr>
        <w:t>chemical delivery module for delivery of isopropyl alcohol, dilute hydrofluoric acid, RCA SC-1 solution, functional de-ionized water and carbon dioxide to each of the chambers.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Custom-Made Wafer Assembly and Packaging Equipment</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We leverage our technology and expertise to provide a range of single-wafer tools for back-end wafer assembly and packaging factories, principally in the PRC. We focus on providing custom-made, differentiated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360"/>
          </w:cols>
          <w:pgMar w:left="240" w:top="448" w:right="29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equipment that incorporates customer-requested features, at a competitive price. The sales prices for these tools generally range between $500,000 and $1.0 million, and these offerings generated $5.7 million, or 20.9%, of our revenue in 2016 and $4.2 million, or 13.5%, of our revenue in 2015.</w:t>
      </w:r>
    </w:p>
    <w:p>
      <w:pPr>
        <w:spacing w:after="0" w:line="184" w:lineRule="exact"/>
        <w:rPr>
          <w:sz w:val="20"/>
          <w:szCs w:val="20"/>
          <w:color w:val="auto"/>
        </w:rPr>
      </w:pPr>
    </w:p>
    <w:p>
      <w:pPr>
        <w:ind w:right="3000" w:firstLine="348"/>
        <w:spacing w:after="0" w:line="261" w:lineRule="auto"/>
        <w:rPr>
          <w:sz w:val="20"/>
          <w:szCs w:val="20"/>
          <w:color w:val="auto"/>
        </w:rPr>
      </w:pPr>
      <w:r>
        <w:rPr>
          <w:rFonts w:ascii="Arial" w:cs="Arial" w:eastAsia="Arial" w:hAnsi="Arial"/>
          <w:sz w:val="17"/>
          <w:szCs w:val="17"/>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In addition,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5515610</wp:posOffset>
            </wp:positionH>
            <wp:positionV relativeFrom="paragraph">
              <wp:posOffset>-936625</wp:posOffset>
            </wp:positionV>
            <wp:extent cx="1233170" cy="11341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3170" cy="113411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and Ultra C Thin Wafer Scrubber, which addresses a sub-market of cleaning very thin wafers for certain Asian assembly factories; and Ultra C Wet Etcher, which etches silicon wafers and copper and titanium interconnects.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As of June 30, 2017, customers had purchased and deployed more than 30 Ultra C SAPS and TEBO cleaning tools. All of our sales in 2015, 2016 and the first half of 2017 were to customers located in Asia, and we anticipate that a substantial majority of our revenue will continue to come from customers located in this region for the near future. We have increased our efforts to penetrate the markets in North America and Western Europe, and we believe we are well positioned to begin generating sales in those regions.</w:t>
      </w:r>
    </w:p>
    <w:p>
      <w:pPr>
        <w:spacing w:after="0" w:line="176"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We generate most of our revenue from a limited number of customers as the result of our strategy of initially placing SAPS- and TEBO-based equipment with a small number of leading chip manufacturers that are driving technology trends and key capability implementation. In the first half of 2017, 62.8% of our revenue was derived from three customers: SK Hynix Inc., a leading Korean memory chip company that accounted for 22.8% of our revenue; Shanghai Huali Microelectronics Corporation, a leading PRC foundry that accounted for 20.6% of our revenue; and Yangtze Memory Technologies Co., Ltd., a leading PRC memory chip company that, together with one of its subsidiaries, accounted 19.4% of our revenue. In 2016 99.3% of our revenue was derived from four customers: Shanghai Huali Microelectronics Corporation accounted for 33.7% of our revenue; Semiconductor Manufacturing International Corporation, a leading PRC foundry that accounted for 25.0% of our revenue; SK Hynix Inc.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68"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448" w:right="2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Customers continue to establish joint ventures, alliances and licensing arrangements that have the potential to positively or negatively impact our competitive position and market opportunities. A material reduction in orders from our large customers could adversely affect our results of operations and projected financial condition. Our business depends upon the expenditures of semiconductor manufacturers. Semiconductor manufacturers’ businesses, in turn, depend on many factors, including their financial capability, the current and anticipated market demand for integrated circuits, the global economy and the availability of equipment capacity to support that demand.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3"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180" w:lineRule="exact"/>
        <w:rPr>
          <w:sz w:val="20"/>
          <w:szCs w:val="20"/>
          <w:color w:val="auto"/>
        </w:rPr>
      </w:pPr>
    </w:p>
    <w:p>
      <w:pPr>
        <w:ind w:right="560" w:firstLine="457"/>
        <w:spacing w:after="0" w:line="271" w:lineRule="auto"/>
        <w:rPr>
          <w:sz w:val="20"/>
          <w:szCs w:val="20"/>
          <w:color w:val="auto"/>
        </w:rPr>
      </w:pPr>
      <w:r>
        <w:rPr>
          <w:rFonts w:ascii="Arial" w:cs="Arial" w:eastAsia="Arial" w:hAnsi="Arial"/>
          <w:sz w:val="17"/>
          <w:szCs w:val="17"/>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172"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Our sales have historically been made using purchase orders with agreed technical specifications. Our sales terms and conditions are generally consistent with industry practice, but may vary from customer to customer. We seek to obtain a purchase order three to four months ahead of the customer’s desired delivery date. For some customers, we receive a letter of intent three weeks ahead, followed by the corresponding purchase order five weeks ahead, of the customer’s desired delivery date. Consistent with industry practice, we allow customers to reschedule or cancel orders on relatively short notice. Because of our relatively short delivery period and our practice of permitting rescheduling or cancellation, we believe that backlog is not a reliable indicator of our future revenue.</w:t>
      </w:r>
    </w:p>
    <w:p>
      <w:pPr>
        <w:spacing w:after="0" w:line="163"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All of our products are built to order at our facility in Shanghai. Our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163"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In each of 2015, 2016 and the first half of 2017, we sourced approximately one-third of the parts and components (by value) for our products from Chinese suppliers and the remaining parts and components were sourced from suppliers in the United States and, to a lesser extent, Japan and Korea. We employ sub-contractors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8"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to make certain sub-systems and software algorithms. Depending upon the nature of a customer’s specifications, the lead time for production of a tool generally will extend from two to four months, but can be as long as six months. We plan our production capacity to be about twice the average orders to ensure we can respond to demand fluctuations. Currently we estimate that our production capacity is close to plan, namely sufficient to produce two tools for each tool shipped to a customer.</w:t>
      </w:r>
    </w:p>
    <w:p>
      <w:pPr>
        <w:spacing w:after="0" w:line="176"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3"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As of September 30, 2017, approximately one half of our research and development personnel held advanced technical degrees. To supplement our internal expertise, we also collaborate with external research and development entities such as International SEMATECH, a global consortium of computer chip manufacturers, on specific areas of interests and retain, as technical advisors, several experts in semiconductor technology.</w:t>
      </w:r>
    </w:p>
    <w:p>
      <w:pPr>
        <w:spacing w:after="0" w:line="153" w:lineRule="exact"/>
        <w:rPr>
          <w:sz w:val="20"/>
          <w:szCs w:val="20"/>
          <w:color w:val="auto"/>
        </w:rPr>
      </w:pPr>
    </w:p>
    <w:p>
      <w:pPr>
        <w:ind w:right="480" w:firstLine="457"/>
        <w:spacing w:after="0" w:line="320" w:lineRule="auto"/>
        <w:rPr>
          <w:sz w:val="20"/>
          <w:szCs w:val="20"/>
          <w:color w:val="auto"/>
        </w:rPr>
      </w:pPr>
      <w:r>
        <w:rPr>
          <w:rFonts w:ascii="Arial" w:cs="Arial" w:eastAsia="Arial" w:hAnsi="Arial"/>
          <w:sz w:val="16"/>
          <w:szCs w:val="16"/>
          <w:color w:val="auto"/>
        </w:rPr>
        <w:t>For the foreseeable future we are focusing on enhancing our existing Ultra C SAPS and TEBO tools and integrating additional capabilities to meet and anticipate requirements from our existing and potential customers. Our particular areas of focus include development of the following:</w:t>
      </w:r>
    </w:p>
    <w:p>
      <w:pPr>
        <w:spacing w:after="0" w:line="44" w:lineRule="exact"/>
        <w:rPr>
          <w:sz w:val="20"/>
          <w:szCs w:val="20"/>
          <w:color w:val="auto"/>
        </w:rPr>
      </w:pPr>
    </w:p>
    <w:p>
      <w:pPr>
        <w:ind w:left="900" w:hanging="439"/>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141" w:lineRule="exact"/>
        <w:rPr>
          <w:rFonts w:ascii="Arial" w:cs="Arial" w:eastAsia="Arial" w:hAnsi="Arial"/>
          <w:sz w:val="16"/>
          <w:szCs w:val="16"/>
          <w:color w:val="auto"/>
        </w:rPr>
      </w:pPr>
    </w:p>
    <w:p>
      <w:pPr>
        <w:ind w:left="900" w:right="580" w:hanging="439"/>
        <w:spacing w:after="0" w:line="287"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new cleaning steps for Ultra C TEBO cleaners for FinFET in logic chips, gates in DRAM, and deep vias in both 3D NAND and 3D cross point memory technologies;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new hardware, including new system platforms, new chamber structures and new chemical blending systems;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new software to integrate new functionalities to improve tool performance.</w:t>
      </w:r>
    </w:p>
    <w:p>
      <w:pPr>
        <w:spacing w:after="0" w:line="222"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Longer term, we are working on new proprietary process capabilities based on our existing tool hardware platforms. We are also working to integrate our tools with third-party tools in adjacent process areas in the chip manufacturing flow.</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research and development expense was $1.9 million, or 13.0% of revenue, in the first half of 2017, $3.3 million, or 11.9% of revenue, in 2016 and</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$2.9 million, or 9.0% of revenue, in 2015. Without reduction by grant amounts received from PRC governmental authorities (see “—Key Components of Results of Operations—PRC Government Research and Development Funding”), our gross research and development expense totaled $5.0 million, or 34.8% of revenue, in the first half of 2017, $7.5 million, or 27.4% of revenue, in 2016 and $6.6 million, or 21.0% of revenue, in 2015. We intend to continue to invest in research and development to support and enhance our existing cleaning products and to develop future product offerings to build and maintain our technology leadership position.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447"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aggressively pursued intellectual property since our founding in 1998. We focus our patent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76"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As of September 30, 2017, we had 20 issued patents and numerous pending applications in the United States. These patents carry expiration dates from 2018 through 2027. Many of the US patents and applications have also been filed internationally, in one or more of the European Union, PRC, Japan, Korea, Singapore and Taiwan.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Specifically, we own patents in wafer cleaning, electro-polishing and plating, wafer preparation, and other semiconductor processing technologies.</w:t>
      </w:r>
    </w:p>
    <w:p>
      <w:pPr>
        <w:spacing w:after="0" w:line="233" w:lineRule="exact"/>
        <w:rPr>
          <w:sz w:val="20"/>
          <w:szCs w:val="20"/>
          <w:color w:val="auto"/>
        </w:rPr>
      </w:pPr>
    </w:p>
    <w:p>
      <w:pPr>
        <w:ind w:right="220" w:firstLine="457"/>
        <w:spacing w:after="0" w:line="266" w:lineRule="auto"/>
        <w:rPr>
          <w:sz w:val="20"/>
          <w:szCs w:val="20"/>
          <w:color w:val="auto"/>
        </w:rPr>
      </w:pPr>
      <w:r>
        <w:rPr>
          <w:rFonts w:ascii="Arial" w:cs="Arial" w:eastAsia="Arial" w:hAnsi="Arial"/>
          <w:sz w:val="17"/>
          <w:szCs w:val="17"/>
          <w:color w:val="auto"/>
        </w:rPr>
        <w:t>We currently manufacture advanced single-wafer cleaning systems equipped with our SAPS and TEBO technologies. Our wafer cleaning technologies are protected by US Patent Numbers 8580042, 8671961, 9070723 and 9281177, as well as their corresponding international patents. We have 22 patents granted internationally protecting our SAPS technologies. We also have filed four international patent applications for key TEBO technologies in accordance with the Patent Cooperation Treaty, in anticipation of filing in the U.S. national phase.</w:t>
      </w:r>
    </w:p>
    <w:p>
      <w:pPr>
        <w:spacing w:after="0" w:line="176"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addition to the above core technologies, we have patents reflecting innovations in other aspects of wafer cleaning systems, such as cleaning solution recycling and wafer holding and positioning. During a wafer cleaning cycle, multiple cleaning solutions may be sequentially used. Our cleaning solution recycling technology prevents cross-contamination and allows recycling of the cleaning solutions. These innovations are protected by US Patent Numbers 6248222, 6495007, 6749728, 6726823, 6447668 and 7136173, as well as their corresponding international patents.</w:t>
      </w:r>
    </w:p>
    <w:p>
      <w:pPr>
        <w:spacing w:after="0" w:line="17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We have technologies for stress-free polishing, or SFP, and electrochemical plating, or ECP, that are used in certain of our tools. SFP is an integral part of the CMP process. Our technology was a breakthrough in electro-chemical-copper-planarization technology when it was first introduced, because it can polish, stress-free, oxidizing tantalum barrier layers used in copper low-K interconnects. Our innovations in SFP and ECP are reflected in US Patent Numbers 6395152, 6837984, 6440295, 6638863, 6391166 and 8518224, and their corresponding international counterparts.</w:t>
      </w:r>
    </w:p>
    <w:p>
      <w:pPr>
        <w:spacing w:after="0" w:line="176" w:lineRule="exact"/>
        <w:rPr>
          <w:sz w:val="20"/>
          <w:szCs w:val="20"/>
          <w:color w:val="auto"/>
        </w:rPr>
      </w:pPr>
    </w:p>
    <w:p>
      <w:pPr>
        <w:jc w:val="both"/>
        <w:ind w:right="260" w:firstLine="457"/>
        <w:spacing w:after="0" w:line="296" w:lineRule="auto"/>
        <w:rPr>
          <w:sz w:val="20"/>
          <w:szCs w:val="20"/>
          <w:color w:val="auto"/>
        </w:rPr>
      </w:pPr>
      <w:r>
        <w:rPr>
          <w:rFonts w:ascii="Arial" w:cs="Arial" w:eastAsia="Arial" w:hAnsi="Arial"/>
          <w:sz w:val="16"/>
          <w:szCs w:val="16"/>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7119008 titled “Integrating metal layers with ultra-low-K dielectrics,” and US Patent Number 8598039 titled “Barrier layer removal method and apparatus.”</w:t>
      </w:r>
    </w:p>
    <w:p>
      <w:pPr>
        <w:spacing w:after="0" w:line="154"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448"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76" w:lineRule="exact"/>
        <w:rPr>
          <w:sz w:val="20"/>
          <w:szCs w:val="20"/>
          <w:color w:val="auto"/>
        </w:rPr>
      </w:pPr>
    </w:p>
    <w:p>
      <w:pPr>
        <w:ind w:right="180" w:firstLine="457"/>
        <w:spacing w:after="0" w:line="307" w:lineRule="auto"/>
        <w:rPr>
          <w:sz w:val="20"/>
          <w:szCs w:val="20"/>
          <w:color w:val="auto"/>
        </w:rPr>
      </w:pPr>
      <w:r>
        <w:rPr>
          <w:rFonts w:ascii="Arial" w:cs="Arial" w:eastAsia="Arial" w:hAnsi="Arial"/>
          <w:sz w:val="15"/>
          <w:szCs w:val="15"/>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about the risks relating to our intellectual property is provided under “Risk Factors—Risks Relating to Our Intellectual Property.”</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3"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Lam Research Corp., DNS Electronics LLC, Tokyo Electron Ltd., SEMES Co. Ltd., Mujin Electronics Co., Ltd. and Beijing Sevenstar Science &amp; Technology Co., Ltd.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Compared to our company, our current and potential competitors may have:</w:t>
      </w:r>
    </w:p>
    <w:p>
      <w:pPr>
        <w:spacing w:after="0" w:line="130" w:lineRule="exact"/>
        <w:rPr>
          <w:sz w:val="20"/>
          <w:szCs w:val="20"/>
          <w:color w:val="auto"/>
        </w:rPr>
      </w:pPr>
    </w:p>
    <w:p>
      <w:pPr>
        <w:ind w:left="900" w:hanging="439"/>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better established credibility and market reputations, longer operating histories, and broader product offerings;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significantly greater financial, technical, marketing and other resources, which may allow them to pursue design, development, manufacturing, sales, marketing, distribution and service support of their products;</w:t>
      </w:r>
    </w:p>
    <w:p>
      <w:pPr>
        <w:spacing w:after="0" w:line="66" w:lineRule="exact"/>
        <w:rPr>
          <w:rFonts w:ascii="Arial" w:cs="Arial" w:eastAsia="Arial" w:hAnsi="Arial"/>
          <w:sz w:val="17"/>
          <w:szCs w:val="17"/>
          <w:color w:val="auto"/>
        </w:rPr>
      </w:pPr>
    </w:p>
    <w:p>
      <w:pPr>
        <w:ind w:left="900" w:right="200" w:hanging="439"/>
        <w:spacing w:after="0" w:line="287"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more extensive customer and partner relationships, which may position them to identify and respond more successfully to market developments and changes in customer demands; and</w:t>
      </w:r>
    </w:p>
    <w:p>
      <w:pPr>
        <w:spacing w:after="0" w:line="66"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multiple product offerings, which may enable them to offer bundled discounts for customers purchasing multiple products or other incentives that we cannot match or offer.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principal competitive factors in our market include:</w:t>
      </w:r>
    </w:p>
    <w:p>
      <w:pPr>
        <w:spacing w:after="0" w:line="130" w:lineRule="exact"/>
        <w:rPr>
          <w:sz w:val="20"/>
          <w:szCs w:val="20"/>
          <w:color w:val="auto"/>
        </w:rPr>
      </w:pPr>
    </w:p>
    <w:p>
      <w:pPr>
        <w:ind w:left="900" w:right="500" w:hanging="439"/>
        <w:spacing w:after="0" w:line="287"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performance of products, including particle removal efficiency, rate of damage to wafer structures, high temperature chemistry, throughput, tool uptime and reliability, safety, chemical waste treatment, and environmental impact;</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service support capability and spare parts delivery time;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00"/>
          </w:cols>
          <w:pgMar w:left="240" w:top="448" w:right="2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innovation and development of functionality and features that are must-haves for advanced fabrication nodes;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ability to anticipate customer requirements, especially for advanced process nodes of less than 45nm;</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ability to identify new process applications;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brand recognition and reputation;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233" w:lineRule="exact"/>
        <w:rPr>
          <w:sz w:val="20"/>
          <w:szCs w:val="20"/>
          <w:color w:val="auto"/>
        </w:rPr>
      </w:pPr>
    </w:p>
    <w:p>
      <w:pPr>
        <w:ind w:right="140" w:firstLine="457"/>
        <w:spacing w:after="0" w:line="301" w:lineRule="auto"/>
        <w:rPr>
          <w:sz w:val="20"/>
          <w:szCs w:val="20"/>
          <w:color w:val="auto"/>
        </w:rPr>
      </w:pPr>
      <w:r>
        <w:rPr>
          <w:rFonts w:ascii="Arial" w:cs="Arial" w:eastAsia="Arial" w:hAnsi="Arial"/>
          <w:sz w:val="15"/>
          <w:szCs w:val="15"/>
          <w:color w:val="auto"/>
        </w:rPr>
        <w:t>In addition, semiconductor manufacturers must make a substantial investment to qualify and integrate new equipment into semiconductor production lines. Some manufacturers have announced they will fabricate chips for the 10nm node beginning in 2017 and the 7nm node commencing in 2018, and we have one customer that currently is evaluating implementation of our equipment for both the 10nm and 7nm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5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and TEBO technologies, which we believe offer better performance, including at advanced process nodes of 22nm or less. Moreover, with our operations based in Shanghai, we are well positioned to take advantage of the Chinese government’s policies to develop an independent domestic semiconductor supply chain.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3"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As of September 30, 2017, we had 187 full-time employees, of whom 23 were in administration, 46 were in manufacturing, 80 were in research and development, and 38 were in sales and marketing and customer services. Of these employees, 179 were located in the PRC, 4 were located in Korea and 4 were based in the United States.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never had a work stoppage, and none of our employees are represented by a labor organization or subject to any collective bargaining arrangements.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consider our employee relations to be good.</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have occupied our current corporate headquarters in Fremont, California, since February 2008, under a lease that, as amended in March 2017, extends through March 2018. We conduct our research and development and manufacturing and service support operations in a facility of approximately 60,000 square feet, of which 36,000 square feet is dedicated to manufacturing, located in the Zhangjiang Hi-Tech Park in Shanghai, PRC; we have leased this facility since 2007, and our lease, as amended in September 2016, expires in December 2017. In addition, we provide sales support and customer service operations from leased office space in Jiangying, PRC, Wuxi, PRC, and Icheon, Korea.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48"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color w:val="auto"/>
        </w:rPr>
        <w:t>We believe we can extend or replace our existing lease agreements for our Fremont, California, and Shanghai, PRC, facilities, in each case on acceptable, commercially reasonable terms. We intend to expand our existing facilities as we grow our business and add resources, and we believe that we will be able to obtain, on acceptable, commercially reasonably terms, additional space to accommodate the foreseeable expansion of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320"/>
          </w:cols>
          <w:pgMar w:left="240" w:top="448" w:right="3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Directors, Director-Elect and Key Advisors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executive officers, directors, director-elect and key advisors, and their ages and positions as of September 30, 2017, are set forth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Age</w:t>
            </w:r>
          </w:p>
        </w:tc>
        <w:tc>
          <w:tcPr>
            <w:tcW w:w="706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Executive officers:</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David H. Wang</w:t>
            </w:r>
          </w:p>
        </w:tc>
        <w:tc>
          <w:tcPr>
            <w:tcW w:w="460" w:type="dxa"/>
            <w:vAlign w:val="bottom"/>
          </w:tcPr>
          <w:p>
            <w:pPr>
              <w:jc w:val="right"/>
              <w:spacing w:after="0"/>
              <w:rPr>
                <w:sz w:val="20"/>
                <w:szCs w:val="20"/>
                <w:color w:val="auto"/>
              </w:rPr>
            </w:pPr>
            <w:r>
              <w:rPr>
                <w:rFonts w:ascii="Arial" w:cs="Arial" w:eastAsia="Arial" w:hAnsi="Arial"/>
                <w:sz w:val="17"/>
                <w:szCs w:val="17"/>
                <w:color w:val="auto"/>
              </w:rPr>
              <w:t>55</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Chair of the Board, Chief Executive Officer and President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 Xu</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Fufa Chen</w:t>
            </w:r>
          </w:p>
        </w:tc>
        <w:tc>
          <w:tcPr>
            <w:tcW w:w="460" w:type="dxa"/>
            <w:vAlign w:val="bottom"/>
          </w:tcPr>
          <w:p>
            <w:pPr>
              <w:jc w:val="right"/>
              <w:spacing w:after="0"/>
              <w:rPr>
                <w:sz w:val="20"/>
                <w:szCs w:val="20"/>
                <w:color w:val="auto"/>
              </w:rPr>
            </w:pPr>
            <w:r>
              <w:rPr>
                <w:rFonts w:ascii="Arial" w:cs="Arial" w:eastAsia="Arial" w:hAnsi="Arial"/>
                <w:sz w:val="17"/>
                <w:szCs w:val="17"/>
                <w:color w:val="auto"/>
              </w:rPr>
              <w:t>56</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Vice President, Sale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Jian Wang</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Vice President, Research and Development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Sotheara Cheav</w:t>
            </w:r>
          </w:p>
        </w:tc>
        <w:tc>
          <w:tcPr>
            <w:tcW w:w="460" w:type="dxa"/>
            <w:vAlign w:val="bottom"/>
          </w:tcPr>
          <w:p>
            <w:pPr>
              <w:jc w:val="right"/>
              <w:spacing w:after="0"/>
              <w:rPr>
                <w:sz w:val="20"/>
                <w:szCs w:val="20"/>
                <w:color w:val="auto"/>
              </w:rPr>
            </w:pPr>
            <w:r>
              <w:rPr>
                <w:rFonts w:ascii="Arial" w:cs="Arial" w:eastAsia="Arial" w:hAnsi="Arial"/>
                <w:sz w:val="17"/>
                <w:szCs w:val="17"/>
                <w:color w:val="auto"/>
              </w:rPr>
              <w:t>65</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Vice President, Manufacturing</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Non-employee directors: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Haiping Dun(2)(3)</w:t>
            </w:r>
          </w:p>
        </w:tc>
        <w:tc>
          <w:tcPr>
            <w:tcW w:w="460" w:type="dxa"/>
            <w:vAlign w:val="bottom"/>
          </w:tcPr>
          <w:p>
            <w:pPr>
              <w:jc w:val="right"/>
              <w:spacing w:after="0"/>
              <w:rPr>
                <w:sz w:val="20"/>
                <w:szCs w:val="20"/>
                <w:color w:val="auto"/>
              </w:rPr>
            </w:pPr>
            <w:r>
              <w:rPr>
                <w:rFonts w:ascii="Arial" w:cs="Arial" w:eastAsia="Arial" w:hAnsi="Arial"/>
                <w:sz w:val="17"/>
                <w:szCs w:val="17"/>
                <w:color w:val="auto"/>
              </w:rPr>
              <w:t>67</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Lead Director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Chenming Hu(1)(3)</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Tracy Liu (1)(2)</w:t>
            </w:r>
          </w:p>
        </w:tc>
        <w:tc>
          <w:tcPr>
            <w:tcW w:w="460" w:type="dxa"/>
            <w:vAlign w:val="bottom"/>
          </w:tcPr>
          <w:p>
            <w:pPr>
              <w:jc w:val="right"/>
              <w:spacing w:after="0"/>
              <w:rPr>
                <w:sz w:val="20"/>
                <w:szCs w:val="20"/>
                <w:color w:val="auto"/>
              </w:rPr>
            </w:pPr>
            <w:r>
              <w:rPr>
                <w:rFonts w:ascii="Arial" w:cs="Arial" w:eastAsia="Arial" w:hAnsi="Arial"/>
                <w:sz w:val="17"/>
                <w:szCs w:val="17"/>
                <w:color w:val="auto"/>
              </w:rPr>
              <w:t>52</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Director-elect: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Yinan Xiang(4)</w:t>
            </w:r>
          </w:p>
        </w:tc>
        <w:tc>
          <w:tcPr>
            <w:tcW w:w="460" w:type="dxa"/>
            <w:vAlign w:val="bottom"/>
          </w:tcPr>
          <w:p>
            <w:pPr>
              <w:jc w:val="right"/>
              <w:spacing w:after="0"/>
              <w:rPr>
                <w:sz w:val="20"/>
                <w:szCs w:val="20"/>
                <w:color w:val="auto"/>
              </w:rPr>
            </w:pPr>
            <w:r>
              <w:rPr>
                <w:rFonts w:ascii="Arial" w:cs="Arial" w:eastAsia="Arial" w:hAnsi="Arial"/>
                <w:sz w:val="17"/>
                <w:szCs w:val="17"/>
                <w:color w:val="auto"/>
              </w:rPr>
              <w:t>42</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Director-Elect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Key advisors: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Stephen Chiao</w:t>
            </w:r>
          </w:p>
        </w:tc>
        <w:tc>
          <w:tcPr>
            <w:tcW w:w="460" w:type="dxa"/>
            <w:vAlign w:val="bottom"/>
          </w:tcPr>
          <w:p>
            <w:pPr>
              <w:jc w:val="right"/>
              <w:spacing w:after="0"/>
              <w:rPr>
                <w:sz w:val="20"/>
                <w:szCs w:val="20"/>
                <w:color w:val="auto"/>
              </w:rPr>
            </w:pPr>
            <w:r>
              <w:rPr>
                <w:rFonts w:ascii="Arial" w:cs="Arial" w:eastAsia="Arial" w:hAnsi="Arial"/>
                <w:sz w:val="17"/>
                <w:szCs w:val="17"/>
                <w:color w:val="auto"/>
              </w:rPr>
              <w:t>70</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Chenming Hu(1)(3)</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Srini Raghavan</w:t>
            </w:r>
          </w:p>
        </w:tc>
        <w:tc>
          <w:tcPr>
            <w:tcW w:w="460" w:type="dxa"/>
            <w:vAlign w:val="bottom"/>
          </w:tcPr>
          <w:p>
            <w:pPr>
              <w:jc w:val="right"/>
              <w:spacing w:after="0"/>
              <w:rPr>
                <w:sz w:val="20"/>
                <w:szCs w:val="20"/>
                <w:color w:val="auto"/>
              </w:rPr>
            </w:pPr>
            <w:r>
              <w:rPr>
                <w:rFonts w:ascii="Arial" w:cs="Arial" w:eastAsia="Arial" w:hAnsi="Arial"/>
                <w:sz w:val="17"/>
                <w:szCs w:val="17"/>
                <w:color w:val="auto"/>
              </w:rPr>
              <w:t>69</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Lip-Bu Tan</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70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Chiang Yang</w:t>
            </w:r>
          </w:p>
        </w:tc>
        <w:tc>
          <w:tcPr>
            <w:tcW w:w="460" w:type="dxa"/>
            <w:vAlign w:val="bottom"/>
          </w:tcPr>
          <w:p>
            <w:pPr>
              <w:jc w:val="right"/>
              <w:spacing w:after="0"/>
              <w:rPr>
                <w:sz w:val="20"/>
                <w:szCs w:val="20"/>
                <w:color w:val="auto"/>
              </w:rPr>
            </w:pPr>
            <w:r>
              <w:rPr>
                <w:rFonts w:ascii="Arial" w:cs="Arial" w:eastAsia="Arial" w:hAnsi="Arial"/>
                <w:sz w:val="17"/>
                <w:szCs w:val="17"/>
                <w:color w:val="auto"/>
              </w:rPr>
              <w:t>57</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Member of Advisory Board</w:t>
            </w:r>
          </w:p>
        </w:tc>
        <w:tc>
          <w:tcPr>
            <w:tcW w:w="0" w:type="dxa"/>
            <w:vAlign w:val="bottom"/>
          </w:tcPr>
          <w:p>
            <w:pPr>
              <w:spacing w:after="0"/>
              <w:rPr>
                <w:sz w:val="1"/>
                <w:szCs w:val="1"/>
                <w:color w:val="auto"/>
              </w:rPr>
            </w:pPr>
          </w:p>
        </w:tc>
      </w:tr>
    </w:tbl>
    <w:p>
      <w:pPr>
        <w:ind w:left="460" w:hanging="456"/>
        <w:spacing w:after="0"/>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Member of Audit Committee.</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Member of Nominating and Governance Committee.</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Yinan Xiang has been appointed as a member of our board of directors effective upon the completion of this offering.</w:t>
      </w:r>
    </w:p>
    <w:p>
      <w:pPr>
        <w:spacing w:after="0" w:line="31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Executive Officers</w:t>
      </w:r>
    </w:p>
    <w:p>
      <w:pPr>
        <w:spacing w:after="0" w:line="117"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Each executive officer serves at the discretion of the board of directors and holds office until his successor is duly elected and qualified or until his earlier resignation or removal. Jian Wang, the Vice President, Research and Development of ACM Shanghai is the brother of David H. Wang, our Chair of the Board, Chief Executive Officer and President.</w:t>
      </w:r>
    </w:p>
    <w:p>
      <w:pPr>
        <w:spacing w:after="0" w:line="172" w:lineRule="exact"/>
        <w:rPr>
          <w:sz w:val="20"/>
          <w:szCs w:val="20"/>
          <w:color w:val="auto"/>
        </w:rPr>
      </w:pPr>
    </w:p>
    <w:p>
      <w:pPr>
        <w:ind w:right="100" w:firstLine="457"/>
        <w:spacing w:after="0" w:line="284" w:lineRule="auto"/>
        <w:rPr>
          <w:sz w:val="20"/>
          <w:szCs w:val="20"/>
          <w:color w:val="auto"/>
        </w:rPr>
      </w:pPr>
      <w:r>
        <w:rPr>
          <w:rFonts w:ascii="Arial" w:cs="Arial" w:eastAsia="Arial" w:hAnsi="Arial"/>
          <w:sz w:val="16"/>
          <w:szCs w:val="16"/>
          <w:i w:val="1"/>
          <w:iCs w:val="1"/>
          <w:color w:val="auto"/>
        </w:rPr>
        <w:t xml:space="preserve">David H. Wang </w:t>
      </w:r>
      <w:r>
        <w:rPr>
          <w:rFonts w:ascii="Arial" w:cs="Arial" w:eastAsia="Arial" w:hAnsi="Arial"/>
          <w:sz w:val="16"/>
          <w:szCs w:val="16"/>
          <w:color w:val="auto"/>
        </w:rPr>
        <w:t>is our founder and has served as Chief Executive Officer, President and one of our directors since 1998. Dr. Wang has served as the Chair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since October 2017. Dr. Wang received a Ph.D. and a Master of Engineering from Osaka University in precision engineering and a Bachelor of Science in precision instruments from Tsinghua University. We believe Dr. Wang is qualified to serve as a director due to his extensive experience with semiconductor equipment and manufacturing processes, including as the result of his studies and work at Osaka University, Cincinnati University and CNS Technology, and his extensive knowledge of our company and markets based on his founding and leadership of our company since 1998.</w:t>
      </w:r>
    </w:p>
    <w:p>
      <w:pPr>
        <w:spacing w:after="0" w:line="163" w:lineRule="exact"/>
        <w:rPr>
          <w:sz w:val="20"/>
          <w:szCs w:val="20"/>
          <w:color w:val="auto"/>
        </w:rPr>
      </w:pPr>
    </w:p>
    <w:p>
      <w:pPr>
        <w:ind w:right="280" w:firstLine="457"/>
        <w:spacing w:after="0" w:line="266" w:lineRule="auto"/>
        <w:rPr>
          <w:sz w:val="20"/>
          <w:szCs w:val="20"/>
          <w:color w:val="auto"/>
        </w:rPr>
      </w:pPr>
      <w:r>
        <w:rPr>
          <w:rFonts w:ascii="Arial" w:cs="Arial" w:eastAsia="Arial" w:hAnsi="Arial"/>
          <w:sz w:val="17"/>
          <w:szCs w:val="17"/>
          <w:i w:val="1"/>
          <w:iCs w:val="1"/>
          <w:color w:val="auto"/>
        </w:rPr>
        <w:t xml:space="preserve">Min Xu </w:t>
      </w:r>
      <w:r>
        <w:rPr>
          <w:rFonts w:ascii="Arial" w:cs="Arial" w:eastAsia="Arial" w:hAnsi="Arial"/>
          <w:sz w:val="17"/>
          <w:szCs w:val="17"/>
          <w:color w:val="auto"/>
        </w:rPr>
        <w:t>has served as our Chief Financial Officer and Treasurer since November 2016. From August 2014 to November 2016 Mr. Xu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of UTStarcom Holding Corp., a global telecom infrastructure provider. From April 2014 to June 2014, Mr. Xu was a senior equity research analyst at Roth Capital Partners, LLC. Roth Capital Partners, LLC is the representative of the several underwriters of this offering. From February 2013 to April 2014, Mr. Xu was an equity research analyst with Wedbush Securities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48"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from 2010 to 2012, Mr. Xu was an equity research analyst with Jeffries &amp; Co. Mr. Xu received a Master of Business Administration from The Fuqua School of Business at Duke University, a Master of Science in electrical engineering from Purdue University, a Master of Science in physics from Colorado State University and a Bachelor of Science in physics from Peking University.</w:t>
      </w:r>
    </w:p>
    <w:p>
      <w:pPr>
        <w:spacing w:after="0" w:line="172" w:lineRule="exact"/>
        <w:rPr>
          <w:sz w:val="20"/>
          <w:szCs w:val="20"/>
          <w:color w:val="auto"/>
        </w:rPr>
      </w:pPr>
    </w:p>
    <w:p>
      <w:pPr>
        <w:ind w:right="740" w:firstLine="457"/>
        <w:spacing w:after="0" w:line="287" w:lineRule="auto"/>
        <w:rPr>
          <w:sz w:val="20"/>
          <w:szCs w:val="20"/>
          <w:color w:val="auto"/>
        </w:rPr>
      </w:pPr>
      <w:r>
        <w:rPr>
          <w:rFonts w:ascii="Arial" w:cs="Arial" w:eastAsia="Arial" w:hAnsi="Arial"/>
          <w:sz w:val="17"/>
          <w:szCs w:val="17"/>
          <w:i w:val="1"/>
          <w:iCs w:val="1"/>
          <w:color w:val="auto"/>
        </w:rPr>
        <w:t xml:space="preserve">Fufa Chen </w:t>
      </w:r>
      <w:r>
        <w:rPr>
          <w:rFonts w:ascii="Arial" w:cs="Arial" w:eastAsia="Arial" w:hAnsi="Arial"/>
          <w:sz w:val="17"/>
          <w:szCs w:val="17"/>
          <w:color w:val="auto"/>
        </w:rPr>
        <w:t>has served as the Vice President, Sales of ACM Shanghai since 2007. Dr. Chen received a Ph.D. in electrical engineering from the State</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 of New York, Stony Brook.</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6"/>
          <w:szCs w:val="16"/>
          <w:i w:val="1"/>
          <w:iCs w:val="1"/>
          <w:color w:val="auto"/>
        </w:rPr>
        <w:t xml:space="preserve">Jian Wang </w:t>
      </w:r>
      <w:r>
        <w:rPr>
          <w:rFonts w:ascii="Arial" w:cs="Arial" w:eastAsia="Arial" w:hAnsi="Arial"/>
          <w:sz w:val="16"/>
          <w:szCs w:val="16"/>
          <w:color w:val="auto"/>
        </w:rPr>
        <w:t>has served as the Vice President, Research and Development of ACM Shanghai since January 2015. From January 2011 to January 2015,</w:t>
      </w:r>
    </w:p>
    <w:p>
      <w:pPr>
        <w:spacing w:after="0" w:line="3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Mr. Wang was the Director of Research and Development of ACM Shanghai, focusing on the research and development of SFP and ECP technologies. Mr. Wang received a Master of Science in computer science from Northwestern Polytechnic University, a Master of Science in marine engineering from Kobe University and a Bachelor of Science in mechanical engineering from Southeast University.</w:t>
      </w:r>
    </w:p>
    <w:p>
      <w:pPr>
        <w:spacing w:after="0" w:line="177"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i w:val="1"/>
          <w:iCs w:val="1"/>
          <w:color w:val="auto"/>
        </w:rPr>
        <w:t xml:space="preserve">Sotheara Cheav </w:t>
      </w:r>
      <w:r>
        <w:rPr>
          <w:rFonts w:ascii="Arial" w:cs="Arial" w:eastAsia="Arial" w:hAnsi="Arial"/>
          <w:sz w:val="17"/>
          <w:szCs w:val="17"/>
          <w:color w:val="auto"/>
        </w:rPr>
        <w:t>has served as the Vice President, Manufacturing of ACM Shanghai since January 2015. From 2011 to December 2014, Mr. Cheav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Director of Manufacturing of ACM Shanghai. Mr. Cheav received a Bachelor of Science in science and technology from the University of Cambodia and an Associate of Science in electronics from Bay Valley Technical Institute.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1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i w:val="1"/>
          <w:iCs w:val="1"/>
          <w:color w:val="auto"/>
        </w:rPr>
        <w:t xml:space="preserve">Haiping Dun </w:t>
      </w:r>
      <w:r>
        <w:rPr>
          <w:rFonts w:ascii="Arial" w:cs="Arial" w:eastAsia="Arial" w:hAnsi="Arial"/>
          <w:sz w:val="17"/>
          <w:szCs w:val="17"/>
          <w:color w:val="auto"/>
        </w:rPr>
        <w:t>has served as one of our directors since 2003 and Lead Director since October 2017. Dr. Dun retired as a Senior Director from Intel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in 2004, where he had been employed since 1983. In April 2016, Dr. Dun was appointed as the President of Champion Microelectronic Corp, a public company in Taiwan. Dr. Dun has served as a member of the executive board of directors of Champion Microelectronic Corp. since 2004. Dr. Dun received his Ph.D. in material science and engineering from Stanford University, a Master of Science in physics from the University of Washington and a Bachelor of Science in physics from National Taiwan University. We believe Dr. Dun is qualified to serve as a director due to his extensive experience with technology companies, his deep knowledge of our company, and his academic background in physics and material science.</w:t>
      </w:r>
    </w:p>
    <w:p>
      <w:pPr>
        <w:spacing w:after="0" w:line="180"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one of our directors since January 2017. Dr. Hu has also served as a member of the board of advisors since May 2016. Since</w:t>
      </w:r>
      <w:r>
        <w:rPr>
          <w:rFonts w:ascii="Arial" w:cs="Arial" w:eastAsia="Arial" w:hAnsi="Arial"/>
          <w:sz w:val="17"/>
          <w:szCs w:val="17"/>
          <w:i w:val="1"/>
          <w:iCs w:val="1"/>
          <w:color w:val="auto"/>
        </w:rPr>
        <w:t xml:space="preserve"> </w:t>
      </w:r>
      <w:r>
        <w:rPr>
          <w:rFonts w:ascii="Arial" w:cs="Arial" w:eastAsia="Arial" w:hAnsi="Arial"/>
          <w:sz w:val="17"/>
          <w:szCs w:val="17"/>
          <w:color w:val="auto"/>
        </w:rPr>
        <w:t>1976, Dr. Hu has been a professor in electrical engineering and computer sciences at the University of California, Berkeley, where he has been the Taiwan Semiconductor Manufacturing Company Distinguished Chair Professor Emeritus and Professor of the Graduate School since 2010. Dr. Hu also serves on the board of directors of Ambrella, Inc., developer of semiconductor processing solutions for video, and Inphi Corporation, a fabless semiconductor company. Dr. Hu is a member of the U.S. National Academy of Engineering and the Chinese Academy of Sciences, and Taiwan’s Academia Sinica. Dr. Hu received his Master of Science degree and Ph.D. from the University of California, Berkeley and his Bachelor of Science degree from National Taiwan University, all in electrical engineering. We believe Dr. Hu is qualified to serve as a director due to his experience and expertise in semiconductors and related technologies (including FinFET, which he developed in 1999), his experience as the Chief Technology Officer of Taiwan Semiconductor Manufacturing Company Ltd. from 2001 to 2007, and his current and past directorships at other public companies.</w:t>
      </w:r>
    </w:p>
    <w:p>
      <w:pPr>
        <w:spacing w:after="0" w:line="18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Tracy Liu </w:t>
      </w:r>
      <w:r>
        <w:rPr>
          <w:rFonts w:ascii="Arial" w:cs="Arial" w:eastAsia="Arial" w:hAnsi="Arial"/>
          <w:sz w:val="17"/>
          <w:szCs w:val="17"/>
          <w:color w:val="auto"/>
        </w:rPr>
        <w:t>has served as one of our directors since September 2016. Ms. Liu has been the founder and owner of H&amp;M Financial Consulting since 2006, where</w:t>
      </w:r>
      <w:r>
        <w:rPr>
          <w:rFonts w:ascii="Arial" w:cs="Arial" w:eastAsia="Arial" w:hAnsi="Arial"/>
          <w:sz w:val="17"/>
          <w:szCs w:val="17"/>
          <w:i w:val="1"/>
          <w:iCs w:val="1"/>
          <w:color w:val="auto"/>
        </w:rPr>
        <w:t xml:space="preserve"> </w:t>
      </w:r>
      <w:r>
        <w:rPr>
          <w:rFonts w:ascii="Arial" w:cs="Arial" w:eastAsia="Arial" w:hAnsi="Arial"/>
          <w:sz w:val="17"/>
          <w:szCs w:val="17"/>
          <w:color w:val="auto"/>
        </w:rPr>
        <w:t>she provides international accounting and tax solutions to high-technology companies. Ms. Liu has a Bachelor of Science from Nankai University and a Master of Accounting and Tax from Golden Gate University. Ms. Liu is a Certified Public Accountant and is a member of the American Institute of Certified Public Accountants. We believe Ms. Liu is qualified to serve as a director of our company due to her accounting expertise and her extensive experience with our company, including our accounting and finance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48"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Director-Elect</w:t>
      </w:r>
    </w:p>
    <w:p>
      <w:pPr>
        <w:spacing w:after="0" w:line="11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Pursuant to a voting agreement with SSTVC, SSTVC designated Yinan Xiang to our board of directors. Yinan Xiang was appointed as a member of our board effective upon the completion of this offering. Ms. Xiang has been a General Manager of Shanghai S&amp;T Venture Capital (Group) Co. Ltd. since October 2016, after serving as Manager of the Project Investment Department of Shanghai S&amp;T Venture Capital (Group) Co. Ltd. from September 2014 to September 2016. From February 2012 to August 2014, Ms. Xiang was a Manager of Invest Department II of Shanghai Science and Technology Venture Capital Co., Ltd. Ms. Xiang received a Bachelor degree from Shanghai University of Finance and Economics.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Advisory Board</w:t>
      </w:r>
    </w:p>
    <w:p>
      <w:pPr>
        <w:spacing w:after="0" w:line="117" w:lineRule="exact"/>
        <w:rPr>
          <w:sz w:val="20"/>
          <w:szCs w:val="20"/>
          <w:color w:val="auto"/>
        </w:rPr>
      </w:pPr>
    </w:p>
    <w:p>
      <w:pPr>
        <w:ind w:right="680" w:firstLine="457"/>
        <w:spacing w:after="0" w:line="287" w:lineRule="auto"/>
        <w:rPr>
          <w:sz w:val="20"/>
          <w:szCs w:val="20"/>
          <w:color w:val="auto"/>
        </w:rPr>
      </w:pPr>
      <w:r>
        <w:rPr>
          <w:rFonts w:ascii="Arial" w:cs="Arial" w:eastAsia="Arial" w:hAnsi="Arial"/>
          <w:sz w:val="17"/>
          <w:szCs w:val="17"/>
          <w:color w:val="auto"/>
        </w:rPr>
        <w:t>Our Advisory Board provides management with advice on strategy, industrial trends, organization policies, fundraising, technologies and its related applications.</w:t>
      </w:r>
    </w:p>
    <w:p>
      <w:pPr>
        <w:spacing w:after="0" w:line="158"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i w:val="1"/>
          <w:iCs w:val="1"/>
          <w:color w:val="auto"/>
        </w:rPr>
        <w:t xml:space="preserve">Stephen Chiao </w:t>
      </w:r>
      <w:r>
        <w:rPr>
          <w:rFonts w:ascii="Arial" w:cs="Arial" w:eastAsia="Arial" w:hAnsi="Arial"/>
          <w:sz w:val="17"/>
          <w:szCs w:val="17"/>
          <w:color w:val="auto"/>
        </w:rPr>
        <w:t>has served as a member of our Advisory Board since December 2016. Since 2009, Dr. Chiao has served as Managing Partner at Sycamore</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Inc. Dr. Chiao has a Bachelor of Science degree from the National Cheng Kung University, a Masters in Science from the University of Southern California and a Ph.D. in Materials Science and Engineering from Stanford University.</w:t>
      </w:r>
    </w:p>
    <w:p>
      <w:pPr>
        <w:spacing w:after="0" w:line="172"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a member of our Advisory Board since May 2016. For biographical information regarding Dr. Hu, see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above.</w:t>
      </w:r>
    </w:p>
    <w:p>
      <w:pPr>
        <w:spacing w:after="0" w:line="158"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i w:val="1"/>
          <w:iCs w:val="1"/>
          <w:color w:val="auto"/>
        </w:rPr>
        <w:t xml:space="preserve">Srini Raghavan </w:t>
      </w:r>
      <w:r>
        <w:rPr>
          <w:rFonts w:ascii="Arial" w:cs="Arial" w:eastAsia="Arial" w:hAnsi="Arial"/>
          <w:sz w:val="16"/>
          <w:szCs w:val="16"/>
          <w:color w:val="auto"/>
        </w:rPr>
        <w:t>has served as a member of our Advisory Board since May 2016. Since 1988 Dr. Raghavan has been a Professor of Materials Science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at the University of Arizona, Tucson. Also at the University of Arizona, Tucson, Dr. Raghavan has been a Professor of Chemical and Environmental Engineering since 2006 and a Professor of Pharmacy Practice and Science since August 2015. Dr. Raghavan was a member of the Visiting Faculty at the Research and Development Lab of Micron Technology in Boise, Idaho. Dr. Raghavan was a Visiting Professor in the International College of Semiconductor Technology at the National Chiao-Tung University in Hsinchu, Taiwan in August 2015. In July 2014 Dr. Raghavan was an Honorary Professor at the Hebei University of Technology in Tianjin, PRC. Since January 2013 Dr. Raghavan has been a member of the Technical Advisory Board at Product Systems, Inc., specializing in Megasonic Technology for Cleaning and Stripping. Dr. Raghavan received a Bachelor of Science degree in chemistry for the University of Madras, a Bachelor of Education degree in Metallurgy at the Indian Institute of Science in Bangalore, a Master of Science degree in Materials Science and Mineral Engineering from the University of California, Berkeley and a Ph.D. from the University of California, Berkeley.</w:t>
      </w:r>
    </w:p>
    <w:p>
      <w:pPr>
        <w:spacing w:after="0" w:line="168"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i w:val="1"/>
          <w:iCs w:val="1"/>
          <w:color w:val="auto"/>
        </w:rPr>
        <w:t xml:space="preserve">Lip-Bu Tan </w:t>
      </w:r>
      <w:r>
        <w:rPr>
          <w:rFonts w:ascii="Arial" w:cs="Arial" w:eastAsia="Arial" w:hAnsi="Arial"/>
          <w:sz w:val="17"/>
          <w:szCs w:val="17"/>
          <w:color w:val="auto"/>
        </w:rPr>
        <w:t>has served as a member of our Advisory Board since January 2017. Since 1987 Mr. Tan has served as the founder and Chairman of Walden</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an international venture capital firm. He has also served as President and Chief Executive Officer of Cadence Design Systems, Inc., an electronic design automation software and engineering services company, since 2009. Mr. Tan currently serves on the boards of directors of Cadence Design Systems, Inc., Hewlett Packard Enterprise Company, an information technology enterprise company, Semiconductor Manufacturing International Corporation, a semiconductor manufacturer, and Quantenna Communications, Inc., a wireless communication designer, developer and manufacturer. Mr. Tan holds a B.S. in physics from Nanyang University in Singapore, an M.S. in nuclear engineering from the Massachusetts Institute of Technology, and an M.B.A. from the University of San Francisco.</w:t>
      </w:r>
    </w:p>
    <w:p>
      <w:pPr>
        <w:spacing w:after="0" w:line="18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Chiang Yang </w:t>
      </w:r>
      <w:r>
        <w:rPr>
          <w:rFonts w:ascii="Arial" w:cs="Arial" w:eastAsia="Arial" w:hAnsi="Arial"/>
          <w:sz w:val="17"/>
          <w:szCs w:val="17"/>
          <w:color w:val="auto"/>
        </w:rPr>
        <w:t>has served as a member of our Advisory Board since August 2017, after having served as Senior Strategic Adviser to the President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2015. Dr. Yang has worked in the semiconductor industry for 32 years and has significant experience in semiconductor equipment, process development, manufacturing, fab operation, technology transfer and general management. Dr. Yang retired as the General Manager of Intel Mask Operation and Vice President of Technology &amp; Manufacturing Group of Intel Corporation in 2014, where he had been employed since 1984. Dr. Yang’s prior experience included semiconductor equipment development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00"/>
          </w:cols>
          <w:pgMar w:left="240" w:top="448" w:right="25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color w:val="auto"/>
        </w:rPr>
        <w:t>at Applied Materials, Inc. and research on energy storage devices at Brookhaven National Laboratory. He received a Ph.D. in materials science from Massachusetts Institute of Technology, a Master of Science in physics from Northwestern University, and a Bachelor of Science in physics from the National Taiwan University.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23"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Our business and affairs are managed under the direction of the board of directors, which is currently composed of four members. Our current directors will continue to serve as directors until their resignations or until their successors are duly elected by the holders of common stock.</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Director Nomination Rights</w:t>
      </w:r>
    </w:p>
    <w:p>
      <w:pPr>
        <w:spacing w:after="0" w:line="117"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In connection with our sale and issuance of capital stock described in “Management’s Discussion and Analysis of Financial Condition and Results of Operations—Recent Equity Transactions—Acquisition of Outstanding Minority Interests in Our Operating Company” and our sale and issuance of Class A common stock in the concurrent private placement described in “Concurrent Private Placement,” we, and certain other shareholders, have entered into (a) a voting agreement with SSTVC and (b) a nomination and voting agreement with Xinxin (Hongkong) Capital Co., Limited, which agreements will remain in effect after the completion of this offering. Pursuant to these agreements, each of SSTVC and Xinxin (Hongkong) Capital Co., Limited will have the right to designate one individual for nomination to our board of directors. In addition, holders who will have 51.2% of the voting power of common stock immediately after this offering and the concurrent private placement, including David H. Wang, our Chair of the Board, Chief Executive Officer and President, and Haiping Dun, our Lead Director, have agreed to vote their shares for the election of the nominee designated by Xinxin (Hongkong) Capital Co. Limited.</w:t>
      </w:r>
    </w:p>
    <w:p>
      <w:pPr>
        <w:spacing w:after="0" w:line="172"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The rights and obligations of the parties under the voting agreement with SSTVC will be in effect as long as SSTVC continues to beneficially own all of the 1,666,170 shares of Class A common stock issued to SSTVC. The rights and obligations of the parties under the nomination and voting agreement with Xinxin (Hongkong) Capital Co., Limited will be in effect as long as Xinxin (Hongkong) Capital Co., Limited and its affiliates continue to hold at least 625,000 shares of Class A common stock issued to Xinxin (Hongkong) Capital Co., Limited in the concurrent private placement.</w:t>
      </w:r>
    </w:p>
    <w:p>
      <w:pPr>
        <w:spacing w:after="0" w:line="176" w:lineRule="exact"/>
        <w:rPr>
          <w:sz w:val="20"/>
          <w:szCs w:val="20"/>
          <w:color w:val="auto"/>
        </w:rPr>
      </w:pPr>
    </w:p>
    <w:p>
      <w:pPr>
        <w:ind w:right="260" w:firstLine="457"/>
        <w:spacing w:after="0" w:line="271" w:lineRule="auto"/>
        <w:rPr>
          <w:sz w:val="20"/>
          <w:szCs w:val="20"/>
          <w:color w:val="auto"/>
        </w:rPr>
      </w:pPr>
      <w:r>
        <w:rPr>
          <w:rFonts w:ascii="Arial" w:cs="Arial" w:eastAsia="Arial" w:hAnsi="Arial"/>
          <w:sz w:val="17"/>
          <w:szCs w:val="17"/>
          <w:color w:val="auto"/>
        </w:rPr>
        <w:t>SSTVC designated Yinan Xiang, who has been appointed as a member of our board of directors effective upon the completion of this offering. We expect Xinxin (Hongkong) Capital Co., Limited to designate an individual for nomination to our board shortly after the consummation of the concurrent private placement.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Independent Directors</w:t>
      </w:r>
    </w:p>
    <w:p>
      <w:pPr>
        <w:spacing w:after="0" w:line="1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Class A common stock has been approved for listing on the Nasdaq Global Market. Under Nasdaq rules, independent directors must comprise a majority of a listed company’s board of directors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of directors or any other board committee: (a) accept, directly or indirectly, any consulting,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48" w:right="2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advisory or other compensatory fee from the listed company or any of its subsidiaries, other than compensation for board service; or (b) be an affiliated person of the listed company or any of its subsidiaries. In order to be considered independent for purposes of Rule 10C-1 under the Securities Exchange Act, each member of the compensation committee must be a member of the board of directors of the listed company, and must otherwise be independent. In determining independence requirements for members of compensation committees, the national securities exchanges and national securities associations shall consider relevant factors, including: (x) the source of compensation of a member of the board of a listed company, including any consulting, advisory or other compensatory fee paid by the listed company to such member of the board; and (y) whether a member of the board of a listed company is affiliated with the listed company, a subsidiary of the listed company or an affiliate of a subsidiary of the listed company.</w:t>
      </w:r>
    </w:p>
    <w:p>
      <w:pPr>
        <w:spacing w:after="0" w:line="166" w:lineRule="exact"/>
        <w:rPr>
          <w:sz w:val="20"/>
          <w:szCs w:val="20"/>
          <w:color w:val="auto"/>
        </w:rPr>
      </w:pPr>
    </w:p>
    <w:p>
      <w:pPr>
        <w:ind w:right="160" w:firstLine="457"/>
        <w:spacing w:after="0" w:line="284" w:lineRule="auto"/>
        <w:rPr>
          <w:sz w:val="20"/>
          <w:szCs w:val="20"/>
          <w:color w:val="auto"/>
        </w:rPr>
      </w:pPr>
      <w:r>
        <w:rPr>
          <w:rFonts w:ascii="Arial" w:cs="Arial" w:eastAsia="Arial" w:hAnsi="Arial"/>
          <w:sz w:val="16"/>
          <w:szCs w:val="16"/>
          <w:color w:val="auto"/>
        </w:rPr>
        <w:t>In October 2017 the board undertook a review of its composition and that of its committees, as well as the independence of each director that will serve following the consummation of this offering. Based upon information requested from and provided by each director concerning his background, employment and affiliations, including family relationships, the board has determined that each of Chenming Hu, Haiping Dun and Tracy Liu qualify as independent directors in accordance with the rules of Nasdaq and Rules 10C-1 and 10A-3 under the Securities Exchange Act. The independent members of the board will hold separate regularly scheduled executive session meetings at which only independent directors are present.</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17"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we will not have a classified board of directors, and all directors will be elected for annual terms. If outstanding shares of Class B common stock represent less than a majority of the combined voting power of common stock at any time, we thereafter would have a classified board consisting of three classes of approximately equal size, each serving staggered three-year terms. Our directors would be assigned by the then-current board of directors to a class.</w:t>
      </w:r>
    </w:p>
    <w:p>
      <w:pPr>
        <w:spacing w:after="0" w:line="176" w:lineRule="exact"/>
        <w:rPr>
          <w:sz w:val="20"/>
          <w:szCs w:val="20"/>
          <w:color w:val="auto"/>
        </w:rPr>
      </w:pPr>
    </w:p>
    <w:p>
      <w:pPr>
        <w:ind w:right="300" w:firstLine="457"/>
        <w:spacing w:after="0" w:line="262" w:lineRule="auto"/>
        <w:rPr>
          <w:sz w:val="20"/>
          <w:szCs w:val="20"/>
          <w:color w:val="auto"/>
        </w:rPr>
      </w:pPr>
      <w:r>
        <w:rPr>
          <w:rFonts w:ascii="Arial" w:cs="Arial" w:eastAsia="Arial" w:hAnsi="Arial"/>
          <w:sz w:val="17"/>
          <w:szCs w:val="17"/>
          <w:color w:val="auto"/>
        </w:rPr>
        <w:t>If and when the board is classified, upon expiration of the term of a class of directors, directors for that class would be elected for three-year terms at the annual meeting of stockholders in the year in which that term expires. As a result, only one class of directors would be elected at each annual meeting of our stockholders, with the other classes continuing for the remainder of their respective three-year terms. Each director’s term would continue until the election and qualification of his or her successor or his or her earlier death, resignation, or removal. Our restated charter provides that our directors may be removed with or without cause only by the affirmative vote of the holders of at least two-thirds of the votes that all of the stockholders would be entitled to cast in any annual election of directors.</w:t>
      </w:r>
    </w:p>
    <w:p>
      <w:pPr>
        <w:spacing w:after="0" w:line="180" w:lineRule="exact"/>
        <w:rPr>
          <w:sz w:val="20"/>
          <w:szCs w:val="20"/>
          <w:color w:val="auto"/>
        </w:rPr>
      </w:pPr>
    </w:p>
    <w:p>
      <w:pPr>
        <w:ind w:right="160" w:firstLine="457"/>
        <w:spacing w:after="0" w:line="320" w:lineRule="auto"/>
        <w:rPr>
          <w:sz w:val="20"/>
          <w:szCs w:val="20"/>
          <w:color w:val="auto"/>
        </w:rPr>
      </w:pPr>
      <w:r>
        <w:rPr>
          <w:rFonts w:ascii="Arial" w:cs="Arial" w:eastAsia="Arial" w:hAnsi="Arial"/>
          <w:sz w:val="16"/>
          <w:szCs w:val="16"/>
          <w:color w:val="auto"/>
        </w:rPr>
        <w:t>So long as the board is classified, only the board could fill vacancies on the board. Any additional directorships resulting from an increase in the number of directors would be distributed among the three classes so that, as nearly as possible, each class would consist of one-third of the total number of directors.</w:t>
      </w:r>
    </w:p>
    <w:p>
      <w:pPr>
        <w:spacing w:after="0" w:line="135"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classification of the board might have the effect of delaying or preventing changes in our control or management. See “Description of Capital Stock— Anti-Takeover Provisions—Restated Charter and Bylaw Provisions.”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117"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00"/>
          </w:cols>
          <w:pgMar w:left="240" w:top="448" w:right="2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an employee. Our board has determined that it is in our best interests to have both a Chair of the Board and a Lead Director. Our board has appointed David H.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Our board believes that this is the appropriate leadership structure for us at this time and will allow the board to fulfill its role with appropriate independence.</w:t>
      </w:r>
    </w:p>
    <w:p>
      <w:pPr>
        <w:spacing w:after="0" w:line="180" w:lineRule="exact"/>
        <w:rPr>
          <w:sz w:val="20"/>
          <w:szCs w:val="20"/>
          <w:color w:val="auto"/>
        </w:rPr>
      </w:pPr>
    </w:p>
    <w:p>
      <w:pPr>
        <w:ind w:right="640" w:firstLine="457"/>
        <w:spacing w:after="0" w:line="287" w:lineRule="auto"/>
        <w:rPr>
          <w:sz w:val="20"/>
          <w:szCs w:val="20"/>
          <w:color w:val="auto"/>
        </w:rPr>
      </w:pPr>
      <w:r>
        <w:rPr>
          <w:rFonts w:ascii="Arial" w:cs="Arial" w:eastAsia="Arial" w:hAnsi="Arial"/>
          <w:sz w:val="17"/>
          <w:szCs w:val="17"/>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Oversight of Risk</w:t>
      </w:r>
    </w:p>
    <w:p>
      <w:pPr>
        <w:spacing w:after="0" w:line="123"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8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123" w:lineRule="exact"/>
        <w:rPr>
          <w:sz w:val="20"/>
          <w:szCs w:val="20"/>
          <w:color w:val="auto"/>
        </w:rPr>
      </w:pPr>
    </w:p>
    <w:p>
      <w:pPr>
        <w:ind w:right="40" w:firstLine="457"/>
        <w:spacing w:after="0" w:line="320" w:lineRule="auto"/>
        <w:rPr>
          <w:sz w:val="20"/>
          <w:szCs w:val="20"/>
          <w:color w:val="auto"/>
        </w:rPr>
      </w:pPr>
      <w:r>
        <w:rPr>
          <w:rFonts w:ascii="Arial" w:cs="Arial" w:eastAsia="Arial" w:hAnsi="Arial"/>
          <w:sz w:val="16"/>
          <w:szCs w:val="16"/>
          <w:color w:val="auto"/>
        </w:rPr>
        <w:t>The board of directors adopted a code of business conduct that applies to each of our directors, officers and employees, including our principal executive officer, principal financial officer, principal accounting officer or controller and persons performing similar functions. The code addresses various topics, including:</w:t>
      </w:r>
    </w:p>
    <w:p>
      <w:pPr>
        <w:spacing w:after="0" w:line="44" w:lineRule="exact"/>
        <w:rPr>
          <w:sz w:val="20"/>
          <w:szCs w:val="20"/>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compliance with applicable laws, rules and regulations;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public disclosure of information;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insider trading;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corporate opportunities;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competition and fair dealing;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discrimination, harassment and retaliation;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record-keeping;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confidentiality;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48"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protection and proper use of company assets;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reporting illegal and unethical behavior.</w:t>
      </w:r>
    </w:p>
    <w:p>
      <w:pPr>
        <w:spacing w:after="0" w:line="222"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 xml:space="preserve">Prior to the completion of this offering, the code of business conduct will be posted on the Investor Relations section of our website, which is located at </w:t>
      </w:r>
      <w:r>
        <w:rPr>
          <w:rFonts w:ascii="Arial" w:cs="Arial" w:eastAsia="Arial" w:hAnsi="Arial"/>
          <w:sz w:val="17"/>
          <w:szCs w:val="17"/>
          <w:i w:val="1"/>
          <w:iCs w:val="1"/>
          <w:color w:val="auto"/>
        </w:rPr>
        <w:t>www.acmrcsh.com</w:t>
      </w:r>
      <w:r>
        <w:rPr>
          <w:rFonts w:ascii="Arial" w:cs="Arial" w:eastAsia="Arial" w:hAnsi="Arial"/>
          <w:sz w:val="17"/>
          <w:szCs w:val="17"/>
          <w:color w:val="auto"/>
        </w:rPr>
        <w:t>. Any waiver of the code of business conduct for an executive officer or director may be granted only by the board or a committee thereof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must be timely disclosed as required by applicable law. We intend to disclose future amendments to certain provisions of our code of business conduct, or waivers of those provisions, applicable to any principal executive officer, principal financial officer, principal accounting officer or controller, or persons performing similar functions on our website, </w:t>
      </w:r>
      <w:r>
        <w:rPr>
          <w:rFonts w:ascii="Arial" w:cs="Arial" w:eastAsia="Arial" w:hAnsi="Arial"/>
          <w:sz w:val="17"/>
          <w:szCs w:val="17"/>
          <w:i w:val="1"/>
          <w:iCs w:val="1"/>
          <w:color w:val="auto"/>
        </w:rPr>
        <w:t>www.acmrcsh.com</w:t>
      </w:r>
      <w:r>
        <w:rPr>
          <w:rFonts w:ascii="Arial" w:cs="Arial" w:eastAsia="Arial" w:hAnsi="Arial"/>
          <w:sz w:val="17"/>
          <w:szCs w:val="17"/>
          <w:color w:val="auto"/>
        </w:rPr>
        <w:t>.</w:t>
      </w:r>
    </w:p>
    <w:p>
      <w:pPr>
        <w:spacing w:after="0" w:line="180"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We have implemented whistleblower procedures, which establish format protocols for receiving and handling complaints from employees. Any concerns regarding accounting or auditing matters reported under these procedures will be communicated promptly to the audit committee.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23"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We have established an audit committee, a compensation committee, and a nominating and governance committee. Following the completion of this offering, the composition of these committees will meet the criteria for independence under, and the functioning of these committees will comply with the applicable requirements of, the rules of Nasdaq and SEC rules and regulations. We intend to comply with future requirements as they become applicable to us.</w:t>
      </w:r>
    </w:p>
    <w:p>
      <w:pPr>
        <w:spacing w:after="0" w:line="15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 xml:space="preserve">Each committee operates under a charter that has been approved by the board of directors. Prior to the completion of this offering, copies of each committee’s charter will be posted on the Investor Relations section of our website, which is located at </w:t>
      </w:r>
      <w:r>
        <w:rPr>
          <w:rFonts w:ascii="Arial" w:cs="Arial" w:eastAsia="Arial" w:hAnsi="Arial"/>
          <w:sz w:val="17"/>
          <w:szCs w:val="17"/>
          <w:i w:val="1"/>
          <w:iCs w:val="1"/>
          <w:color w:val="auto"/>
        </w:rPr>
        <w:t>www.acmrcsh.com</w:t>
      </w:r>
      <w:r>
        <w:rPr>
          <w:rFonts w:ascii="Arial" w:cs="Arial" w:eastAsia="Arial" w:hAnsi="Arial"/>
          <w:sz w:val="17"/>
          <w:szCs w:val="17"/>
          <w:color w:val="auto"/>
        </w:rPr>
        <w:t>. Each committee has the composition and responsibilities described below. The board may from time to time establish other committees.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7" w:lineRule="exact"/>
        <w:rPr>
          <w:sz w:val="20"/>
          <w:szCs w:val="20"/>
          <w:color w:val="auto"/>
        </w:rPr>
      </w:pPr>
    </w:p>
    <w:p>
      <w:pPr>
        <w:ind w:right="60" w:firstLine="457"/>
        <w:spacing w:after="0" w:line="312" w:lineRule="auto"/>
        <w:rPr>
          <w:sz w:val="20"/>
          <w:szCs w:val="20"/>
          <w:color w:val="auto"/>
        </w:rPr>
      </w:pPr>
      <w:r>
        <w:rPr>
          <w:rFonts w:ascii="Arial" w:cs="Arial" w:eastAsia="Arial" w:hAnsi="Arial"/>
          <w:sz w:val="15"/>
          <w:szCs w:val="15"/>
          <w:color w:val="auto"/>
        </w:rPr>
        <w:t>The members of the audit committee are Chenming Hu and Tracy Liu, each of whom is a non-employee member of the board of directors. Tracy Liu serves as the chair of the audit committee. It is expected that Yinan Xiang will be elected to the audit committee upon joining the board. The audit committee’s main function is to oversee our accounting and financial reporting processes, internal systems of control, independent registered public accounting firm relationships and the audits of our consolidated financial statements. Pursuant to the audit committee charter, the functions of the committee include, among other things:</w:t>
      </w:r>
    </w:p>
    <w:p>
      <w:pPr>
        <w:spacing w:after="0" w:line="55" w:lineRule="exact"/>
        <w:rPr>
          <w:sz w:val="20"/>
          <w:szCs w:val="20"/>
          <w:color w:val="auto"/>
        </w:rPr>
      </w:pPr>
    </w:p>
    <w:p>
      <w:pPr>
        <w:ind w:left="900" w:hanging="439"/>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registered public accounting firm;</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overseeing the work of our registered public accounting firm, including through the receipt and consideration of reports from such firm;</w:t>
      </w:r>
    </w:p>
    <w:p>
      <w:pPr>
        <w:spacing w:after="0" w:line="130" w:lineRule="exact"/>
        <w:rPr>
          <w:rFonts w:ascii="Arial" w:cs="Arial" w:eastAsia="Arial" w:hAnsi="Arial"/>
          <w:sz w:val="17"/>
          <w:szCs w:val="17"/>
          <w:color w:val="auto"/>
        </w:rPr>
      </w:pPr>
    </w:p>
    <w:p>
      <w:pPr>
        <w:ind w:left="900" w:right="580" w:hanging="439"/>
        <w:spacing w:after="0" w:line="287"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reviewing and discussing with management and the registered public accounting firm our annual and quarterly financial statements and related disclosures;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and our disclosure controls and procedures;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meeting independently with our registered public accounting firm and management;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furnishing the audit committee report required by SEC rules;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reviewing and reassessing the adequacy of our conflict of interest policy;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overseeing our risk assessment and risk management policies.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448"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All members of the audit committee meet the requirements for financial literacy under the applicable rules and regulations of the SEC and Nasdaq. The board has determined that Tracy Liu is an “audit committee financial expert” as defined by applicable SEC rules and has the requisite financial sophistication as defined under the applicable Nasdaq rules and regulations.</w:t>
      </w:r>
    </w:p>
    <w:p>
      <w:pPr>
        <w:spacing w:after="0" w:line="172"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board has determined that each of Chenming Hu and Tracy Liu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7" w:lineRule="exact"/>
        <w:rPr>
          <w:sz w:val="20"/>
          <w:szCs w:val="20"/>
          <w:color w:val="auto"/>
        </w:rPr>
      </w:pPr>
    </w:p>
    <w:p>
      <w:pPr>
        <w:ind w:right="380" w:firstLine="457"/>
        <w:spacing w:after="0" w:line="271" w:lineRule="auto"/>
        <w:rPr>
          <w:sz w:val="20"/>
          <w:szCs w:val="20"/>
          <w:color w:val="auto"/>
        </w:rPr>
      </w:pPr>
      <w:r>
        <w:rPr>
          <w:rFonts w:ascii="Arial" w:cs="Arial" w:eastAsia="Arial" w:hAnsi="Arial"/>
          <w:sz w:val="17"/>
          <w:szCs w:val="17"/>
          <w:color w:val="auto"/>
        </w:rPr>
        <w:t>The members of the compensation committee are Haiping Dun and Tracy Liu. Haiping Dun serves as the chair of the compensation committee. The compensation committee reviews and recommends policies relating to compensation and benefits of our officers and employees. Pursuant to the compensation committee charter, the functions of this committee include, among other things:</w:t>
      </w:r>
    </w:p>
    <w:p>
      <w:pPr>
        <w:spacing w:after="0" w:line="81" w:lineRule="exact"/>
        <w:rPr>
          <w:sz w:val="20"/>
          <w:szCs w:val="20"/>
          <w:color w:val="auto"/>
        </w:rPr>
      </w:pPr>
    </w:p>
    <w:p>
      <w:pPr>
        <w:ind w:left="900" w:right="200" w:hanging="439"/>
        <w:spacing w:after="0" w:line="287"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determining the chief executive officer’s salary and contingent compensation based on his or her performance and other relevant criteria;</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identifying the corporate and individual objectives governing the chief executive officer’s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approving the compensation of our other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director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reviewing and approving the terms of certain material agreements;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overseeing and administering our equity incentive plans and employee benefit plans;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preparing the annual compensation committee report required by SEC rules; and</w:t>
      </w:r>
    </w:p>
    <w:p>
      <w:pPr>
        <w:spacing w:after="0" w:line="130" w:lineRule="exact"/>
        <w:rPr>
          <w:rFonts w:ascii="Arial" w:cs="Arial" w:eastAsia="Arial" w:hAnsi="Arial"/>
          <w:sz w:val="17"/>
          <w:szCs w:val="17"/>
          <w:color w:val="auto"/>
        </w:rPr>
      </w:pPr>
    </w:p>
    <w:p>
      <w:pPr>
        <w:ind w:left="900" w:right="20" w:hanging="439"/>
        <w:spacing w:after="0" w:line="287"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accordance with Nasdaq listing standards, the board has granted the compensation committee the authority and responsibility required under Rules 10C-1(b)(2), (3) and (4) of the Securities Exchange Act, relating to the authority to retain or obtain the advice of compensation consultants, legal counsel and other compensation advisers, the authority to fund such advisers, and the responsibility to consider the independence factors specified under Rules 10C-1(b)(4)(i) through (vi) and any additional factors the compensation committee deems relevant.</w:t>
      </w:r>
    </w:p>
    <w:p>
      <w:pPr>
        <w:spacing w:after="0" w:line="176"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The board has determined that each of Haiping Dun and Tracy Liu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Governance Committee</w:t>
      </w:r>
    </w:p>
    <w:p>
      <w:pPr>
        <w:spacing w:after="0" w:line="117" w:lineRule="exact"/>
        <w:rPr>
          <w:sz w:val="20"/>
          <w:szCs w:val="20"/>
          <w:color w:val="auto"/>
        </w:rPr>
      </w:pPr>
    </w:p>
    <w:p>
      <w:pPr>
        <w:ind w:right="340" w:firstLine="457"/>
        <w:spacing w:after="0" w:line="320" w:lineRule="auto"/>
        <w:rPr>
          <w:sz w:val="20"/>
          <w:szCs w:val="20"/>
          <w:color w:val="auto"/>
        </w:rPr>
      </w:pPr>
      <w:r>
        <w:rPr>
          <w:rFonts w:ascii="Arial" w:cs="Arial" w:eastAsia="Arial" w:hAnsi="Arial"/>
          <w:sz w:val="16"/>
          <w:szCs w:val="16"/>
          <w:color w:val="auto"/>
        </w:rPr>
        <w:t>The members of the nominating and governance committee are Chenming Hu and Haiping Dun. Chenming Hu serves as the chair of the nominating and governance committee. Pursuant to the nominating and governance committee charter, the functions of this committee include, among other things:</w:t>
      </w:r>
    </w:p>
    <w:p>
      <w:pPr>
        <w:spacing w:after="0" w:line="44" w:lineRule="exact"/>
        <w:rPr>
          <w:sz w:val="20"/>
          <w:szCs w:val="20"/>
          <w:color w:val="auto"/>
        </w:rPr>
      </w:pPr>
    </w:p>
    <w:p>
      <w:pPr>
        <w:ind w:left="900" w:right="100" w:hanging="439"/>
        <w:spacing w:after="0" w:line="287"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identifying, evaluating, and making recommendations to the board of directors and our stockholders concerning nominees for election to the board, to each of the board’s committees and as committee chairs;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48" w:right="23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annually reviewing the performance and effectiveness of the board and developing and overseeing a performance evaluation process;</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annually evaluating the performance of management, the board and each board committee against their duties and responsibilities relating to corporate governance;</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annually evaluating adequacy of our corporate governance structure, policies and procedures;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providing reports to the board regarding the committee’s nominations for election to the board and its committees.</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117"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None of the members of the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compensation committee.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123" w:lineRule="exact"/>
        <w:rPr>
          <w:sz w:val="20"/>
          <w:szCs w:val="20"/>
          <w:color w:val="auto"/>
        </w:rPr>
      </w:pPr>
    </w:p>
    <w:p>
      <w:pPr>
        <w:ind w:right="340" w:firstLine="457"/>
        <w:spacing w:after="0" w:line="32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380"/>
          </w:cols>
          <w:pgMar w:left="240" w:top="448" w:right="27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2016 Director Compensation</w:t>
      </w:r>
    </w:p>
    <w:p>
      <w:pPr>
        <w:spacing w:after="0" w:line="123"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In 2016 we did not have an established policy with regard to cash or equity-based compensation of non-employee members of the board of directors. Under our 2016 Omnibus Incentive Plan, or the 2016 Plan, pursuant to which we intend to issue awards beginning with the effective date of this offering, the maximum number of shares subject to equity awards, and the maximum size of performance cash awards, that may be granted or paid to participants in any calendar year is limited, as set forth in more detail under “Executive Compensation—Equity Plans” below.</w:t>
      </w:r>
    </w:p>
    <w:p>
      <w:pPr>
        <w:spacing w:after="0" w:line="176"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During 2016, our non-employee directors did not receive any cash compensation or stock awards for their service on the board or committees of the board, except that Tracy Liu was granted the option to purchase 50,000 shares of the Class A common stock in December 2016. The following table presents certain information with respect to the compensation of our non-employee directors in 2016:</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79"/>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52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Option </w:t>
            </w: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)(1)</w:t>
            </w:r>
          </w:p>
        </w:tc>
        <w:tc>
          <w:tcPr>
            <w:tcW w:w="12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w w:val="97"/>
              </w:rPr>
              <w:t>Total($</w:t>
            </w:r>
            <w:r>
              <w:rPr>
                <w:rFonts w:ascii="Arial" w:cs="Arial" w:eastAsia="Arial" w:hAnsi="Arial"/>
                <w:sz w:val="14"/>
                <w:szCs w:val="14"/>
                <w:b w:val="1"/>
                <w:bCs w:val="1"/>
                <w:color w:val="auto"/>
                <w:w w:val="97"/>
              </w:rPr>
              <w:t>)(1)</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Haiping Dun</w:t>
            </w:r>
          </w:p>
        </w:tc>
        <w:tc>
          <w:tcPr>
            <w:tcW w:w="23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Tracy Liu</w:t>
            </w: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114,000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114,000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60" w:hanging="456"/>
        <w:spacing w:after="0" w:line="271"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of option awards granted during the year ended December 31, 2016, computed in accordance with FASB ASC Topic 718. See note 2 to our consolidated financial statements included at the end of this prospectus for a discussion of the assumptions made by us in determining the grant date fair value of our equity awards.</w:t>
      </w:r>
    </w:p>
    <w:p>
      <w:pPr>
        <w:spacing w:after="0" w:line="172"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David H. Wang, our sole executive officer who served as a member of the board during 2016, did not receive any additional compensation for such service as a director.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Compensation Policy</w:t>
      </w:r>
    </w:p>
    <w:p>
      <w:pPr>
        <w:spacing w:after="0" w:line="11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In October 2017 we adopted a policy with respect to the compensation payable to certain of our non-employee directors, which will become effective upon the completion of this offering. Under this policy, each qualifying non-employee director will be eligible to receive compensation for his or her board and committee service consisting of annual cash retainers and equity awards. Our qualifying non-employee directors will receive the following annual retainers for their service:</w:t>
      </w:r>
    </w:p>
    <w:p>
      <w:pPr>
        <w:spacing w:after="0" w:line="192" w:lineRule="exact"/>
        <w:rPr>
          <w:sz w:val="20"/>
          <w:szCs w:val="20"/>
          <w:color w:val="auto"/>
        </w:rPr>
      </w:pPr>
    </w:p>
    <w:tbl>
      <w:tblPr>
        <w:tblLayout w:type="fixed"/>
        <w:tblInd w:w="1380" w:type="dxa"/>
        <w:tblCellMar>
          <w:top w:w="0" w:type="dxa"/>
          <w:left w:w="0" w:type="dxa"/>
          <w:bottom w:w="0" w:type="dxa"/>
          <w:right w:w="0" w:type="dxa"/>
        </w:tblCellMar>
      </w:tblPr>
      <w:tr>
        <w:trPr>
          <w:trHeight w:val="179"/>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0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Retainer</w:t>
            </w:r>
          </w:p>
        </w:tc>
      </w:tr>
      <w:tr>
        <w:trPr>
          <w:trHeight w:val="202"/>
        </w:trPr>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Lead</w:t>
            </w: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Director</w:t>
            </w:r>
          </w:p>
        </w:tc>
        <w:tc>
          <w:tcPr>
            <w:tcW w:w="20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7"/>
                <w:szCs w:val="17"/>
                <w:color w:val="auto"/>
              </w:rPr>
              <w:t>Other Directors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15,000</w:t>
            </w:r>
          </w:p>
        </w:tc>
        <w:tc>
          <w:tcPr>
            <w:tcW w:w="60" w:type="dxa"/>
            <w:vAlign w:val="bottom"/>
          </w:tcPr>
          <w:p>
            <w:pPr>
              <w:spacing w:after="0"/>
              <w:rPr>
                <w:sz w:val="18"/>
                <w:szCs w:val="18"/>
                <w:color w:val="auto"/>
              </w:rPr>
            </w:pPr>
          </w:p>
        </w:tc>
      </w:tr>
      <w:tr>
        <w:trPr>
          <w:trHeight w:val="209"/>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Committee Chair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60" w:type="dxa"/>
            <w:vAlign w:val="bottom"/>
            <w:shd w:val="clear" w:color="auto" w:fill="CCEEFF"/>
          </w:tcPr>
          <w:p>
            <w:pPr>
              <w:spacing w:after="0"/>
              <w:rPr>
                <w:sz w:val="18"/>
                <w:szCs w:val="18"/>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7"/>
                <w:szCs w:val="17"/>
                <w:color w:val="auto"/>
              </w:rPr>
              <w:t>Other Audit Committee Members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18"/>
                <w:szCs w:val="18"/>
                <w:color w:val="auto"/>
              </w:rPr>
            </w:pPr>
          </w:p>
        </w:tc>
      </w:tr>
      <w:tr>
        <w:trPr>
          <w:trHeight w:val="209"/>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Committee Chair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60" w:type="dxa"/>
            <w:vAlign w:val="bottom"/>
            <w:shd w:val="clear" w:color="auto" w:fill="CCEEFF"/>
          </w:tcPr>
          <w:p>
            <w:pPr>
              <w:spacing w:after="0"/>
              <w:rPr>
                <w:sz w:val="18"/>
                <w:szCs w:val="18"/>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7"/>
                <w:szCs w:val="17"/>
                <w:color w:val="auto"/>
              </w:rPr>
              <w:t>Other Compensation Committee Members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18"/>
                <w:szCs w:val="18"/>
                <w:color w:val="auto"/>
              </w:rPr>
            </w:pPr>
          </w:p>
        </w:tc>
      </w:tr>
      <w:tr>
        <w:trPr>
          <w:trHeight w:val="209"/>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Nominating and Governance Committee Chair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60" w:type="dxa"/>
            <w:vAlign w:val="bottom"/>
            <w:shd w:val="clear" w:color="auto" w:fill="CCEEFF"/>
          </w:tcPr>
          <w:p>
            <w:pPr>
              <w:spacing w:after="0"/>
              <w:rPr>
                <w:sz w:val="18"/>
                <w:szCs w:val="18"/>
                <w:color w:val="auto"/>
              </w:rPr>
            </w:pPr>
          </w:p>
        </w:tc>
      </w:tr>
      <w:tr>
        <w:trPr>
          <w:trHeight w:val="221"/>
        </w:trPr>
        <w:tc>
          <w:tcPr>
            <w:tcW w:w="6000" w:type="dxa"/>
            <w:vAlign w:val="bottom"/>
            <w:gridSpan w:val="2"/>
          </w:tcPr>
          <w:p>
            <w:pPr>
              <w:spacing w:after="0"/>
              <w:rPr>
                <w:sz w:val="20"/>
                <w:szCs w:val="20"/>
                <w:color w:val="auto"/>
              </w:rPr>
            </w:pPr>
            <w:r>
              <w:rPr>
                <w:rFonts w:ascii="Arial" w:cs="Arial" w:eastAsia="Arial" w:hAnsi="Arial"/>
                <w:sz w:val="17"/>
                <w:szCs w:val="17"/>
                <w:color w:val="auto"/>
              </w:rPr>
              <w:t>Other Nominating and Governance Committee Members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19"/>
                <w:szCs w:val="19"/>
                <w:color w:val="auto"/>
              </w:rPr>
            </w:pPr>
          </w:p>
        </w:tc>
      </w:tr>
    </w:tbl>
    <w:p>
      <w:pPr>
        <w:spacing w:after="0" w:line="184"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Equity awards for qualifying non-employee directors will consist of (i) an initial equity award with a value of $75,000, upon initial election to our board of directors, subject to vesting and to such director’s continued service on our board of directors, and (ii) annual equity awards with a value of $35,000, subject to vesting and to such director’s continued service on our board of directors.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Directors may be reimbursed for reasonable out-of-pocket expenses incurred in attending board and committee meetings.</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48"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23" w:lineRule="exact"/>
        <w:rPr>
          <w:sz w:val="20"/>
          <w:szCs w:val="20"/>
          <w:color w:val="auto"/>
        </w:rPr>
      </w:pPr>
    </w:p>
    <w:p>
      <w:pPr>
        <w:ind w:right="140" w:firstLine="457"/>
        <w:spacing w:after="0" w:line="320" w:lineRule="auto"/>
        <w:rPr>
          <w:sz w:val="20"/>
          <w:szCs w:val="20"/>
          <w:color w:val="auto"/>
        </w:rPr>
      </w:pPr>
      <w:r>
        <w:rPr>
          <w:rFonts w:ascii="Arial" w:cs="Arial" w:eastAsia="Arial" w:hAnsi="Arial"/>
          <w:sz w:val="16"/>
          <w:szCs w:val="16"/>
          <w:color w:val="auto"/>
        </w:rPr>
        <w:t>The following table provides information concerning the compensation paid for 2016 and 2015 to our “named executive officers,” who consist of our Chief Executive Officer and President, our Treasurer and Chief Financial Officer and Treasurer and our other most highly compensated executive officer during 2016.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Salary</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7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($)(1)(3)</w:t>
            </w:r>
          </w:p>
        </w:tc>
        <w:tc>
          <w:tcPr>
            <w:tcW w:w="140" w:type="dxa"/>
            <w:vAlign w:val="bottom"/>
          </w:tcPr>
          <w:p>
            <w:pPr>
              <w:spacing w:after="0"/>
              <w:rPr>
                <w:sz w:val="14"/>
                <w:szCs w:val="14"/>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7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David H. Wang</w:t>
            </w:r>
          </w:p>
        </w:tc>
        <w:tc>
          <w:tcPr>
            <w:tcW w:w="476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2016</w:t>
            </w:r>
          </w:p>
        </w:tc>
        <w:tc>
          <w:tcPr>
            <w:tcW w:w="160" w:type="dxa"/>
            <w:vAlign w:val="bottom"/>
            <w:vMerge w:val="continue"/>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$171,364(4)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$ 7,837</w:t>
            </w:r>
          </w:p>
        </w:tc>
        <w:tc>
          <w:tcPr>
            <w:tcW w:w="14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$760,000</w:t>
            </w:r>
          </w:p>
        </w:tc>
        <w:tc>
          <w:tcPr>
            <w:tcW w:w="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10,840</w:t>
            </w:r>
          </w:p>
        </w:tc>
        <w:tc>
          <w:tcPr>
            <w:tcW w:w="140" w:type="dxa"/>
            <w:vAlign w:val="bottom"/>
            <w:vMerge w:val="continue"/>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$950,041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Chief Executive Officer and President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2015</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176,008(5)</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51,974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835,689</w:t>
            </w:r>
          </w:p>
        </w:tc>
        <w:tc>
          <w:tcPr>
            <w:tcW w:w="0" w:type="dxa"/>
            <w:vAlign w:val="bottom"/>
          </w:tcPr>
          <w:p>
            <w:pPr>
              <w:spacing w:after="0"/>
              <w:rPr>
                <w:sz w:val="1"/>
                <w:szCs w:val="1"/>
                <w:color w:val="auto"/>
              </w:rPr>
            </w:pPr>
          </w:p>
        </w:tc>
      </w:tr>
      <w:tr>
        <w:trPr>
          <w:trHeight w:val="300"/>
        </w:trPr>
        <w:tc>
          <w:tcPr>
            <w:tcW w:w="6480" w:type="dxa"/>
            <w:vAlign w:val="bottom"/>
            <w:gridSpan w:val="3"/>
          </w:tcPr>
          <w:p>
            <w:pPr>
              <w:spacing w:after="0"/>
              <w:rPr>
                <w:sz w:val="20"/>
                <w:szCs w:val="20"/>
                <w:color w:val="auto"/>
              </w:rPr>
            </w:pPr>
            <w:r>
              <w:rPr>
                <w:rFonts w:ascii="Arial" w:cs="Arial" w:eastAsia="Arial" w:hAnsi="Arial"/>
                <w:sz w:val="17"/>
                <w:szCs w:val="17"/>
                <w:color w:val="auto"/>
              </w:rPr>
              <w:t>Min Xu(6)</w:t>
            </w:r>
          </w:p>
        </w:tc>
        <w:tc>
          <w:tcPr>
            <w:tcW w:w="500" w:type="dxa"/>
            <w:vAlign w:val="bottom"/>
            <w:gridSpan w:val="2"/>
          </w:tcPr>
          <w:p>
            <w:pPr>
              <w:ind w:left="160"/>
              <w:spacing w:after="0"/>
              <w:rPr>
                <w:sz w:val="20"/>
                <w:szCs w:val="20"/>
                <w:color w:val="auto"/>
              </w:rPr>
            </w:pPr>
            <w:r>
              <w:rPr>
                <w:rFonts w:ascii="Arial" w:cs="Arial" w:eastAsia="Arial" w:hAnsi="Arial"/>
                <w:sz w:val="17"/>
                <w:szCs w:val="17"/>
                <w:color w:val="auto"/>
                <w:w w:val="84"/>
              </w:rPr>
              <w:t>2016</w:t>
            </w:r>
          </w:p>
        </w:tc>
        <w:tc>
          <w:tcPr>
            <w:tcW w:w="16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19,696</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228,000</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13,555</w:t>
            </w:r>
          </w:p>
        </w:tc>
        <w:tc>
          <w:tcPr>
            <w:tcW w:w="720" w:type="dxa"/>
            <w:vAlign w:val="bottom"/>
          </w:tcPr>
          <w:p>
            <w:pPr>
              <w:jc w:val="right"/>
              <w:spacing w:after="0"/>
              <w:rPr>
                <w:sz w:val="20"/>
                <w:szCs w:val="20"/>
                <w:color w:val="auto"/>
              </w:rPr>
            </w:pPr>
            <w:r>
              <w:rPr>
                <w:rFonts w:ascii="Arial" w:cs="Arial" w:eastAsia="Arial" w:hAnsi="Arial"/>
                <w:sz w:val="17"/>
                <w:szCs w:val="17"/>
                <w:color w:val="auto"/>
              </w:rPr>
              <w:t>261,251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60" w:type="dxa"/>
            <w:vAlign w:val="bottom"/>
            <w:gridSpan w:val="2"/>
          </w:tcPr>
          <w:p>
            <w:pPr>
              <w:ind w:left="160"/>
              <w:spacing w:after="0"/>
              <w:rPr>
                <w:sz w:val="20"/>
                <w:szCs w:val="20"/>
                <w:color w:val="auto"/>
              </w:rPr>
            </w:pPr>
            <w:r>
              <w:rPr>
                <w:rFonts w:ascii="Arial" w:cs="Arial" w:eastAsia="Arial" w:hAnsi="Arial"/>
                <w:sz w:val="17"/>
                <w:szCs w:val="17"/>
                <w:i w:val="1"/>
                <w:iCs w:val="1"/>
                <w:color w:val="auto"/>
              </w:rPr>
              <w:t>Chief Financial Officer and Treasurer</w:t>
            </w:r>
          </w:p>
        </w:tc>
        <w:tc>
          <w:tcPr>
            <w:tcW w:w="500" w:type="dxa"/>
            <w:vAlign w:val="bottom"/>
            <w:gridSpan w:val="2"/>
          </w:tcPr>
          <w:p>
            <w:pPr>
              <w:ind w:left="160"/>
              <w:spacing w:after="0"/>
              <w:rPr>
                <w:sz w:val="20"/>
                <w:szCs w:val="20"/>
                <w:color w:val="auto"/>
              </w:rPr>
            </w:pPr>
            <w:r>
              <w:rPr>
                <w:rFonts w:ascii="Arial" w:cs="Arial" w:eastAsia="Arial" w:hAnsi="Arial"/>
                <w:sz w:val="17"/>
                <w:szCs w:val="17"/>
                <w:color w:val="auto"/>
                <w:w w:val="84"/>
              </w:rPr>
              <w:t>2015</w:t>
            </w:r>
          </w:p>
        </w:tc>
        <w:tc>
          <w:tcPr>
            <w:tcW w:w="1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Fufa Chen</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2016</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153,600(7)</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7,516</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10,840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171,956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Vice President, Sales of ACM Shanghai</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2015</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160,339(8)</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25,530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243,276</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right="280" w:hanging="456"/>
        <w:spacing w:after="0" w:line="263"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Except as otherwise indicated, compensation amounts were paid in RMB and have been converted to U.S. dollars for purposes of the table. The RMB per U.S. dollar exchange rate used for such conversion reflects the average exchange rate during 2016 and 2015, as appropriate.</w:t>
      </w:r>
    </w:p>
    <w:p>
      <w:pPr>
        <w:ind w:left="460" w:right="560" w:hanging="456"/>
        <w:spacing w:after="0" w:line="256"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Represents the aggregate grant date fair value of option awards granted during 2016 and 2015, computed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See note 2 to our consolidated financial statements included at the end of this prospectus for a discussion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we made in determining the grant date fair value of our equity awards.</w:t>
      </w:r>
    </w:p>
    <w:p>
      <w:pPr>
        <w:ind w:left="460" w:hanging="456"/>
        <w:spacing w:after="0"/>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Amounts reflect a housing subsidy paid by us.</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Reflects a base salary of 1,138,248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Reflects a base salary of 1,096,248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Mr. Xu was appointed effective November 14, 2016.</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Reflects a base salary of 1,020,252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Reflects a base salary of 998,652 RMB.</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Explanation of Certain Aspects of the Summary Compensation Table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paid to our named executive officers consists of the following components:</w:t>
      </w:r>
    </w:p>
    <w:p>
      <w:pPr>
        <w:spacing w:after="0" w:line="130" w:lineRule="exact"/>
        <w:rPr>
          <w:sz w:val="20"/>
          <w:szCs w:val="20"/>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performance-based cash bonuses;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long-term incentive compensation in the form of stock options;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benefits consisting of housing subsidies paid by us.</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Base Salaries</w:t>
      </w:r>
    </w:p>
    <w:p>
      <w:pPr>
        <w:spacing w:after="0" w:line="11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Annual base salaries of our named executive officers in 2017 were as follows: David H. Wang, $169,192 (1,156,260 RMB); Fufa Chen, $151,879 (1,038,264 RMB); and Min Xu, $150,000. Annual base salaries of our named executive officers in 2016 were as follows: David H. Wang, $171,364 (1,138,248 RMB); Fufa Chen, $153,600 (1,020,252 RMB); and Min Xu, $115,000. For 2015, the annual base salaries for our named executive officers were as follows: David H. Wang, $176,008 (1,096,248 RMB); and Fufa Chen, $160,339 (998,652 RMB).</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448"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Performance-Based Bonuses</w:t>
      </w:r>
    </w:p>
    <w:p>
      <w:pPr>
        <w:spacing w:after="0" w:line="117"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We do not have any established policy with regard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Options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offer stock options to our employees, including our named executive officers, as the long-term incentive component of our compensation program. Our stock options allow our employees to purchase shares of the Class A common stock at a price equal to the fair market value of the Class A common stock on the date of grant. Our stock options granted to newly hired employees generally vest as to 25% of the total number of option shares on the first anniversary of the award and in equal monthly installments over the following 36 months.</w:t>
      </w:r>
    </w:p>
    <w:p>
      <w:pPr>
        <w:spacing w:after="0" w:line="17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123"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following table sets forth information regarding grants of compensation in the form of plan-based awards made during 2016 to our named executive officers who were granted plan-based awards in 2016:</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 Option</w:t>
            </w:r>
          </w:p>
        </w:tc>
        <w:tc>
          <w:tcPr>
            <w:tcW w:w="1800" w:type="dxa"/>
            <w:vAlign w:val="bottom"/>
            <w:gridSpan w:val="3"/>
            <w:vMerge w:val="restart"/>
          </w:tcPr>
          <w:p>
            <w:pPr>
              <w:jc w:val="center"/>
              <w:ind w:left="731"/>
              <w:spacing w:after="0"/>
              <w:rPr>
                <w:sz w:val="20"/>
                <w:szCs w:val="20"/>
                <w:color w:val="auto"/>
              </w:rPr>
            </w:pPr>
            <w:r>
              <w:rPr>
                <w:rFonts w:ascii="Arial" w:cs="Arial" w:eastAsia="Arial" w:hAnsi="Arial"/>
                <w:sz w:val="14"/>
                <w:szCs w:val="14"/>
                <w:b w:val="1"/>
                <w:bCs w:val="1"/>
                <w:color w:val="auto"/>
                <w:w w:val="85"/>
              </w:rPr>
              <w:t>Exercise or Base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gridSpan w:val="2"/>
          </w:tcPr>
          <w:p>
            <w:pPr>
              <w:jc w:val="center"/>
              <w:ind w:left="722"/>
              <w:spacing w:after="0" w:line="143" w:lineRule="exact"/>
              <w:rPr>
                <w:sz w:val="20"/>
                <w:szCs w:val="20"/>
                <w:color w:val="auto"/>
              </w:rPr>
            </w:pPr>
            <w:r>
              <w:rPr>
                <w:rFonts w:ascii="Arial" w:cs="Arial" w:eastAsia="Arial" w:hAnsi="Arial"/>
                <w:sz w:val="14"/>
                <w:szCs w:val="14"/>
                <w:b w:val="1"/>
                <w:bCs w:val="1"/>
                <w:color w:val="auto"/>
                <w:w w:val="91"/>
              </w:rPr>
              <w:t>Awards: Number</w:t>
            </w:r>
          </w:p>
        </w:tc>
        <w:tc>
          <w:tcPr>
            <w:tcW w:w="1800" w:type="dxa"/>
            <w:vAlign w:val="bottom"/>
            <w:gridSpan w:val="3"/>
            <w:vMerge w:val="continue"/>
          </w:tcPr>
          <w:p>
            <w:pPr>
              <w:spacing w:after="0"/>
              <w:rPr>
                <w:sz w:val="12"/>
                <w:szCs w:val="12"/>
                <w:color w:val="auto"/>
              </w:rPr>
            </w:pPr>
          </w:p>
        </w:tc>
        <w:tc>
          <w:tcPr>
            <w:tcW w:w="18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of Securities</w:t>
            </w:r>
          </w:p>
        </w:tc>
        <w:tc>
          <w:tcPr>
            <w:tcW w:w="820" w:type="dxa"/>
            <w:vAlign w:val="bottom"/>
          </w:tcPr>
          <w:p>
            <w:pPr>
              <w:spacing w:after="0"/>
              <w:rPr>
                <w:sz w:val="12"/>
                <w:szCs w:val="12"/>
                <w:color w:val="auto"/>
              </w:rPr>
            </w:pP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1"/>
              </w:rPr>
              <w:t>Price of Option</w:t>
            </w:r>
          </w:p>
        </w:tc>
        <w:tc>
          <w:tcPr>
            <w:tcW w:w="1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82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Underlying</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2"/>
              <w:spacing w:after="0" w:line="143"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spacing w:after="0"/>
              <w:rPr>
                <w:sz w:val="12"/>
                <w:szCs w:val="12"/>
                <w:color w:val="auto"/>
              </w:rPr>
            </w:pPr>
          </w:p>
        </w:tc>
        <w:tc>
          <w:tcPr>
            <w:tcW w:w="1000" w:type="dxa"/>
            <w:vAlign w:val="bottom"/>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w w:val="88"/>
              </w:rPr>
              <w:t>Value of Option</w:t>
            </w:r>
          </w:p>
        </w:tc>
        <w:tc>
          <w:tcPr>
            <w:tcW w:w="0" w:type="dxa"/>
            <w:vAlign w:val="bottom"/>
          </w:tcPr>
          <w:p>
            <w:pPr>
              <w:spacing w:after="0"/>
              <w:rPr>
                <w:sz w:val="1"/>
                <w:szCs w:val="1"/>
                <w:color w:val="auto"/>
              </w:rPr>
            </w:pPr>
          </w:p>
        </w:tc>
      </w:tr>
      <w:tr>
        <w:trPr>
          <w:trHeight w:val="166"/>
        </w:trPr>
        <w:tc>
          <w:tcPr>
            <w:tcW w:w="416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Options(#)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($/share)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38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12/28/2016</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333,334</w:t>
            </w: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Min Xu</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12/28/2016</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2016 Fiscal Year-End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each unexercised option held by each of our named executive officers as of December 31, 2016:</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4"/>
                <w:szCs w:val="14"/>
                <w:b w:val="1"/>
                <w:bCs w:val="1"/>
                <w:color w:val="auto"/>
                <w:w w:val="92"/>
              </w:rPr>
              <w:t>Option Awards</w:t>
            </w:r>
          </w:p>
        </w:tc>
        <w:tc>
          <w:tcPr>
            <w:tcW w:w="6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720" w:type="dxa"/>
            <w:vAlign w:val="bottom"/>
            <w:gridSpan w:val="3"/>
          </w:tcPr>
          <w:p>
            <w:pPr>
              <w:jc w:val="right"/>
              <w:ind w:right="293"/>
              <w:spacing w:after="0" w:line="114" w:lineRule="exact"/>
              <w:rPr>
                <w:sz w:val="20"/>
                <w:szCs w:val="20"/>
                <w:color w:val="auto"/>
              </w:rPr>
            </w:pPr>
            <w:r>
              <w:rPr>
                <w:rFonts w:ascii="Arial" w:cs="Arial" w:eastAsia="Arial" w:hAnsi="Arial"/>
                <w:sz w:val="13"/>
                <w:szCs w:val="13"/>
                <w:b w:val="1"/>
                <w:bCs w:val="1"/>
                <w:color w:val="auto"/>
              </w:rPr>
              <w:t>Number of Securities Underlying</w:t>
            </w: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6"/>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spacing w:after="0"/>
              <w:rPr>
                <w:sz w:val="14"/>
                <w:szCs w:val="14"/>
                <w:color w:val="auto"/>
              </w:rPr>
            </w:pPr>
          </w:p>
        </w:tc>
        <w:tc>
          <w:tcPr>
            <w:tcW w:w="2720" w:type="dxa"/>
            <w:vAlign w:val="bottom"/>
            <w:gridSpan w:val="3"/>
          </w:tcPr>
          <w:p>
            <w:pPr>
              <w:jc w:val="right"/>
              <w:ind w:right="673"/>
              <w:spacing w:after="0"/>
              <w:rPr>
                <w:sz w:val="20"/>
                <w:szCs w:val="20"/>
                <w:color w:val="auto"/>
              </w:rPr>
            </w:pPr>
            <w:r>
              <w:rPr>
                <w:rFonts w:ascii="Arial" w:cs="Arial" w:eastAsia="Arial" w:hAnsi="Arial"/>
                <w:sz w:val="14"/>
                <w:szCs w:val="14"/>
                <w:b w:val="1"/>
                <w:bCs w:val="1"/>
                <w:color w:val="auto"/>
              </w:rPr>
              <w:t>Unexercised Options</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4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6"/>
              </w:rPr>
              <w:t>Exercisable(#)</w:t>
            </w:r>
          </w:p>
        </w:tc>
        <w:tc>
          <w:tcPr>
            <w:tcW w:w="18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Unexercisable(#)</w:t>
            </w:r>
          </w:p>
        </w:tc>
        <w:tc>
          <w:tcPr>
            <w:tcW w:w="86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w w:val="86"/>
              </w:rPr>
              <w:t xml:space="preserve">Exercise </w:t>
            </w:r>
            <w:r>
              <w:rPr>
                <w:rFonts w:ascii="Arial" w:cs="Arial" w:eastAsia="Arial" w:hAnsi="Arial"/>
                <w:sz w:val="14"/>
                <w:szCs w:val="14"/>
                <w:b w:val="1"/>
                <w:bCs w:val="1"/>
                <w:u w:val="single" w:color="auto"/>
                <w:color w:val="auto"/>
                <w:w w:val="86"/>
              </w:rPr>
              <w:t>Price($</w:t>
            </w:r>
            <w:r>
              <w:rPr>
                <w:rFonts w:ascii="Arial" w:cs="Arial" w:eastAsia="Arial" w:hAnsi="Arial"/>
                <w:sz w:val="14"/>
                <w:szCs w:val="14"/>
                <w:b w:val="1"/>
                <w:bCs w:val="1"/>
                <w:color w:val="auto"/>
                <w:w w:val="86"/>
              </w:rPr>
              <w:t>)</w:t>
            </w:r>
          </w:p>
        </w:tc>
        <w:tc>
          <w:tcPr>
            <w:tcW w:w="18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Expiration Date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28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8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166,667</w:t>
            </w:r>
          </w:p>
        </w:tc>
        <w:tc>
          <w:tcPr>
            <w:tcW w:w="8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09/21/2017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166,667</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133,334</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158,333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241,667</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333,334</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12/27/2026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7"/>
                <w:szCs w:val="17"/>
                <w:color w:val="auto"/>
              </w:rPr>
              <w:t>Min Xu</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3.00</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12/27/2026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Fufa Chen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33,334</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13,194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20,140</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 and Perquisites</w:t>
      </w:r>
    </w:p>
    <w:p>
      <w:pPr>
        <w:spacing w:after="0" w:line="123"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Our named executive officers are eligible to participate in our health and welfare plans to the same extent as all full-time employees would be eligible generally. We do not provide our named executive officers with perquisites or other personal benefits.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240" w:top="448" w:right="41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Retention Agreement</w:t>
      </w:r>
    </w:p>
    <w:p>
      <w:pPr>
        <w:spacing w:after="0" w:line="123"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entered into an executive retention agreement with Min Xu upon his hiring in November 2016. The executive retention agreement generally provides that if we terminate Mr. Xu’s employment without cause or if he terminates his employment for good reason, he will be entitled to receive, within thirty days after the date of termination, a cash payment equal to the sum of:</w:t>
      </w:r>
    </w:p>
    <w:p>
      <w:pPr>
        <w:spacing w:after="0" w:line="81" w:lineRule="exact"/>
        <w:rPr>
          <w:sz w:val="20"/>
          <w:szCs w:val="20"/>
          <w:color w:val="auto"/>
        </w:rPr>
      </w:pPr>
    </w:p>
    <w:p>
      <w:pPr>
        <w:ind w:left="900" w:hanging="439"/>
        <w:spacing w:after="0"/>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accrued base salary, commission and vacation pay;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 amount equal to his then-current annual base salary.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executive retention agreement provides that Mr. Xu will be entitled to continue to receive specified benefits for 12 months after the termination date.</w:t>
      </w:r>
    </w:p>
    <w:p>
      <w:pPr>
        <w:spacing w:after="0" w:line="222"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The executive retention agreement contains provisions applicable in the event payments due under the agreement would result in tax penalties under Sections 280G and 4999 of the U.S. Internal Revenue Code. Those sections may impose tax penalties on our company or Mr. Xu if the amount of severance payments due to him following a Change in Ownership or Control (as defined in the Internal Revenue Code) exceeds certain limits. Under the provisions of the executive retention agreement, the amount of the benefits that Mr. Xu will be entitled to receive under the executive retention agreement will be reduced by an amount necessary to avoid triggering any penalty taxes if, and only if, the reduction would result in greater net after-tax benefits to Mr. Xu.</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2016 Omnibus Incentive Plan</w:t>
      </w:r>
    </w:p>
    <w:p>
      <w:pPr>
        <w:spacing w:after="0" w:line="117"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The board of directors adopted the 2016 Plan on December 28, 2016, and we expect our stockholders to approve the 2016 Plan prior to the completion of this offering. The 2016 Plan became effective immediately on adoption.</w:t>
      </w:r>
    </w:p>
    <w:p>
      <w:pPr>
        <w:spacing w:after="0" w:line="158" w:lineRule="exact"/>
        <w:rPr>
          <w:sz w:val="20"/>
          <w:szCs w:val="20"/>
          <w:color w:val="auto"/>
        </w:rPr>
      </w:pPr>
    </w:p>
    <w:p>
      <w:pPr>
        <w:ind w:right="80" w:firstLine="457"/>
        <w:spacing w:after="0" w:line="307"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Initially a total of 2,333,334 shares of Class A common stock were available for issuance under the 2016 Plan. As of November 2, 2017,</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exercisable for an aggregate of 1,726,066 shares of Class A common stock had been granted under the 2016 Plan and were outstanding, 21,887 shares of Class A common stock had been issued upon exercises of options granted under the 2016 Plan, and 585,381 shares of Class A common stock remained available for issuance under the 2016 Plan. The number of shares of Class A common stock reserved for issuance under the 2016 Plan will be increased automatically on the first business day of each of our fiscal years during the term of the plan, commencing in 2018, by a number equal to the smallest of:</w:t>
      </w:r>
    </w:p>
    <w:p>
      <w:pPr>
        <w:spacing w:after="0" w:line="57" w:lineRule="exact"/>
        <w:rPr>
          <w:sz w:val="20"/>
          <w:szCs w:val="20"/>
          <w:color w:val="auto"/>
        </w:rPr>
      </w:pPr>
    </w:p>
    <w:p>
      <w:pPr>
        <w:ind w:left="900" w:hanging="439"/>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4% of the number of shares of Class A and Class B common stock outstanding on December 31 of the prior year;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number of shares Class A common stock determined by the board.</w:t>
      </w:r>
    </w:p>
    <w:p>
      <w:pPr>
        <w:spacing w:after="0" w:line="222"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In general, to the extent that any awards under the 2016 Plan are settled in cash or are forfeited, terminate, expire or lapse without the issuance of shares, or if we repurchase the shares subject to awards granted under the 2016 Plan, those shares will again become available for issuance under the 2016 Plan, as will shares applied to pay the exercise or purchase price of an award or to satisfy tax withholding obligations related to any award. All share numbers described in this summary of the 2016 Plan will automatically adjust in the event of a stock split, a stock dividend or a reverse stock split.</w:t>
      </w:r>
    </w:p>
    <w:p>
      <w:pPr>
        <w:spacing w:after="0" w:line="160"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2016 Plan may be administered by the board or its compensation committee. The compensation committee, in its discretion, selects the</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to whom awards may be granted, the time or times at which such awards are granted, and the terms of such awards.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448"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920" w:firstLine="457"/>
        <w:spacing w:after="0" w:line="320"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Awards may be granted under the 2016 Plan to officers, employees, consultants and advisors of our company and our affiliates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of our company. Incentive stock options may be granted only to employees of our company or our subsidiaries.</w:t>
      </w:r>
    </w:p>
    <w:p>
      <w:pPr>
        <w:spacing w:after="0" w:line="135"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We will equitably adjust the number and kind of securities for which stock options and other stock-based awards may be made under the 2016</w:t>
      </w:r>
      <w:r>
        <w:rPr>
          <w:rFonts w:ascii="Arial" w:cs="Arial" w:eastAsia="Arial" w:hAnsi="Arial"/>
          <w:sz w:val="16"/>
          <w:szCs w:val="16"/>
          <w:i w:val="1"/>
          <w:iCs w:val="1"/>
          <w:color w:val="auto"/>
        </w:rPr>
        <w:t xml:space="preserve"> </w:t>
      </w:r>
      <w:r>
        <w:rPr>
          <w:rFonts w:ascii="Arial" w:cs="Arial" w:eastAsia="Arial" w:hAnsi="Arial"/>
          <w:sz w:val="16"/>
          <w:szCs w:val="16"/>
          <w:color w:val="auto"/>
        </w:rPr>
        <w:t>Plan, including any individual award limits under the 2016 Plan, if certain changes in Class A common stock occur by reason of any recapitalization, reclassification, stock split, reverse split, combination of shares, exchange of shares, stock dividend or other distribution payable in stock, or other increase or decrease in the common stock without receipt of consideration by us, or if there occurs any spin-off, split-up, extraordinary cash dividend or other distribution of our assets. In addition, we will equitably adjust the number and kind of securities subject to any outstanding awards and the exercise price of any outstanding stock options or SARs if there occurs any spin-off, split-up, extraordinary cash dividend or other distribution of our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2016 Plan permits the granting of any or all of the following types of awards:</w:t>
      </w:r>
    </w:p>
    <w:p>
      <w:pPr>
        <w:spacing w:after="0" w:line="130" w:lineRule="exact"/>
        <w:rPr>
          <w:sz w:val="20"/>
          <w:szCs w:val="20"/>
          <w:color w:val="auto"/>
        </w:rPr>
      </w:pPr>
    </w:p>
    <w:p>
      <w:pPr>
        <w:ind w:left="900" w:hanging="439"/>
        <w:spacing w:after="0" w:line="278"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entitle the holder to purchase a specified number of shares of Class A common stock at a specified price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subject to the terms and conditions of the stock option grant. The compensation committee may grant either incentive stock options, which must comply with Internal Revenue Code Section 422, or nonqualified stock options. The compensation committee sets exercise prices and terms, except that stock options must be granted with an exercise price not less than 100% of the fair market value of the common stock on the date of grant (excluding stock options granted in connection with assuming or substituting stock options in acquisition transactions). Unless the compensation committee determines otherwise, fair market value means, as of a given date, the closing price of the Class A common stock on that date. At the time of grant, the compensation committee determines the terms and conditions of stock options, including the quantity, exercise price, vesting periods, term (which cannot exceed ten years) and other conditions on exercise.</w:t>
      </w:r>
    </w:p>
    <w:p>
      <w:pPr>
        <w:spacing w:after="0" w:line="80" w:lineRule="exact"/>
        <w:rPr>
          <w:rFonts w:ascii="Arial" w:cs="Arial" w:eastAsia="Arial" w:hAnsi="Arial"/>
          <w:sz w:val="16"/>
          <w:szCs w:val="16"/>
          <w:color w:val="auto"/>
        </w:rPr>
      </w:pPr>
    </w:p>
    <w:p>
      <w:pPr>
        <w:ind w:left="900" w:hanging="439"/>
        <w:spacing w:after="0" w:line="280"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The compensation committee may grant SARs, as a right in tandem with the number of shares underlying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under the 2016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compensation committee in accordance with the procedures described above for stock options. Exercise of a SAR issued in tandem with a stock option will reduce the number of shares underlying the related stock option to the extent of the SAR exercised. The term of a freestanding SAR cannot exceed ten years, and the term of a tandem SAR cannot exceed the term of the related stock option.</w:t>
      </w:r>
    </w:p>
    <w:p>
      <w:pPr>
        <w:spacing w:after="0" w:line="74" w:lineRule="exact"/>
        <w:rPr>
          <w:rFonts w:ascii="Arial" w:cs="Arial" w:eastAsia="Arial" w:hAnsi="Arial"/>
          <w:sz w:val="16"/>
          <w:szCs w:val="16"/>
          <w:color w:val="auto"/>
        </w:rPr>
      </w:pPr>
    </w:p>
    <w:p>
      <w:pPr>
        <w:ind w:left="900" w:right="60" w:hanging="439"/>
        <w:spacing w:after="0" w:line="261"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Restricted Stock, RSUs and Other Stock-Based Awards</w:t>
      </w:r>
      <w:r>
        <w:rPr>
          <w:rFonts w:ascii="Arial" w:cs="Arial" w:eastAsia="Arial" w:hAnsi="Arial"/>
          <w:sz w:val="17"/>
          <w:szCs w:val="17"/>
          <w:color w:val="auto"/>
        </w:rPr>
        <w:t>. The compensation committee may grant awards of restricted stock, which are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common stock subject to specified restrictions, and RSUs, which represent the right to receive shares of the Class A common stock in the future. These awards may be made subject to repurchase, forfeiture or vesting restrictions at the compensation committee’s discretion. The restrictions may be based on continuous service with our company or the attainment of specified performance goals, as determined by the compensation committee. RSUs may be paid in stock, cash, or a combination of stock and cash, as determined by the compensation committee. The compensation committee may also grant other types of equity or equity-based awards subject to the terms of the 2016 Plan and any other terms and conditions determined by the compensation committee.</w:t>
      </w:r>
    </w:p>
    <w:p>
      <w:pPr>
        <w:spacing w:after="0" w:line="181" w:lineRule="exact"/>
        <w:rPr>
          <w:sz w:val="20"/>
          <w:szCs w:val="20"/>
          <w:color w:val="auto"/>
        </w:rPr>
      </w:pPr>
    </w:p>
    <w:p>
      <w:pPr>
        <w:ind w:right="200" w:firstLine="457"/>
        <w:spacing w:after="0" w:line="357" w:lineRule="auto"/>
        <w:rPr>
          <w:sz w:val="20"/>
          <w:szCs w:val="20"/>
          <w:color w:val="auto"/>
        </w:rPr>
      </w:pPr>
      <w:r>
        <w:rPr>
          <w:rFonts w:ascii="Arial" w:cs="Arial" w:eastAsia="Arial" w:hAnsi="Arial"/>
          <w:sz w:val="15"/>
          <w:szCs w:val="15"/>
          <w:i w:val="1"/>
          <w:iCs w:val="1"/>
          <w:color w:val="auto"/>
        </w:rPr>
        <w:t>Performance Awards</w:t>
      </w:r>
      <w:r>
        <w:rPr>
          <w:rFonts w:ascii="Arial" w:cs="Arial" w:eastAsia="Arial" w:hAnsi="Arial"/>
          <w:sz w:val="15"/>
          <w:szCs w:val="15"/>
          <w:color w:val="auto"/>
        </w:rPr>
        <w:t>. The compensation committee may grant performance awards, which entitle participants to receive a payment from us, the amount of</w:t>
      </w:r>
      <w:r>
        <w:rPr>
          <w:rFonts w:ascii="Arial" w:cs="Arial" w:eastAsia="Arial" w:hAnsi="Arial"/>
          <w:sz w:val="15"/>
          <w:szCs w:val="15"/>
          <w:i w:val="1"/>
          <w:iCs w:val="1"/>
          <w:color w:val="auto"/>
        </w:rPr>
        <w:t xml:space="preserve"> </w:t>
      </w:r>
      <w:r>
        <w:rPr>
          <w:rFonts w:ascii="Arial" w:cs="Arial" w:eastAsia="Arial" w:hAnsi="Arial"/>
          <w:sz w:val="15"/>
          <w:szCs w:val="15"/>
          <w:color w:val="auto"/>
        </w:rPr>
        <w:t>which is based on the attainment of performance goals established by the compensation committee over a specified award period. Performance awards may be</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48"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denominated in shares of Class A common stock or in cash, and may be paid in stock, cash, or a combination of stock and cash, as determined by the compensation committee. Cash-based performance awards include annual incentive awards.</w:t>
      </w:r>
    </w:p>
    <w:p>
      <w:pPr>
        <w:spacing w:after="0" w:line="158"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All cash and equity awards granted under the 2016 Plan will be subject to the requirements of all applicable laws and any company policy</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recovery of erroneously awarded compensation, including under Section 954 of the Dodd-Frank Wall Street Reform and Consumer Protection Act, and the implementing rules and regulations under such Act. Awards granted under the 2016 Plan may also be subject to forfeiture or repayment if a recipient breaches a non-competition, non-solicitation, non-disclosure, non-disparagement or other restrictive covenant set forth in an award agreement or any other agreement, between the recipient and our company.</w:t>
      </w:r>
    </w:p>
    <w:p>
      <w:pPr>
        <w:spacing w:after="0" w:line="28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i w:val="1"/>
          <w:iCs w:val="1"/>
          <w:color w:val="auto"/>
        </w:rPr>
        <w:t xml:space="preserve">Performance-Based Compensation Under Section 162(m). </w:t>
      </w:r>
      <w:r>
        <w:rPr>
          <w:rFonts w:ascii="Arial" w:cs="Arial" w:eastAsia="Arial" w:hAnsi="Arial"/>
          <w:sz w:val="16"/>
          <w:szCs w:val="16"/>
          <w:color w:val="auto"/>
        </w:rPr>
        <w:t>Under Internal Revenue Code Section 162(m), we generally are prohibited from deducting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paid to our principal executive officer and our three other most highly compensated executive officers (other than our principal financial officer) in excess of $1 million per person in any year. However, compensation that qualifies as “performance-based” is not subject to the $1 million limit.</w:t>
      </w:r>
    </w:p>
    <w:p>
      <w:pPr>
        <w:spacing w:after="0" w:line="180" w:lineRule="exact"/>
        <w:rPr>
          <w:sz w:val="20"/>
          <w:szCs w:val="20"/>
          <w:color w:val="auto"/>
        </w:rPr>
      </w:pPr>
    </w:p>
    <w:p>
      <w:pPr>
        <w:ind w:left="900" w:hanging="439"/>
        <w:spacing w:after="0" w:line="278"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the compensation committee intends to qualify an award under the 2016 Plan as “performance-based” compensation under Internal Revenue Code Section 162(m), the performance goals selected by the compensation committee may be based on the attainment of specified levels of one, or any combination, of the following performance criteria: (a) cash flow; (b) earnings per share, as adjusted for any stock split, stock dividend or other recapitalization; (c) earnings measures; (d) return on equity; (e) total stockholder return; (f) share price performance, as adjusted for any stock split, stock dividend or other recapitalization; (g) return on capital; (h) revenue; (i) income; (j) profit margin; (k) return on operating revenue; (l) brand recognition or acceptance; (m) customer satisfaction; (n) productivity; (o) expense targets; (p) market share; (q) cost control measures; (r) balance sheet metrics; (s) strategic initiatives; (t) implementation, completion or attainment of measurable objectives with respect to recruitment or retention of personnel or employee satisfaction; or (u) any other business criteria established by the board. The compensation committee can also select any derivations of these business criteria (for example, income may include pre-tax income, net income or operating income).</w:t>
      </w:r>
    </w:p>
    <w:p>
      <w:pPr>
        <w:spacing w:after="0" w:line="193" w:lineRule="exact"/>
        <w:rPr>
          <w:rFonts w:ascii="Arial" w:cs="Arial" w:eastAsia="Arial" w:hAnsi="Arial"/>
          <w:sz w:val="16"/>
          <w:szCs w:val="16"/>
          <w:color w:val="auto"/>
        </w:rPr>
      </w:pPr>
    </w:p>
    <w:p>
      <w:pPr>
        <w:ind w:left="900" w:right="60" w:hanging="439"/>
        <w:spacing w:after="0" w:line="271"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Performance goals may, in the discretion of the compensation committee, be established on a company-wide basis, or with respect to one or more business units, divisions, subsidiaries or business segments, as applicable. Performance goals may be absolute or relative to the performance of one or more comparable companies or indices or based on year-over-year growth.</w:t>
      </w:r>
    </w:p>
    <w:p>
      <w:pPr>
        <w:spacing w:after="0" w:line="198" w:lineRule="exact"/>
        <w:rPr>
          <w:rFonts w:ascii="Arial" w:cs="Arial" w:eastAsia="Arial" w:hAnsi="Arial"/>
          <w:sz w:val="17"/>
          <w:szCs w:val="17"/>
          <w:color w:val="auto"/>
        </w:rPr>
      </w:pPr>
    </w:p>
    <w:p>
      <w:pPr>
        <w:ind w:left="900" w:right="180" w:hanging="439"/>
        <w:spacing w:after="0" w:line="271"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compensation committee may determine at the time that the performance goals are established the extent to which measurement of performance goals may exclude the impact of charges for restructuring, discontinued operations and other extraordinary, unusual or non-recurring items, and the cumulative effects of tax or accounting changes.</w:t>
      </w:r>
    </w:p>
    <w:p>
      <w:pPr>
        <w:spacing w:after="0" w:line="198" w:lineRule="exact"/>
        <w:rPr>
          <w:rFonts w:ascii="Arial" w:cs="Arial" w:eastAsia="Arial" w:hAnsi="Arial"/>
          <w:sz w:val="17"/>
          <w:szCs w:val="17"/>
          <w:color w:val="auto"/>
        </w:rPr>
      </w:pPr>
    </w:p>
    <w:p>
      <w:pPr>
        <w:ind w:left="900" w:right="100" w:hanging="439"/>
        <w:spacing w:after="0" w:line="312" w:lineRule="auto"/>
        <w:tabs>
          <w:tab w:leader="none" w:pos="9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 addition, compensation realized from the exercise of options and SARs granted under the 2016 Plan is intended to meet the requirements of the performance-based compensation exception under Internal Revenue Code Section 162(m). These awards must have an exercise price equal at least to fair market value at the date of grant and be granted to covered individuals by a compensation committee consisting of at least two outside directors, and the 2016 Plan must (and does) limit the number of shares that may be the subject of awards granted to any individual during any calendar year.</w:t>
      </w:r>
    </w:p>
    <w:p>
      <w:pPr>
        <w:spacing w:after="0" w:line="146"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Awards are not transferable other than by will or the laws of descent and distribution, except that in certain instances transfers may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to or for the benefit of designated family members of the participant for no value.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00"/>
          </w:cols>
          <w:pgMar w:left="240" w:top="448" w:right="2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i w:val="1"/>
          <w:iCs w:val="1"/>
          <w:color w:val="auto"/>
        </w:rPr>
        <w:t xml:space="preserve">Changes in Control. </w:t>
      </w:r>
      <w:r>
        <w:rPr>
          <w:rFonts w:ascii="Arial" w:cs="Arial" w:eastAsia="Arial" w:hAnsi="Arial"/>
          <w:sz w:val="17"/>
          <w:szCs w:val="17"/>
          <w:color w:val="auto"/>
        </w:rPr>
        <w:t>Under the 2016 Plan, in the event of a change in control, except as provided for in an individual award agreement,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may provide for any one or more of the following actions, which may not be the same for all participants:</w:t>
      </w:r>
    </w:p>
    <w:p>
      <w:pPr>
        <w:spacing w:after="0" w:line="67" w:lineRule="exact"/>
        <w:rPr>
          <w:sz w:val="20"/>
          <w:szCs w:val="20"/>
          <w:color w:val="auto"/>
        </w:rPr>
      </w:pPr>
    </w:p>
    <w:p>
      <w:pPr>
        <w:ind w:left="900" w:right="160" w:hanging="439"/>
        <w:spacing w:after="0" w:line="271"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board may provide for the acceleration of the exercisability, vesting and/or settlement of each or any outstanding award or portion thereof upon such terms and conditions as determined by the board, including a participant’s termination of employment in connection with or following a change in control.</w:t>
      </w:r>
    </w:p>
    <w:p>
      <w:pPr>
        <w:spacing w:after="0" w:line="80" w:lineRule="exact"/>
        <w:rPr>
          <w:rFonts w:ascii="Arial" w:cs="Arial" w:eastAsia="Arial" w:hAnsi="Arial"/>
          <w:sz w:val="17"/>
          <w:szCs w:val="17"/>
          <w:color w:val="auto"/>
        </w:rPr>
      </w:pPr>
    </w:p>
    <w:p>
      <w:pPr>
        <w:ind w:left="900" w:right="40" w:hanging="439"/>
        <w:spacing w:after="0" w:line="296"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surviving, continuing, successor or purchasing corporation may either assume or continue our company’s rights and obligations under each or any award or substitute for each or any such outstanding award. The board may cancel any award that is neither assumed or continued by the acquiror in connection with the change in control nor exercised or settled as of the time of consummation of the change in control.</w:t>
      </w:r>
    </w:p>
    <w:p>
      <w:pPr>
        <w:spacing w:after="0" w:line="62" w:lineRule="exact"/>
        <w:rPr>
          <w:rFonts w:ascii="Arial" w:cs="Arial" w:eastAsia="Arial" w:hAnsi="Arial"/>
          <w:sz w:val="16"/>
          <w:szCs w:val="16"/>
          <w:color w:val="auto"/>
        </w:rPr>
      </w:pPr>
    </w:p>
    <w:p>
      <w:pPr>
        <w:ind w:left="900" w:right="180" w:hanging="439"/>
        <w:spacing w:after="0" w:line="288"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board may provide that each or any outstanding award shall be canceled in exchange for a payment with respect to each vested share subject to such canceled award in (a) cash, (b) stock of our company or of a corporation or other business entity a party to the change in control or (c) other property. The payment shall be in an amount having a fair market value equal to the fair market value of the consideration to be paid per share in the change in control, reduced by the exercise or purchase price per share, if any, under such award.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“Change in control” is defined under the 2016 Plan and requires consummation of the applicable transaction.</w:t>
      </w:r>
    </w:p>
    <w:p>
      <w:pPr>
        <w:spacing w:after="0" w:line="22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Term, Termination and Amendment of 2016 Plan. </w:t>
      </w:r>
      <w:r>
        <w:rPr>
          <w:rFonts w:ascii="Arial" w:cs="Arial" w:eastAsia="Arial" w:hAnsi="Arial"/>
          <w:sz w:val="17"/>
          <w:szCs w:val="17"/>
          <w:color w:val="auto"/>
        </w:rPr>
        <w:t>Unless terminated earlier by the board of directors, the 2016 Plan will terminate, and no further awards</w:t>
      </w:r>
      <w:r>
        <w:rPr>
          <w:rFonts w:ascii="Arial" w:cs="Arial" w:eastAsia="Arial" w:hAnsi="Arial"/>
          <w:sz w:val="17"/>
          <w:szCs w:val="17"/>
          <w:i w:val="1"/>
          <w:iCs w:val="1"/>
          <w:color w:val="auto"/>
        </w:rPr>
        <w:t xml:space="preserve"> </w:t>
      </w:r>
      <w:r>
        <w:rPr>
          <w:rFonts w:ascii="Arial" w:cs="Arial" w:eastAsia="Arial" w:hAnsi="Arial"/>
          <w:sz w:val="17"/>
          <w:szCs w:val="17"/>
          <w:color w:val="auto"/>
        </w:rPr>
        <w:t>may be granted, ten years after the date on which it is approved by our stockholders. The board may amend, suspend or terminate the 2016 Plan at any time, except that, if required by applicable law, regulation or stock exchange rule, stockholder approval will be required for any amendment. The amendment, suspension or termination of the 2016 Plan or the amendment of an outstanding award generally may not, without a participant’s consent, materially impair the participant’s rights under an outstanding award.</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Non-Qualified Stock Option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or its compensation committee issued stock options pursuant to non-qualified stock option agreements between 2007 and 2015.</w:t>
      </w:r>
    </w:p>
    <w:p>
      <w:pPr>
        <w:spacing w:after="0" w:line="233"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i w:val="1"/>
          <w:iCs w:val="1"/>
          <w:color w:val="auto"/>
        </w:rPr>
        <w:t xml:space="preserve">Shares Issued. </w:t>
      </w:r>
      <w:r>
        <w:rPr>
          <w:rFonts w:ascii="Arial" w:cs="Arial" w:eastAsia="Arial" w:hAnsi="Arial"/>
          <w:sz w:val="17"/>
          <w:szCs w:val="17"/>
          <w:color w:val="auto"/>
        </w:rPr>
        <w:t>As of September 30, 2017, options to purchase 1,603,342 shares of Class A common stock were outstanding pursuant to such non-qualified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agreements.</w:t>
      </w:r>
    </w:p>
    <w:p>
      <w:pPr>
        <w:spacing w:after="0" w:line="158"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board of directors or its compensation committee selected the individuals to whom options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were granted, the time or times at which such options were granted, and the terms of such options.</w:t>
      </w:r>
    </w:p>
    <w:p>
      <w:pPr>
        <w:spacing w:after="0" w:line="158"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pursuant to such non-qualified stock option agreements.</w:t>
      </w:r>
    </w:p>
    <w:p>
      <w:pPr>
        <w:spacing w:after="0" w:line="158"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if certain changes in the common stock occur by reason of any merger, consolidation, reorganization, recapitalization, stock dividend, non-cash dividend, stock split, liquidating dividend, combination of shares, exchange or shares, or other change in corporate structure.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448" w:right="2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board of directors or its compensation committee set the terms of such non-qualified stock option agreements, including the quantity,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vesting periods, term (which does not exceed ten years) and other conditions on exercise.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Nonqualified stock options may be transferred pursuant to a qualified domestic relations order.</w:t>
      </w:r>
    </w:p>
    <w:p>
      <w:pPr>
        <w:spacing w:after="0" w:line="222"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In the event of a corporate transaction (such as a merger, consolidation, or a sale or transfer of all or substantially all of our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the surviving company must assume or substitute new awards for any outstanding options. If the surviving company refuses to do so, outstanding options shall terminate if not exercised before the corporate transaction.</w:t>
      </w:r>
    </w:p>
    <w:p>
      <w:pPr>
        <w:spacing w:after="0" w:line="172"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amendment of an outstanding non-qualified stock option generally may not, without a participant’s consent, alter or impair the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rights under an outstanding option.</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1998 Stock Option Plan</w:t>
      </w:r>
    </w:p>
    <w:p>
      <w:pPr>
        <w:spacing w:after="0" w:line="117"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board of directors adopted our 1998 Stock Option Plan, or the 1998 Plan, in April 1998. The 1998 Plan was amended by the board in May 1999, December 2001 and March 2004, and those amendments were approved by our stockholders. The 1998 Plan expired by its terms in March 2014. No additional options may be granted pursuant to the 1998 Plan, but the 1998 Plan will continue to govern the terms and conditions of the outstanding options previously granted thereunder.</w:t>
      </w:r>
    </w:p>
    <w:p>
      <w:pPr>
        <w:spacing w:after="0" w:line="176"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At the time of the 1998 Plan’s expiration, a total of 766,667 shares of common stock had been authorized. As of September 30, 2017,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66,668 shares of Class A common stock remained outstanding under the 1998 Plan.</w:t>
      </w:r>
    </w:p>
    <w:p>
      <w:pPr>
        <w:spacing w:after="0" w:line="158" w:lineRule="exact"/>
        <w:rPr>
          <w:sz w:val="20"/>
          <w:szCs w:val="20"/>
          <w:color w:val="auto"/>
        </w:rPr>
      </w:pPr>
    </w:p>
    <w:p>
      <w:pPr>
        <w:ind w:firstLine="457"/>
        <w:spacing w:after="0" w:line="357"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1998 Plan may be administered by the board of directors or its compensation committee (the plan administrator). The plan administrator,</w:t>
      </w:r>
      <w:r>
        <w:rPr>
          <w:rFonts w:ascii="Arial" w:cs="Arial" w:eastAsia="Arial" w:hAnsi="Arial"/>
          <w:sz w:val="15"/>
          <w:szCs w:val="15"/>
          <w:i w:val="1"/>
          <w:iCs w:val="1"/>
          <w:color w:val="auto"/>
        </w:rPr>
        <w:t xml:space="preserve"> </w:t>
      </w:r>
      <w:r>
        <w:rPr>
          <w:rFonts w:ascii="Arial" w:cs="Arial" w:eastAsia="Arial" w:hAnsi="Arial"/>
          <w:sz w:val="15"/>
          <w:szCs w:val="15"/>
          <w:color w:val="auto"/>
        </w:rPr>
        <w:t>in its discretion, selected the individuals to whom options may be granted, the time or times at which such options are granted, and the terms of such options.</w:t>
      </w:r>
    </w:p>
    <w:p>
      <w:pPr>
        <w:spacing w:after="0" w:line="113"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under the 1998 Plan.</w:t>
      </w:r>
    </w:p>
    <w:p>
      <w:pPr>
        <w:spacing w:after="0" w:line="158"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the 1998 Plan if certain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occur by reason of any merger, consolidation, reorganization, recapitalization, stock dividend, non-cash dividend, stock split, liquidating dividend, combination of shares, exchange or shares, or other change in corporate structure.</w:t>
      </w:r>
    </w:p>
    <w:p>
      <w:pPr>
        <w:spacing w:after="0" w:line="172"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1998 Plan permits the granting of stock options, which entitle the holder to purchase a specified number of shares of common stock at</w:t>
      </w:r>
      <w:r>
        <w:rPr>
          <w:rFonts w:ascii="Arial" w:cs="Arial" w:eastAsia="Arial" w:hAnsi="Arial"/>
          <w:sz w:val="17"/>
          <w:szCs w:val="17"/>
          <w:i w:val="1"/>
          <w:iCs w:val="1"/>
          <w:color w:val="auto"/>
        </w:rPr>
        <w:t xml:space="preserve"> </w:t>
      </w:r>
      <w:r>
        <w:rPr>
          <w:rFonts w:ascii="Arial" w:cs="Arial" w:eastAsia="Arial" w:hAnsi="Arial"/>
          <w:sz w:val="17"/>
          <w:szCs w:val="17"/>
          <w:color w:val="auto"/>
        </w:rPr>
        <w:t>a specified price (the exercise price), subject to the terms and conditions of the stock option grant. The plan administrator sets exercise prices and terms. At the time of grant, the plan administrator determines the terms and conditions of stock options, including the quantity, exercise price, vesting periods, term (which cannot exceed ten years) and other conditions on exercise.</w:t>
      </w:r>
    </w:p>
    <w:p>
      <w:pPr>
        <w:spacing w:after="0" w:line="17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Incentive stock options are not transferable other than by will or the laws of descent and distribution. Nonqualified stock options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pursuant to a qualified domestic relations order.</w:t>
      </w:r>
    </w:p>
    <w:p>
      <w:pPr>
        <w:spacing w:after="0" w:line="158"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Under the 1998 Plan, in the event of a corporate transaction (such as a merger, consolidation, or a sale or transfer of all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our assets), the surviving company must assume or substitute new awards for any outstanding options. If the surviving company refuses to do so, outstanding options shall terminate if not exercised before the corporate transaction.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448" w:right="2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firstLine="457"/>
        <w:spacing w:after="0" w:line="296" w:lineRule="auto"/>
        <w:rPr>
          <w:sz w:val="20"/>
          <w:szCs w:val="20"/>
          <w:color w:val="auto"/>
        </w:rPr>
      </w:pPr>
      <w:r>
        <w:rPr>
          <w:rFonts w:ascii="Arial" w:cs="Arial" w:eastAsia="Arial" w:hAnsi="Arial"/>
          <w:sz w:val="16"/>
          <w:szCs w:val="16"/>
          <w:i w:val="1"/>
          <w:iCs w:val="1"/>
          <w:color w:val="auto"/>
        </w:rPr>
        <w:t xml:space="preserve">Term, Termination and Amendment. </w:t>
      </w:r>
      <w:r>
        <w:rPr>
          <w:rFonts w:ascii="Arial" w:cs="Arial" w:eastAsia="Arial" w:hAnsi="Arial"/>
          <w:sz w:val="16"/>
          <w:szCs w:val="16"/>
          <w:color w:val="auto"/>
        </w:rPr>
        <w:t>By its terms, the 1998 Plan terminated in March 2014, and no further options have been granted under the 1998 Plan</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that time. The 1998 Plan will continue to govern the terms and conditions of the outstanding options previously granted thereunder. The amendment of an outstanding option generally may not, without a participant’s consent, alter or impair the participant’s rights under an outstanding option.</w:t>
      </w:r>
    </w:p>
    <w:p>
      <w:pPr>
        <w:spacing w:after="0" w:line="8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100"/>
          </w:cols>
          <w:pgMar w:left="240" w:top="448" w:right="55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RELATED-PARTY TRANSACTIONS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description of transactions since January 1, 2014 to which we have been a party, in which the amount involved exceeded or will exceed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$120,000, and in which any of our directors, executive officers or beneficial owners of more than 5% of any series or class of our preferred or common stock, or 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affiliate or immediate family member thereof, had or will have a direct or indirect material interest, other than compensation, termination and change-in-control</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arrangements.</w:t>
      </w:r>
    </w:p>
    <w:p>
      <w:pPr>
        <w:spacing w:after="0" w:line="209"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All of the transactions set forth below were approved by a majority of the board of directors,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Issuance of Warrant</w:t>
      </w:r>
    </w:p>
    <w:p>
      <w:pPr>
        <w:spacing w:after="0" w:line="12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In December 2016 Shengxin (Shanghai) Management Consulting Limited Partnership, or SMC, paid 20,123,500 RMB (approximately $3.0 million as of the date of funding) to ACM Shanghai for potential investment pursuant to terms to be subsequently negotiated. SMC is a PRC limited partnership owned by Jian Wang, our Vice President, Research and Development and the brother of our Chief Executive Officer and President, David H. Wang, and other employees of ACM Shanghai. Jian Wang is also the general partner of SMC. In March 2017 we issued to SMC a warrant exercisable to purchase 397,502 shares of Class A common stock at a price of $7.50 per share, for a total exercise price of approximately $3.0 million. The warrant may be exercised for cash or on a cashless basis, at the option of SMC, at any time on or before May 17, 2023 to acquire all, but not less than all, of the shares of Class A common stock subject to the warrant. For more information, see “Management’s Discussion and Analysis of Financial Condition and Results of Operations—Recent Equity Transactions—Issuance of Warrant,” “Principal Stockholders,” and “Description of Capital Stock—Warrant.”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and Stock Issuances</w:t>
      </w:r>
    </w:p>
    <w:p>
      <w:pPr>
        <w:spacing w:after="0" w:line="123"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In December 2016 we issued (a) 285,221 shares of Class A common stock to David H. Wang, who is our Chair of the Board, Chief Executive Officer and President, and a 5% stockholder, as well as certain immediate family members of Dr. Wang and certain trusts of which Dr. Wang is a trustee, pursuant to the conversion of convertible promissory notes with an aggregate value of $417,722 issued to such parties in 2003, 2004, 2005 and 2006 and (b) 419,728 shares of Class A common stock to H.L. Hsieh, a 5% stockholder, pursuant to the conversion of convertible promissory notes with an aggregate value of $574,735 issued to Mr. Hsieh in 2004, 2005 and 2006.</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and Executive Compensation</w:t>
      </w:r>
    </w:p>
    <w:p>
      <w:pPr>
        <w:spacing w:after="0" w:line="123"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Please see “Director Compensation” and “Executive Compensation” for a discussion regarding the compensation of our non-employee directors and our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April 2017 we entered enter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380"/>
          </w:cols>
          <w:pgMar w:left="240" w:top="448" w:right="27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Related-Party Transactions</w:t>
      </w:r>
    </w:p>
    <w:p>
      <w:pPr>
        <w:spacing w:after="0" w:line="12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October 2017 the board of directors adopted a conflict of interest policy which covers related-party transactions and will become effective upon the completion of this offering. Among other things, this policy requires each director and executive officer, including their immediate family members, to provide written notice of any potential related-party transaction, defined by the policy to mirror the definition of Item 404 of Regulation S-K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of directors may approve the transaction if they determine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directors and officers questionnaire in connection with each of our annual proxy statements, in which they are asked to disclose family relationships and other related-party transactions.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300"/>
          </w:cols>
          <w:pgMar w:left="240" w:top="448" w:right="3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The following table provides information concerning beneficial ownership of our capital stock as of September 30, 2017, and as adjusted to reflect the sale of the Class A common stock being sold in this offering, by:</w:t>
      </w:r>
    </w:p>
    <w:p>
      <w:pPr>
        <w:spacing w:after="0" w:line="67" w:lineRule="exact"/>
        <w:rPr>
          <w:sz w:val="20"/>
          <w:szCs w:val="20"/>
          <w:color w:val="auto"/>
        </w:rPr>
      </w:pPr>
    </w:p>
    <w:p>
      <w:pPr>
        <w:ind w:left="900" w:right="160" w:hanging="439"/>
        <w:spacing w:after="0" w:line="287"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five percent of the outstanding Class A common stock (on an as-converted basis) or the outstanding Class B common stock;</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222"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Beneficial ownership is determined in accordance with the rules of the SEC, and thus it represents sole or shared voting or investment power with respect to our securities. Shares of common stock subject to options currently exercisable or exercisable by November 29, 2017 (sixty days after September 30, 2017)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the below table, and subject to applicable community property laws, the persons or entities named have sole voting and investment power with respect to all shares of common stock shown as beneficially owned by them.</w:t>
      </w:r>
    </w:p>
    <w:p>
      <w:pPr>
        <w:spacing w:after="0" w:line="180"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The following table lists the percentage of shares beneficially owned before this offering and the concurrent private placement based on 9,369,212 shares of Class A common stock outstanding, which includes (a) 4,627,577 shares of Class A common stock issuable upon the automatic conversion of all shares of convertible preferred stock upon completion of this offering, as if the conversion had occurred as of September 30, 2017, and (b) 2,409,738 shares of Class B common stock outstanding as of September 30, 2017.</w:t>
      </w:r>
    </w:p>
    <w:p>
      <w:pPr>
        <w:spacing w:after="0" w:line="176"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The table also lists the percentage of shares beneficially owned after this offering and the concurrent private placement based on 12,702,546 shares of Class A common stock outstanding immediately after the completion of this offering, assuming no exercise of the underwriters’ over-allotment option to purchase up to an additional 300,000 shares of Class A common stock.</w:t>
      </w:r>
    </w:p>
    <w:p>
      <w:pPr>
        <w:spacing w:after="0" w:line="172" w:lineRule="exact"/>
        <w:rPr>
          <w:sz w:val="20"/>
          <w:szCs w:val="20"/>
          <w:color w:val="auto"/>
        </w:rPr>
      </w:pPr>
    </w:p>
    <w:p>
      <w:pPr>
        <w:ind w:right="520" w:firstLine="457"/>
        <w:spacing w:after="0" w:line="287" w:lineRule="auto"/>
        <w:rPr>
          <w:sz w:val="20"/>
          <w:szCs w:val="20"/>
          <w:color w:val="auto"/>
        </w:rPr>
      </w:pPr>
      <w:r>
        <w:rPr>
          <w:rFonts w:ascii="Arial" w:cs="Arial" w:eastAsia="Arial" w:hAnsi="Arial"/>
          <w:sz w:val="17"/>
          <w:szCs w:val="17"/>
          <w:color w:val="auto"/>
        </w:rPr>
        <w:t>Unless otherwise indicated, the principal address of each of the stockholders below is c/o ACM Research, Inc., 42307 Osgood Road, Suite I, Fremont, California 94539.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1"/>
              </w:rPr>
              <w:t>Shares Beneficially Owned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8"/>
              </w:rPr>
              <w:t>Shares Beneficially Owned</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Before the Offering</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left="151"/>
              <w:spacing w:after="0"/>
              <w:rPr>
                <w:sz w:val="20"/>
                <w:szCs w:val="20"/>
                <w:color w:val="auto"/>
              </w:rPr>
            </w:pPr>
            <w:r>
              <w:rPr>
                <w:rFonts w:ascii="Arial" w:cs="Arial" w:eastAsia="Arial" w:hAnsi="Arial"/>
                <w:sz w:val="14"/>
                <w:szCs w:val="14"/>
                <w:b w:val="1"/>
                <w:bCs w:val="1"/>
                <w:color w:val="auto"/>
                <w:w w:val="93"/>
              </w:rPr>
              <w:t>After the Offering</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7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85"/>
              </w:rPr>
              <w:t>Class A</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85"/>
              </w:rPr>
              <w:t>Class B</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9"/>
              </w:rPr>
              <w:t>% Total</w:t>
            </w:r>
          </w:p>
        </w:tc>
        <w:tc>
          <w:tcPr>
            <w:tcW w:w="14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7"/>
              </w:rPr>
              <w:t>Class B</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 Total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560" w:type="dxa"/>
            <w:vAlign w:val="bottom"/>
          </w:tcPr>
          <w:p>
            <w:pPr>
              <w:spacing w:after="0"/>
              <w:rPr>
                <w:sz w:val="7"/>
                <w:szCs w:val="7"/>
                <w:color w:val="auto"/>
              </w:rPr>
            </w:pPr>
          </w:p>
        </w:tc>
        <w:tc>
          <w:tcPr>
            <w:tcW w:w="3560" w:type="dxa"/>
            <w:vAlign w:val="bottom"/>
          </w:tcPr>
          <w:p>
            <w:pPr>
              <w:spacing w:after="0"/>
              <w:rPr>
                <w:sz w:val="7"/>
                <w:szCs w:val="7"/>
                <w:color w:val="auto"/>
              </w:rPr>
            </w:pPr>
          </w:p>
        </w:tc>
        <w:tc>
          <w:tcPr>
            <w:tcW w:w="78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restart"/>
          </w:tcPr>
          <w:p>
            <w:pPr>
              <w:jc w:val="center"/>
              <w:ind w:right="140"/>
              <w:spacing w:after="0" w:line="143" w:lineRule="exact"/>
              <w:rPr>
                <w:sz w:val="20"/>
                <w:szCs w:val="20"/>
                <w:color w:val="auto"/>
              </w:rPr>
            </w:pPr>
            <w:r>
              <w:rPr>
                <w:rFonts w:ascii="Arial" w:cs="Arial" w:eastAsia="Arial" w:hAnsi="Arial"/>
                <w:sz w:val="14"/>
                <w:szCs w:val="14"/>
                <w:b w:val="1"/>
                <w:bCs w:val="1"/>
                <w:color w:val="auto"/>
                <w:w w:val="87"/>
              </w:rPr>
              <w:t>Voting</w:t>
            </w:r>
          </w:p>
        </w:tc>
        <w:tc>
          <w:tcPr>
            <w:tcW w:w="78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vMerge w:val="restart"/>
          </w:tcPr>
          <w:p>
            <w:pPr>
              <w:jc w:val="center"/>
              <w:ind w:right="40"/>
              <w:spacing w:after="0" w:line="143"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36"/>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3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restart"/>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3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51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ind w:left="80"/>
              <w:spacing w:after="0"/>
              <w:rPr>
                <w:sz w:val="20"/>
                <w:szCs w:val="20"/>
                <w:color w:val="auto"/>
              </w:rPr>
            </w:pPr>
            <w:r>
              <w:rPr>
                <w:rFonts w:ascii="Arial" w:cs="Arial" w:eastAsia="Arial" w:hAnsi="Arial"/>
                <w:sz w:val="14"/>
                <w:szCs w:val="14"/>
                <w:i w:val="1"/>
                <w:iCs w:val="1"/>
                <w:color w:val="auto"/>
              </w:rPr>
              <w:t>%</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Power(1)</w:t>
            </w:r>
          </w:p>
        </w:tc>
        <w:tc>
          <w:tcPr>
            <w:tcW w:w="7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Power(1)</w:t>
            </w:r>
          </w:p>
        </w:tc>
        <w:tc>
          <w:tcPr>
            <w:tcW w:w="0" w:type="dxa"/>
            <w:vAlign w:val="bottom"/>
          </w:tcPr>
          <w:p>
            <w:pPr>
              <w:spacing w:after="0"/>
              <w:rPr>
                <w:sz w:val="1"/>
                <w:szCs w:val="1"/>
                <w:color w:val="auto"/>
              </w:rPr>
            </w:pPr>
          </w:p>
        </w:tc>
      </w:tr>
      <w:tr>
        <w:trPr>
          <w:trHeight w:val="123"/>
        </w:trPr>
        <w:tc>
          <w:tcPr>
            <w:tcW w:w="15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i w:val="1"/>
                <w:iCs w:val="1"/>
                <w:color w:val="auto"/>
                <w:w w:val="92"/>
              </w:rPr>
              <w:t>Named Executive Officers,</w:t>
            </w:r>
          </w:p>
        </w:tc>
        <w:tc>
          <w:tcPr>
            <w:tcW w:w="35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i w:val="1"/>
                <w:iCs w:val="1"/>
                <w:color w:val="auto"/>
              </w:rPr>
              <w:t>Directors and Director-Elect</w:t>
            </w: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David H. Wang(2)</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9"/>
              </w:rPr>
              <w:t>2,415,281</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21.3</w:t>
            </w:r>
          </w:p>
        </w:tc>
        <w:tc>
          <w:tcPr>
            <w:tcW w:w="7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9"/>
              </w:rPr>
              <w:t>1,422,270</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59.0</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50.6</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w w:val="99"/>
              </w:rPr>
              <w:t>2,415,281</w:t>
            </w:r>
          </w:p>
        </w:tc>
        <w:tc>
          <w:tcPr>
            <w:tcW w:w="140" w:type="dxa"/>
            <w:vAlign w:val="bottom"/>
          </w:tcPr>
          <w:p>
            <w:pPr>
              <w:spacing w:after="0"/>
              <w:rPr>
                <w:sz w:val="12"/>
                <w:szCs w:val="12"/>
                <w:color w:val="auto"/>
              </w:rPr>
            </w:pP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16.4</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1,422,270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7"/>
              </w:rPr>
              <w:t>59.0</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Haiping Dun(3)</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517,857</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5.4</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100,000</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4.1</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4.2</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517,857</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4.0</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4.1</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Yinan Xiang(4)</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9"/>
              </w:rPr>
              <w:t>1,666,170</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17.8</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2.9</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w w:val="99"/>
              </w:rPr>
              <w:t>1,666,170</w:t>
            </w:r>
          </w:p>
        </w:tc>
        <w:tc>
          <w:tcPr>
            <w:tcW w:w="140" w:type="dxa"/>
            <w:vAlign w:val="bottom"/>
          </w:tcPr>
          <w:p>
            <w:pPr>
              <w:spacing w:after="0"/>
              <w:rPr>
                <w:sz w:val="12"/>
                <w:szCs w:val="12"/>
                <w:color w:val="auto"/>
              </w:rPr>
            </w:pP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13.1</w:t>
            </w: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Fufa Chen(5)</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127,501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1.4</w:t>
            </w:r>
          </w:p>
        </w:tc>
        <w:tc>
          <w:tcPr>
            <w:tcW w:w="78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127,501</w:t>
            </w:r>
          </w:p>
        </w:tc>
        <w:tc>
          <w:tcPr>
            <w:tcW w:w="3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Chenming Hu(6)</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39,584</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39,584</w:t>
            </w:r>
          </w:p>
        </w:tc>
        <w:tc>
          <w:tcPr>
            <w:tcW w:w="3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Tracy Liu(7)</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28,095</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28,095</w:t>
            </w:r>
          </w:p>
        </w:tc>
        <w:tc>
          <w:tcPr>
            <w:tcW w:w="3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Min Xu(8)</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33,333</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33,333</w:t>
            </w:r>
          </w:p>
        </w:tc>
        <w:tc>
          <w:tcPr>
            <w:tcW w:w="3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All executive officers, directors and director-elect as a group (9 persons)(9)</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w w:val="99"/>
              </w:rPr>
              <w:t>5,468,044</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44.6</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9"/>
              </w:rPr>
              <w:t>1,572,271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65.2</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60.0</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5,468,044</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35.1</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1,572,271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87"/>
              </w:rPr>
              <w:t>65.2</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i w:val="1"/>
                <w:iCs w:val="1"/>
                <w:color w:val="auto"/>
              </w:rPr>
              <w:t>Other 5% Stockholders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Shanghai Science and Technology Venture Capital Co., Ltd.(10)</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w w:val="99"/>
              </w:rPr>
              <w:t>1,666,170</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17.8</w:t>
            </w:r>
          </w:p>
        </w:tc>
        <w:tc>
          <w:tcPr>
            <w:tcW w:w="78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2.9</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1,666,170</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13.1</w:t>
            </w:r>
          </w:p>
        </w:tc>
        <w:tc>
          <w:tcPr>
            <w:tcW w:w="860" w:type="dxa"/>
            <w:vAlign w:val="bottom"/>
            <w:gridSpan w:val="3"/>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Pudong Science and Technology (Cayman) Co., Ltd.(11)</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9"/>
              </w:rPr>
              <w:t>1,119,576</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11.9</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1.9</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9"/>
              </w:rPr>
              <w:t>1,119,576</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8.8</w:t>
            </w: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H.L. Hsieh(12)</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w w:val="99"/>
              </w:rPr>
              <w:t>1,019,211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10.7</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133,334</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5.5</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6.2</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w w:val="99"/>
              </w:rPr>
              <w:t>1,019,211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7.9</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133,334</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5.5</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3"/>
        </w:trPr>
        <w:tc>
          <w:tcPr>
            <w:tcW w:w="5120" w:type="dxa"/>
            <w:vAlign w:val="bottom"/>
            <w:gridSpan w:val="2"/>
          </w:tcPr>
          <w:p>
            <w:pPr>
              <w:spacing w:after="0" w:line="143" w:lineRule="exact"/>
              <w:rPr>
                <w:sz w:val="20"/>
                <w:szCs w:val="20"/>
                <w:color w:val="auto"/>
              </w:rPr>
            </w:pPr>
            <w:r>
              <w:rPr>
                <w:rFonts w:ascii="Arial" w:cs="Arial" w:eastAsia="Arial" w:hAnsi="Arial"/>
                <w:sz w:val="14"/>
                <w:szCs w:val="14"/>
                <w:color w:val="auto"/>
              </w:rPr>
              <w:t>Zhangjiang AJ Company Limited(13)</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787,098</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8.4</w:t>
            </w:r>
          </w:p>
        </w:tc>
        <w:tc>
          <w:tcPr>
            <w:tcW w:w="78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1.4</w:t>
            </w:r>
          </w:p>
        </w:tc>
        <w:tc>
          <w:tcPr>
            <w:tcW w:w="78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787,098</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6.2</w:t>
            </w:r>
          </w:p>
        </w:tc>
        <w:tc>
          <w:tcPr>
            <w:tcW w:w="860" w:type="dxa"/>
            <w:vAlign w:val="bottom"/>
            <w:gridSpan w:val="3"/>
          </w:tcPr>
          <w:p>
            <w:pPr>
              <w:ind w:left="460"/>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3"/>
        </w:trPr>
        <w:tc>
          <w:tcPr>
            <w:tcW w:w="51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Jian Wang(14)</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552,722</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5.6</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50,001</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2.1</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2.6</w:t>
            </w:r>
          </w:p>
        </w:tc>
        <w:tc>
          <w:tcPr>
            <w:tcW w:w="78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552,722</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4.3</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50,001</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2.1</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6"/>
        </w:trPr>
        <w:tc>
          <w:tcPr>
            <w:tcW w:w="5120" w:type="dxa"/>
            <w:vAlign w:val="bottom"/>
            <w:gridSpan w:val="2"/>
          </w:tcPr>
          <w:p>
            <w:pPr>
              <w:spacing w:after="0"/>
              <w:rPr>
                <w:sz w:val="20"/>
                <w:szCs w:val="20"/>
                <w:color w:val="auto"/>
              </w:rPr>
            </w:pPr>
            <w:r>
              <w:rPr>
                <w:rFonts w:ascii="Arial" w:cs="Arial" w:eastAsia="Arial" w:hAnsi="Arial"/>
                <w:sz w:val="14"/>
                <w:szCs w:val="14"/>
                <w:color w:val="auto"/>
              </w:rPr>
              <w:t>Xinxin (Hongkong) Capital Co., Limited(15)</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71"/>
              <w:spacing w:after="0"/>
              <w:rPr>
                <w:sz w:val="20"/>
                <w:szCs w:val="20"/>
                <w:color w:val="auto"/>
              </w:rPr>
            </w:pPr>
            <w:r>
              <w:rPr>
                <w:rFonts w:ascii="Arial" w:cs="Arial" w:eastAsia="Arial" w:hAnsi="Arial"/>
                <w:sz w:val="14"/>
                <w:szCs w:val="14"/>
                <w:color w:val="auto"/>
              </w:rPr>
              <w:t>833,334</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6.6</w:t>
            </w: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[footnotes appear on following page]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448" w:right="2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284480</wp:posOffset>
            </wp:positionV>
            <wp:extent cx="7283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60" w:hanging="456"/>
        <w:spacing w:after="0"/>
        <w:tabs>
          <w:tab w:leader="none" w:pos="4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Less than 1%.</w:t>
      </w:r>
    </w:p>
    <w:p>
      <w:pPr>
        <w:ind w:left="460" w:right="4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Class A and Class B common stock, voting as a single class. Holders are entitled to one vote per share of Class A common stock and twenty votes per share of Class B common stock. For more information about the voting rights of Class A and Class B common stock, see “Description of Capital Stock —Common Stock.”</w:t>
      </w:r>
    </w:p>
    <w:p>
      <w:pPr>
        <w:spacing w:after="0" w:line="1" w:lineRule="exact"/>
        <w:rPr>
          <w:rFonts w:ascii="Arial" w:cs="Arial" w:eastAsia="Arial" w:hAnsi="Arial"/>
          <w:sz w:val="14"/>
          <w:szCs w:val="14"/>
          <w:color w:val="auto"/>
        </w:rPr>
      </w:pPr>
    </w:p>
    <w:p>
      <w:pPr>
        <w:ind w:left="46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1,422,270 shares of Class A common stock issuable upon conversion of Class B common stock, of which shares of Class B common stock a total of 117,334 are held by Dr. Wang’s son, Brian Wang, 117,334 are held by Dr. Wang’s daughter, Sophia Wang, 33,334 are held by Dr. Wang’s spouse, Jing Chen, and 7,334 are held by Dr. Wang and Jing Chen, as Trustees for The David Hui Wang and Jing Chen Family Irrevocable Trust for Wang Children; and (d) 559,677 shares of Class A common stock issuable upon the exercise of options exercisable by November 29, 2017, including 9,676 shares of Class A common stock issuable upon the exercise of an option issued to Dr. Wang’s daughter, Sophia Wang.</w:t>
      </w:r>
    </w:p>
    <w:p>
      <w:pPr>
        <w:spacing w:after="0" w:line="3" w:lineRule="exact"/>
        <w:rPr>
          <w:rFonts w:ascii="Arial" w:cs="Arial" w:eastAsia="Arial" w:hAnsi="Arial"/>
          <w:sz w:val="14"/>
          <w:szCs w:val="14"/>
          <w:color w:val="auto"/>
        </w:rPr>
      </w:pPr>
    </w:p>
    <w:p>
      <w:pPr>
        <w:ind w:left="460" w:right="56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Includes 100,000 shares of Class A common stock issuable upon conversion of Class B common stock and 104,166 shares of Class A common stock issuable under options exercisable by November 29, 2017.</w:t>
      </w:r>
    </w:p>
    <w:p>
      <w:pPr>
        <w:spacing w:after="0" w:line="1" w:lineRule="exact"/>
        <w:rPr>
          <w:rFonts w:ascii="Arial" w:cs="Arial" w:eastAsia="Arial" w:hAnsi="Arial"/>
          <w:sz w:val="14"/>
          <w:szCs w:val="14"/>
          <w:color w:val="auto"/>
        </w:rPr>
      </w:pPr>
    </w:p>
    <w:p>
      <w:pPr>
        <w:ind w:left="460" w:right="100" w:hanging="456"/>
        <w:spacing w:after="0" w:line="230" w:lineRule="auto"/>
        <w:tabs>
          <w:tab w:leader="none" w:pos="4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Consists of shares owned by Shanghai Science and Technology Venture Co., Ltd., or SSTVC (see note (10) below). As described under “Management—Board of Directors—Director Nomination Rights,” SSTVC has exercised a contractual right by designating Ms. Xiang for nomination to the board of directors and the board has elected Ms. Xiang to the board effective upon the consummation of the offering made hereby. Ms. Xiang disclaims beneficial ownership of the shares owned by SSTVC except to the extent of her pecuniary interest therein.</w:t>
      </w:r>
    </w:p>
    <w:p>
      <w:pPr>
        <w:ind w:left="46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Includes 54,167 shares of Class A common stock issuable under options exercisable by November 29, 2017.</w:t>
      </w:r>
    </w:p>
    <w:p>
      <w:pPr>
        <w:ind w:left="46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shares issuable under options exercisable by November 29, 2017.</w:t>
      </w:r>
    </w:p>
    <w:p>
      <w:pPr>
        <w:ind w:left="46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Includes 25,695 shares of Class A common stock issuable under options exercisable by November 29, 2017.</w:t>
      </w:r>
    </w:p>
    <w:p>
      <w:pPr>
        <w:ind w:left="46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shares issuable under options exercisable by November 29, 2017.</w:t>
      </w:r>
    </w:p>
    <w:p>
      <w:pPr>
        <w:ind w:left="460" w:right="280" w:hanging="456"/>
        <w:spacing w:after="0" w:line="230" w:lineRule="auto"/>
        <w:tabs>
          <w:tab w:leader="none" w:pos="4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Includes (a) 1,597,938 shares of Class A common stock issuable upon conversion of Class B common stock, (b) 891,622 shares of Class A common stock issuable under options exercisable by November 29, 2017, and (c) 397,502 shares of Class A common stock issuable upon the exercise of an outstanding warrant. See notes (2) through (8).</w:t>
      </w:r>
    </w:p>
    <w:p>
      <w:pPr>
        <w:ind w:left="460" w:right="26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Weiguo Shen is the Chairman and General Manager of SSTVC and may be deemed to beneficially own the shares held by SSTVC. The address of SSTVC and Mr. Shen is 1634 Huaihai Road, Shanghai, PRC.</w:t>
      </w:r>
    </w:p>
    <w:p>
      <w:pPr>
        <w:spacing w:after="0" w:line="1" w:lineRule="exact"/>
        <w:rPr>
          <w:rFonts w:ascii="Arial" w:cs="Arial" w:eastAsia="Arial" w:hAnsi="Arial"/>
          <w:sz w:val="14"/>
          <w:szCs w:val="14"/>
          <w:color w:val="auto"/>
        </w:rPr>
      </w:pPr>
    </w:p>
    <w:p>
      <w:pPr>
        <w:ind w:left="46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Pudong Science and Technology (Cayman) Co., Ltd., or PST, is a wholly owned subsidiary of Shanghai Pudong High-TechInvestment Co., Ltd. Long Ji is the Corporate Representative of Shanghai Pudong High-Tech Investment Co., Ltd. and may be deemed to beneficially own the shares held by PST. The address of PST, its parent and Mr. Ji is 1158 Zhangdong Road, Building 3, 8th Floor, Zhangjiang Hi-tech Park, Pudong District, Shanghai, PRC.</w:t>
      </w:r>
    </w:p>
    <w:p>
      <w:pPr>
        <w:spacing w:after="0" w:line="1" w:lineRule="exact"/>
        <w:rPr>
          <w:rFonts w:ascii="Arial" w:cs="Arial" w:eastAsia="Arial" w:hAnsi="Arial"/>
          <w:sz w:val="14"/>
          <w:szCs w:val="14"/>
          <w:color w:val="auto"/>
        </w:rPr>
      </w:pPr>
    </w:p>
    <w:p>
      <w:pPr>
        <w:ind w:left="460" w:hanging="456"/>
        <w:spacing w:after="0" w:line="213"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Includes 133,334 shares of Class A common stock issuable upon conversion of Class B common stock.</w:t>
      </w:r>
    </w:p>
    <w:p>
      <w:pPr>
        <w:ind w:left="460" w:right="200" w:hanging="456"/>
        <w:spacing w:after="0" w:line="249" w:lineRule="auto"/>
        <w:tabs>
          <w:tab w:leader="none" w:pos="46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Zhangjiang AJ Company Limited is a wholly owned subsidiary of Shanghai Zhangjiang Science &amp; Technology Venture Capital Co., Ltd. Weiwei Chen is the Chairman, General Manager and Corporate Representative of Shanghai Zhangjiang Science &amp; Technology Venture Capital Co., Ltd. and may be deemed to beneficially own the shares held by Zhangjiang AJ Company Limited. The address of Zhangjiang AJ Company Limited and its parent and Ms. Chen is 1387 Zhangdong Road, Building 16, Room C305, Zhangjiang Hi-tech Park, Shanghai, PRC.</w:t>
      </w:r>
    </w:p>
    <w:p>
      <w:pPr>
        <w:ind w:left="460" w:right="100" w:hanging="456"/>
        <w:spacing w:after="0" w:line="230" w:lineRule="auto"/>
        <w:tabs>
          <w:tab w:leader="none" w:pos="4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Includes (a) 50,001 shares of Class A common stock issuable upon conversion of Class B common stock, (b) 20,833 shares of Class A common stock issuable under options exercisable by November 29, 2017 and (c) 397,502 shares of Class A common stock issuable upon the exercise of an outstanding warrant held by Shengxin (Shanghai) Management Consulting Limited Partnership, or SMC. Mr. Wang is the general partner of SMC and may be deemed to beneficially own the warrant and any shares of Class A common stock acquired by SMC upon exercise of the warrant. Mr. Wang is our Vice President, Research and Development and the brother of David H. Wang, our Chair of the Board, Chief Executive Officer and President.</w:t>
      </w:r>
    </w:p>
    <w:p>
      <w:pPr>
        <w:ind w:left="460" w:right="20" w:hanging="456"/>
        <w:spacing w:after="0" w:line="218"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Xinxin (Hongkong) Capital Co., Limited has, but has not yet exercised, a right to designate one individual for nomination and election to the board of directors, as described under “Management— Board of Directors—Director Nomination Rights.” Xinxin (Hongkong) Capital Co., Limited is a wholly owned subsidiary of Xunxin (Shanghai) Capital Co., Ltd., which is a wholly owned subsidiary of China IC Industry Investment Fund. Sino IC Capital Co., Limited is the management company of China IC Industry Investment Fund and Kai Ren is the Vice President of Sino IC Capital Co., Limited and may be deemed to beneficially own the shares held by Xinxin (Hongkong) Capital Co., Limited. The address of Xinxin (Hongkong) Capital Co., Limited, Xunxin (Shanghai) Capital Co., Limited, Sino IC Capital Co., Limited, China IC Industry Investment Fund and Kai Ren is 3rd Floor North, No. 7 Financial Street, Xicheng District, Beijing 100033, P. R. China.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00"/>
          </w:cols>
          <w:pgMar w:left="240" w:top="448" w:right="25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DESCRIPTION OF CAPITAL STOCK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3"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Following completion of this offering, our authorized capital stock will consist of 50,000,000 shares of Class A common stock, $0.0001 par value per share, 2,409,738 shares of Class B common stock, $0.0001 par value per share, and 10,000,000 shares of preferred stock, $0.0001 par value per share. The following description summarizes some of the terms of our restated charter and restated bylaws that will be in effect upon completion of this offering. This description does not purport to be complete and is qualified in its entirety by the provisions of our restated charter and restated bylaws, copies of which have been filed as exhibits to the registration statement of which this prospectus is a part.</w:t>
      </w:r>
    </w:p>
    <w:p>
      <w:pPr>
        <w:spacing w:after="0" w:line="180"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As of November 2, 2017, assuming conversion of all outstanding shares of preferred stock into shares of Class A common stock immediately prior to completion of this offering there were outstanding:</w:t>
      </w:r>
    </w:p>
    <w:p>
      <w:pPr>
        <w:spacing w:after="0" w:line="67" w:lineRule="exact"/>
        <w:rPr>
          <w:sz w:val="20"/>
          <w:szCs w:val="20"/>
          <w:color w:val="auto"/>
        </w:rPr>
      </w:pPr>
    </w:p>
    <w:p>
      <w:pPr>
        <w:ind w:left="900" w:hanging="439"/>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9,369,212 shares of Class A common stock outstanding, held of record by 136 stockholders;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2,409,738 shares of Class B common stock outstanding, held of record by 62 stockholders;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exercise of an outstanding warrant;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3,396,076 shares of Class A common stock issuable upon exercise of outstanding stock options.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3" w:lineRule="exact"/>
        <w:rPr>
          <w:sz w:val="20"/>
          <w:szCs w:val="20"/>
          <w:color w:val="auto"/>
        </w:rPr>
      </w:pPr>
    </w:p>
    <w:p>
      <w:pPr>
        <w:ind w:right="240" w:firstLine="457"/>
        <w:spacing w:after="0" w:line="266"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Except as otherwise required by Delaware law, at every annual or special meeting of stockholders, holders of Class B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twenty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85" w:lineRule="exact"/>
        <w:rPr>
          <w:sz w:val="20"/>
          <w:szCs w:val="20"/>
          <w:color w:val="auto"/>
        </w:rPr>
      </w:pPr>
    </w:p>
    <w:p>
      <w:pPr>
        <w:ind w:left="900" w:right="280" w:hanging="439"/>
        <w:spacing w:after="0" w:line="287"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66" w:lineRule="exact"/>
        <w:rPr>
          <w:rFonts w:ascii="Arial" w:cs="Arial" w:eastAsia="Arial" w:hAnsi="Arial"/>
          <w:sz w:val="17"/>
          <w:szCs w:val="17"/>
          <w:color w:val="auto"/>
        </w:rPr>
      </w:pPr>
    </w:p>
    <w:p>
      <w:pPr>
        <w:ind w:left="900" w:right="20" w:hanging="439"/>
        <w:spacing w:after="0" w:line="320"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43" w:lineRule="exact"/>
        <w:rPr>
          <w:rFonts w:ascii="Arial" w:cs="Arial" w:eastAsia="Arial" w:hAnsi="Arial"/>
          <w:sz w:val="16"/>
          <w:szCs w:val="16"/>
          <w:color w:val="auto"/>
        </w:rPr>
      </w:pPr>
    </w:p>
    <w:p>
      <w:pPr>
        <w:ind w:left="900" w:hanging="439"/>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we were to seek to declare a dividend or distribution that would be disparate as between the two classes.</w:t>
      </w:r>
    </w:p>
    <w:p>
      <w:pPr>
        <w:spacing w:after="0" w:line="22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Stockholders do not have the ability to cumulate votes for the election of directors. Our restated charter and restated bylaws that will be in effect upon completion of this offering will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80"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preferences that may be applicable to any then outstanding preferred stock, the holders of our outstanding shares of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dividends, if any, as may be declared from time to time by the board of directors out of legally available funds. The holders of Class A common stock and Class B common stock will be entitled to share equally, identically and ratably, on a per share basis, with respect to any dividend or distribution unless different treatment of the shares of each such class is approved by the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340"/>
          </w:cols>
          <w:pgMar w:left="240" w:top="448" w:right="31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affirmative vote of the holders of a majority of the outstanding shares of Class A common stock and Class B common stock, each voting separately as a class. At present, we have no plans to issue dividends. See “Dividend Policy.”</w:t>
      </w:r>
    </w:p>
    <w:p>
      <w:pPr>
        <w:spacing w:after="0" w:line="158"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In the event of our liquidation, dissolution or winding up, holders of common stock will be entitled to share ratably in the net assets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distribution to stockholders after the payment of all of our debts and other liabilities, subject to the satisfaction of any liquidation preference granted to the holders of any outstanding shares of preferred stock.</w:t>
      </w:r>
    </w:p>
    <w:p>
      <w:pPr>
        <w:spacing w:after="0" w:line="172"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Each outstanding share of Class B common stock is convertible into one share of Class A common stock (a) at any time, at the 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 or (b) upon any transfer of such share of Class B common stock, whether or not for value, except for certain transfers described in our restated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(a) the election of the holders of a majority of the then outstanding shares of Class B common stock or (b) on the first December 31 that occurs more than five years after the date of this prospectus if the October Market Cap with respect to the month of October immediately preceding such December 31 exceeds $1.0 billion, provided that the conversion provided by this clause (b) shall not apply and no automatic conversion of Class B common stock into Class A common stock will ever occur pursuant to this clause (b) if the October Market Cap for the month of October immediately preceding a December 31 exceeds $1.0 billion prior to the fifth anniversary of the date of this prospectus. For purposes of this paragraph, “October Market Cap” means, with respect to any October throughout which Class A common stock is traded on a registered securities exchange, the product of the average of the daily volume weighted average trading prices of Class A common stock for each of the days in such month of October multiplied by the number of shares of common stock outstanding on the last trading day of such month of October. Once converted or transferred and converted into Class A common stock, the Class B common stock will not be reissued.</w:t>
      </w:r>
    </w:p>
    <w:p>
      <w:pPr>
        <w:spacing w:after="0" w:line="169"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i w:val="1"/>
          <w:iCs w:val="1"/>
          <w:color w:val="auto"/>
        </w:rPr>
        <w:t xml:space="preserve">Other Rights and Preferences. </w:t>
      </w:r>
      <w:r>
        <w:rPr>
          <w:rFonts w:ascii="Arial" w:cs="Arial" w:eastAsia="Arial" w:hAnsi="Arial"/>
          <w:sz w:val="16"/>
          <w:szCs w:val="16"/>
          <w:color w:val="auto"/>
        </w:rPr>
        <w:t>Other than as described above, holders of common stock have no preemptive, conversion or subscription rights, and 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54"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i w:val="1"/>
          <w:iCs w:val="1"/>
          <w:color w:val="auto"/>
        </w:rPr>
        <w:t xml:space="preserve">Fully Paid and Nonassessable. </w:t>
      </w:r>
      <w:r>
        <w:rPr>
          <w:rFonts w:ascii="Arial" w:cs="Arial" w:eastAsia="Arial" w:hAnsi="Arial"/>
          <w:sz w:val="17"/>
          <w:szCs w:val="17"/>
          <w:color w:val="auto"/>
        </w:rPr>
        <w:t>All of our outstanding shares of common stock are, and the shares of Class A common stock to be issued in this offering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concurrent private placement will be, fully paid and nonassessable.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3"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Upon completion of this offering, we will have no shares of preferred stock outstanding. Our shares of preferred stock outstanding immediately prior to the completion of this offering will convert automatically into 4,627,577 shares of Class A common stock.</w:t>
      </w:r>
    </w:p>
    <w:p>
      <w:pPr>
        <w:spacing w:after="0" w:line="158"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Under the terms of our restated charter, the board of directors is authorized to issue preferred stock in one or more series, to establish the number of shares to be included in each such series and to fix the designation, powers, preferences and rights of such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00"/>
          </w:cols>
          <w:pgMar w:left="240" w:top="448" w:right="25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123" w:lineRule="exact"/>
        <w:rPr>
          <w:sz w:val="20"/>
          <w:szCs w:val="20"/>
          <w:color w:val="auto"/>
        </w:rPr>
      </w:pPr>
    </w:p>
    <w:p>
      <w:pPr>
        <w:ind w:right="400" w:firstLine="457"/>
        <w:spacing w:after="0" w:line="287" w:lineRule="auto"/>
        <w:rPr>
          <w:sz w:val="20"/>
          <w:szCs w:val="20"/>
          <w:color w:val="auto"/>
        </w:rPr>
      </w:pPr>
      <w:r>
        <w:rPr>
          <w:rFonts w:ascii="Arial" w:cs="Arial" w:eastAsia="Arial" w:hAnsi="Arial"/>
          <w:sz w:val="17"/>
          <w:szCs w:val="17"/>
          <w:color w:val="auto"/>
        </w:rPr>
        <w:t>As of November 2, 2017, options to purchase 1,726,066 shares of Class A common stock were outstanding pursuant under the 2016 Plan at a weighted-average exercise price of $3.36 per share, of which 324,171 were vested and exercisable.</w:t>
      </w:r>
    </w:p>
    <w:p>
      <w:pPr>
        <w:spacing w:after="0" w:line="158"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As of November 2, 2017, options to purchase 66,668 shares of Class A common stock were outstanding under our 1998 Plan at an exercise price of $0.75 per share, all of which were vested and exercisable.</w:t>
      </w:r>
    </w:p>
    <w:p>
      <w:pPr>
        <w:spacing w:after="0" w:line="158"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As of November 2, 2017, options to purchase 1,603,342 shares of Class A common stock were outstanding pursuant to certain stand-alone option agreements at a weighted-average exercise price of $1.23 per share, of which 1,150,275 were vested and exercisable.</w:t>
      </w:r>
    </w:p>
    <w:p>
      <w:pPr>
        <w:spacing w:after="0" w:line="158"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In total, as of November 2, 2017, options to purchase 3,396,076 shares of Class A common stock were outstanding at a weighted-average exercise price of $2.50 per share, of which 1,541,114 were vested and exercisable at a weighted-average exercise price of $1.51 per share.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w:t>
      </w:r>
    </w:p>
    <w:p>
      <w:pPr>
        <w:spacing w:after="0" w:line="12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In March 2017, we, ACM Shanghai and SMC entered into a securities purchase agreement pursuant to which, in exchange for the SMC Investment, we issued to SMC a warrant exercisable, for cash or on a cashless basis, to purchase, at any time on or before May 17, 2023, all, but not less than all, of 397,502 shares of Class A common stock at a price of $2.50 per share, for a total exercise price of approximately $3.0 million. Under the securities purchase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 We have granted SMC certain registration rights with respect to Class A common stock issued upon exercise of the warrant, as described under “—Registration Rights” below.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entered into a registration rights agreement with the following holders:</w:t>
      </w:r>
    </w:p>
    <w:p>
      <w:pPr>
        <w:spacing w:after="0" w:line="130" w:lineRule="exact"/>
        <w:rPr>
          <w:sz w:val="20"/>
          <w:szCs w:val="20"/>
          <w:color w:val="auto"/>
        </w:rPr>
      </w:pPr>
    </w:p>
    <w:p>
      <w:pPr>
        <w:ind w:left="900" w:hanging="439"/>
        <w:spacing w:after="0"/>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SMC in connection with the warrant described in “—Warrant” above;</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Ninebell Co., Ltd. in connection with its purchase of 133,334 shares of Class A common stock described in “Management’s Discussion and Analysis of Financial Condition and Results of Operations—Recent Equity Transactions—Strategic Investment in Key Supplier”;</w:t>
      </w:r>
    </w:p>
    <w:p>
      <w:pPr>
        <w:spacing w:after="0" w:line="66" w:lineRule="exact"/>
        <w:rPr>
          <w:rFonts w:ascii="Arial" w:cs="Arial" w:eastAsia="Arial" w:hAnsi="Arial"/>
          <w:sz w:val="17"/>
          <w:szCs w:val="17"/>
          <w:color w:val="auto"/>
        </w:rPr>
      </w:pPr>
    </w:p>
    <w:p>
      <w:pPr>
        <w:ind w:left="900" w:right="80" w:hanging="439"/>
        <w:spacing w:after="0" w:line="271"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Shanghai Science and Technology Venture Capital Co., Ltd., Shanghai Pudong High-Tech Investment Co., Ltd. and Zhangjiang AJ Company Limited in connection with the agreements described in “Management’s Discussion and Analysis of Financial Condition and Results of Operations—Recent Equity Transactions —Acquisition of Outstanding Minority Interests in Our Operating Company”;</w:t>
      </w:r>
    </w:p>
    <w:p>
      <w:pPr>
        <w:spacing w:after="0" w:line="80" w:lineRule="exact"/>
        <w:rPr>
          <w:rFonts w:ascii="Arial" w:cs="Arial" w:eastAsia="Arial" w:hAnsi="Arial"/>
          <w:sz w:val="17"/>
          <w:szCs w:val="17"/>
          <w:color w:val="auto"/>
        </w:rPr>
      </w:pPr>
    </w:p>
    <w:p>
      <w:pPr>
        <w:ind w:left="900" w:right="180" w:hanging="439"/>
        <w:spacing w:after="0" w:line="287"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Xinxin (Hongkong) Capital Co., Limited and Victorious Way Limited in connection with the concurrent private placement described in “Concurrent Private Placement”;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holders of convertible preferred stock, convertible into 4,627,577 shares of Class A common stock.</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00"/>
          </w:cols>
          <w:pgMar w:left="240" w:top="447" w:right="25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In total, all of the intended parties to the registration rights agreement would have the right, under specified circumstances, to require us to register from time to time under the Securities Act up to 8,398,421 shares of Class A common stock.</w:t>
      </w:r>
    </w:p>
    <w:p>
      <w:pPr>
        <w:spacing w:after="0" w:line="158"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following description of the terms of the registration rights agreement is intended as a summary only and is qualified in its entirety by reference to the registration rights agreement filed as an exhibit to the registration statement of which this prospectus forms a part.</w:t>
      </w:r>
    </w:p>
    <w:p>
      <w:pPr>
        <w:spacing w:after="0" w:line="184" w:lineRule="exact"/>
        <w:rPr>
          <w:sz w:val="20"/>
          <w:szCs w:val="20"/>
          <w:color w:val="auto"/>
        </w:rPr>
      </w:pPr>
    </w:p>
    <w:p>
      <w:pPr>
        <w:ind w:left="900" w:right="20" w:hanging="439"/>
        <w:spacing w:after="0" w:line="278"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Demand Registration Rights</w:t>
      </w:r>
      <w:r>
        <w:rPr>
          <w:rFonts w:ascii="Arial" w:cs="Arial" w:eastAsia="Arial" w:hAnsi="Arial"/>
          <w:sz w:val="16"/>
          <w:szCs w:val="16"/>
          <w:color w:val="auto"/>
        </w:rPr>
        <w:t>. Any time after at least 180 days after the contractual 180-day lockup period described under “Shares Eligible for Future</w:t>
      </w:r>
      <w:r>
        <w:rPr>
          <w:rFonts w:ascii="Arial" w:cs="Arial" w:eastAsia="Arial" w:hAnsi="Arial"/>
          <w:sz w:val="16"/>
          <w:szCs w:val="16"/>
          <w:i w:val="1"/>
          <w:iCs w:val="1"/>
          <w:color w:val="auto"/>
        </w:rPr>
        <w:t xml:space="preserve"> </w:t>
      </w:r>
      <w:r>
        <w:rPr>
          <w:rFonts w:ascii="Arial" w:cs="Arial" w:eastAsia="Arial" w:hAnsi="Arial"/>
          <w:sz w:val="16"/>
          <w:szCs w:val="16"/>
          <w:color w:val="auto"/>
        </w:rPr>
        <w:t>Sale—Lock-up Agreements”, on no more than four occasions and no more than one occasion in any six-month period, the private placement investors will have the right to request that we register with the SEC (a) on a registration statement on Form S-1, (i) all or a portion of the shares registrable under the registration rights agreement reasonably anticipated to have an aggregate offering price of at least $7,500,000 or (ii) all of the registrable shares then held by a private placement investor or (b) on a registration statement on Form S-3, (i) all or a portion of the shares registrable under the registration rights agreement reasonably anticipated to have an aggregate offering price of at least $3,750,000 or (ii) all of the registrable shares then held by a private placement investor. Following such a request, the other holders of registrable shares will have the right to request that we include in such registration statement all or a portion of their registrable shares. Such demand registration rights are held by the private placement investors and granting demand registration rights to any other holders will require the consent of the private placement investors.</w:t>
      </w:r>
    </w:p>
    <w:p>
      <w:pPr>
        <w:spacing w:after="0" w:line="76" w:lineRule="exact"/>
        <w:rPr>
          <w:rFonts w:ascii="Arial" w:cs="Arial" w:eastAsia="Arial" w:hAnsi="Arial"/>
          <w:sz w:val="16"/>
          <w:szCs w:val="16"/>
          <w:color w:val="auto"/>
        </w:rPr>
      </w:pPr>
    </w:p>
    <w:p>
      <w:pPr>
        <w:ind w:left="900" w:right="120" w:hanging="439"/>
        <w:spacing w:after="0" w:line="320"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Incidental Registration Rights</w:t>
      </w:r>
      <w:r>
        <w:rPr>
          <w:rFonts w:ascii="Arial" w:cs="Arial" w:eastAsia="Arial" w:hAnsi="Arial"/>
          <w:sz w:val="16"/>
          <w:szCs w:val="16"/>
          <w:color w:val="auto"/>
        </w:rPr>
        <w:t>. If we propose to register shares of Class A common stock under the Securities Act on a form that may be used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of eligible shares, the holders may request that we register all or a portion of the eligible shares they held by them.</w:t>
      </w:r>
    </w:p>
    <w:p>
      <w:pPr>
        <w:spacing w:after="0" w:line="135" w:lineRule="exact"/>
        <w:rPr>
          <w:sz w:val="20"/>
          <w:szCs w:val="20"/>
          <w:color w:val="auto"/>
        </w:rPr>
      </w:pPr>
    </w:p>
    <w:p>
      <w:pPr>
        <w:ind w:right="160" w:firstLine="457"/>
        <w:spacing w:after="0" w:line="288" w:lineRule="auto"/>
        <w:rPr>
          <w:sz w:val="20"/>
          <w:szCs w:val="20"/>
          <w:color w:val="auto"/>
        </w:rPr>
      </w:pPr>
      <w:r>
        <w:rPr>
          <w:rFonts w:ascii="Arial" w:cs="Arial" w:eastAsia="Arial" w:hAnsi="Arial"/>
          <w:sz w:val="16"/>
          <w:szCs w:val="16"/>
          <w:color w:val="auto"/>
        </w:rPr>
        <w:t>In the event that any registration in which the holders of eligible shares participate pursuant to the registration rights agreement is an underwritten public offering, the number of eligible shares to be included may, in specified circumstances, be limited due to market conditions. If the underwriter determines that less than all of the eligible shares proposed to be sold can be included in such offering, then eligible shares held by executive officers shall only be included in such offering if all the holders that are not executive officers are able to register all of the eligible shares proposed to be sold in such registration.</w:t>
      </w:r>
    </w:p>
    <w:p>
      <w:pPr>
        <w:spacing w:after="0" w:line="160"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Under the registration rights agreement, we generally are required to pay all registration expenses other than underwriting discounts and selling commissions and we are required to indemnify each participating holder with respect to each registration of eligible shares that is effected.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w:t>
      </w:r>
    </w:p>
    <w:p>
      <w:pPr>
        <w:spacing w:after="0" w:line="123"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172"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After such time as the shares of Class B common stock no longer represent a majority of the combined voting power of common stock, the provisions of Delaware law, our restated charter and our restated bylaws may have the effect of delaying, deferring or discouraging another person from acquiring control of our company.</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Delaware Law</w:t>
      </w:r>
    </w:p>
    <w:p>
      <w:pPr>
        <w:spacing w:after="0" w:line="117"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Section 203 of the Delaware General Corporation Law prevents some Delaware corporations from engaging, under some circumstances, in a business combination, which includes a merger or sale of at least 10%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380"/>
          </w:cols>
          <w:pgMar w:left="240" w:top="448" w:right="2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7" w:lineRule="exact"/>
        <w:rPr>
          <w:sz w:val="20"/>
          <w:szCs w:val="20"/>
          <w:color w:val="auto"/>
        </w:rPr>
      </w:pPr>
    </w:p>
    <w:p>
      <w:pPr>
        <w:ind w:left="900" w:hanging="439"/>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130"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80" w:lineRule="exact"/>
        <w:rPr>
          <w:rFonts w:ascii="Arial" w:cs="Arial" w:eastAsia="Arial" w:hAnsi="Arial"/>
          <w:sz w:val="17"/>
          <w:szCs w:val="17"/>
          <w:color w:val="auto"/>
        </w:rPr>
      </w:pPr>
    </w:p>
    <w:p>
      <w:pPr>
        <w:ind w:left="900" w:right="60" w:hanging="439"/>
        <w:spacing w:after="0" w:line="357" w:lineRule="auto"/>
        <w:tabs>
          <w:tab w:leader="none" w:pos="9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11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Charter and Bylaw Provisions</w:t>
      </w:r>
    </w:p>
    <w:p>
      <w:pPr>
        <w:spacing w:after="0" w:line="117"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Our restated charter and our restated bylaws will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81" w:lineRule="exact"/>
        <w:rPr>
          <w:sz w:val="20"/>
          <w:szCs w:val="20"/>
          <w:color w:val="auto"/>
        </w:rPr>
      </w:pPr>
    </w:p>
    <w:p>
      <w:pPr>
        <w:jc w:val="both"/>
        <w:ind w:left="900" w:hanging="439"/>
        <w:spacing w:after="0" w:line="312" w:lineRule="auto"/>
        <w:tabs>
          <w:tab w:leader="none" w:pos="900" w:val="left"/>
        </w:tabs>
        <w:numPr>
          <w:ilvl w:val="0"/>
          <w:numId w:val="117"/>
        </w:numPr>
        <w:rPr>
          <w:rFonts w:ascii="Arial" w:cs="Arial" w:eastAsia="Arial" w:hAnsi="Arial"/>
          <w:sz w:val="15"/>
          <w:szCs w:val="15"/>
          <w:color w:val="auto"/>
        </w:rPr>
      </w:pPr>
      <w:r>
        <w:rPr>
          <w:rFonts w:ascii="Arial" w:cs="Arial" w:eastAsia="Arial" w:hAnsi="Arial"/>
          <w:sz w:val="15"/>
          <w:szCs w:val="15"/>
          <w:i w:val="1"/>
          <w:iCs w:val="1"/>
          <w:color w:val="auto"/>
        </w:rPr>
        <w:t xml:space="preserve">Separate Class B Vote for Certain Transactions. </w:t>
      </w:r>
      <w:r>
        <w:rPr>
          <w:rFonts w:ascii="Arial" w:cs="Arial" w:eastAsia="Arial" w:hAnsi="Arial"/>
          <w:sz w:val="15"/>
          <w:szCs w:val="15"/>
          <w:color w:val="auto"/>
        </w:rPr>
        <w:t>Until the first date on which the outstanding shares of Class B common stock represent less than 35%</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54" w:lineRule="exact"/>
        <w:rPr>
          <w:rFonts w:ascii="Arial" w:cs="Arial" w:eastAsia="Arial" w:hAnsi="Arial"/>
          <w:sz w:val="15"/>
          <w:szCs w:val="15"/>
          <w:color w:val="auto"/>
        </w:rPr>
      </w:pPr>
    </w:p>
    <w:p>
      <w:pPr>
        <w:jc w:val="both"/>
        <w:ind w:left="900" w:right="160" w:hanging="439"/>
        <w:spacing w:after="0" w:line="288"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Dual Class Stock</w:t>
      </w:r>
      <w:r>
        <w:rPr>
          <w:rFonts w:ascii="Arial" w:cs="Arial" w:eastAsia="Arial" w:hAnsi="Arial"/>
          <w:sz w:val="16"/>
          <w:szCs w:val="16"/>
          <w:color w:val="auto"/>
        </w:rPr>
        <w:t>. As described above in “—Common Stock—Voting Rights,” our restated charter provides for a dual class common stock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68" w:lineRule="exact"/>
        <w:rPr>
          <w:rFonts w:ascii="Arial" w:cs="Arial" w:eastAsia="Arial" w:hAnsi="Arial"/>
          <w:sz w:val="16"/>
          <w:szCs w:val="16"/>
          <w:color w:val="auto"/>
        </w:rPr>
      </w:pPr>
    </w:p>
    <w:p>
      <w:pPr>
        <w:ind w:left="900" w:right="60" w:hanging="439"/>
        <w:spacing w:after="0" w:line="262"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Supermajority Approvals</w:t>
      </w:r>
      <w:r>
        <w:rPr>
          <w:rFonts w:ascii="Arial" w:cs="Arial" w:eastAsia="Arial" w:hAnsi="Arial"/>
          <w:sz w:val="17"/>
          <w:szCs w:val="17"/>
          <w:color w:val="auto"/>
        </w:rPr>
        <w:t>. Our restated charter and restated bylaws do not provide that amendments to our restated charter or restated bylaws by</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will require the approval of two-thirds of the combined vote of then-outstanding shares of Class A and Class B common stock. However, when the outstanding shares of Class B common stock represent less than a majority of the combined voting power of common stock, certain amendments to our restated charter or restated bylaws by stockholders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88"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charter and restated bylaws provide that stockholders may fill vacant directorships. When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represent less than a majority of the combined voting power of common stock, our restated charter and restated bylaws authorize only the board of directors to fill vacant directorships. In addition, the number of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00"/>
          </w:cols>
          <w:pgMar w:left="240" w:top="448" w:right="2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40"/>
        <w:spacing w:after="0" w:line="266" w:lineRule="auto"/>
        <w:rPr>
          <w:sz w:val="20"/>
          <w:szCs w:val="20"/>
          <w:color w:val="auto"/>
        </w:rPr>
      </w:pPr>
      <w:r>
        <w:rPr>
          <w:rFonts w:ascii="Arial" w:cs="Arial" w:eastAsia="Arial" w:hAnsi="Arial"/>
          <w:sz w:val="17"/>
          <w:szCs w:val="17"/>
          <w:color w:val="auto"/>
        </w:rPr>
        <w:t>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restated charter provides that directors may be removed with or without cause only by the affirmative vote of the holders of at least two-thirds of the votes that all of the stockholders would be entitled to cast in any annual election of directors.</w:t>
      </w:r>
    </w:p>
    <w:p>
      <w:pPr>
        <w:spacing w:after="0" w:line="85" w:lineRule="exact"/>
        <w:rPr>
          <w:sz w:val="20"/>
          <w:szCs w:val="20"/>
          <w:color w:val="auto"/>
        </w:rPr>
      </w:pPr>
    </w:p>
    <w:p>
      <w:pPr>
        <w:ind w:left="900" w:right="80" w:hanging="439"/>
        <w:spacing w:after="0" w:line="262"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The board of directors will not initially be classified. Our restated charter and restated bylaws provide that when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our without cause only by the affirmative vote of the holders of at least two-thirds of the voting power of the then outstanding shares of Class A and Class B common stock. The existence of a classified board could delay a successful tender offeror from obtaining majority control of the board, and the prospect of that delay might deter a potential offeror.</w:t>
      </w:r>
    </w:p>
    <w:p>
      <w:pPr>
        <w:spacing w:after="0" w:line="88" w:lineRule="exact"/>
        <w:rPr>
          <w:rFonts w:ascii="Arial" w:cs="Arial" w:eastAsia="Arial" w:hAnsi="Arial"/>
          <w:sz w:val="17"/>
          <w:szCs w:val="17"/>
          <w:color w:val="auto"/>
        </w:rPr>
      </w:pPr>
    </w:p>
    <w:p>
      <w:pPr>
        <w:ind w:left="900" w:right="200" w:hanging="439"/>
        <w:spacing w:after="0" w:line="278"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Our restated charter provides that stockholders will be able to take action by written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restated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80" w:lineRule="exact"/>
        <w:rPr>
          <w:rFonts w:ascii="Arial" w:cs="Arial" w:eastAsia="Arial" w:hAnsi="Arial"/>
          <w:sz w:val="16"/>
          <w:szCs w:val="16"/>
          <w:color w:val="auto"/>
        </w:rPr>
      </w:pPr>
    </w:p>
    <w:p>
      <w:pPr>
        <w:ind w:left="900" w:right="20" w:hanging="439"/>
        <w:spacing w:after="0" w:line="263"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restated bylaws provide advance notice procedures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seeking to bring business before our annual meeting of stockholders, or to nominate candidates for election as directors at any meeting of stockholders. Our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89" w:lineRule="exact"/>
        <w:rPr>
          <w:rFonts w:ascii="Arial" w:cs="Arial" w:eastAsia="Arial" w:hAnsi="Arial"/>
          <w:sz w:val="17"/>
          <w:szCs w:val="17"/>
          <w:color w:val="auto"/>
        </w:rPr>
      </w:pPr>
    </w:p>
    <w:p>
      <w:pPr>
        <w:ind w:left="900" w:right="420" w:hanging="439"/>
        <w:spacing w:after="0" w:line="266"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The board of directors has the authority, without further action by the stockholders, to issue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12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Our restated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charter or our restated bylaws; any action to interpret, apply, enforce, or determine the validity of our restated charter or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380"/>
          </w:cols>
          <w:pgMar w:left="240" w:top="448" w:right="27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transfer agent and registrar for the Class A common stock is Computershare Trust Company, N.A.</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w:t>
      </w:r>
    </w:p>
    <w:p>
      <w:pPr>
        <w:spacing w:after="0" w:line="123" w:lineRule="exact"/>
        <w:rPr>
          <w:sz w:val="20"/>
          <w:szCs w:val="20"/>
          <w:color w:val="auto"/>
        </w:rPr>
      </w:pPr>
    </w:p>
    <w:p>
      <w:pPr>
        <w:ind w:left="5580" w:right="1679" w:hanging="5122"/>
        <w:spacing w:after="0" w:line="463" w:lineRule="auto"/>
        <w:rPr>
          <w:sz w:val="20"/>
          <w:szCs w:val="20"/>
          <w:color w:val="auto"/>
        </w:rPr>
      </w:pPr>
      <w:r>
        <w:rPr>
          <w:rFonts w:ascii="Arial" w:cs="Arial" w:eastAsia="Arial" w:hAnsi="Arial"/>
          <w:sz w:val="17"/>
          <w:szCs w:val="17"/>
          <w:color w:val="auto"/>
        </w:rPr>
        <w:t>The Class A common stock has been approved for listing on the Nasdaq Global Market under the symbol “ACMR.” 134</w:t>
      </w:r>
    </w:p>
    <w:p>
      <w:pPr>
        <w:sectPr>
          <w:pgSz w:w="11900" w:h="16838" w:orient="portrait"/>
          <w:cols w:equalWidth="0" w:num="1">
            <w:col w:w="10219"/>
          </w:cols>
          <w:pgMar w:left="240" w:top="448" w:right="1440"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Before this offering, there has not been a public market for shares of Class A common stock. Future sales of substantial numbers of shares of common stock, including shares issued upon the exercise of outstanding options, in the public market after this offering, or the possibility of these sales occurring, could cause the prevailing market price for the common stock to fall or impair our ability to raise equity capital in the future.</w:t>
      </w:r>
    </w:p>
    <w:p>
      <w:pPr>
        <w:spacing w:after="0" w:line="172"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After this offering and the concurrent private placement, we will have outstanding 12,702,546 shares of Class A common stock and 2,409,738 shares of Class B common stock, based on the number of shares outstanding as of November 2, 2017 and 1,333,334 shares we are selling in the concurrent private placement. This includes 2,000,000 shares of Class A common stock that we are selling in this offering, which shares may be resold in the public market immediately following this offering, and assumes no additional exercise of outstanding options. Shares of Class B common stock are convertible into an equivalent number of shares of Class A common stock and generally convert into shares of Class A common stock upon transfer.</w:t>
      </w:r>
    </w:p>
    <w:p>
      <w:pPr>
        <w:spacing w:after="0" w:line="163"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The 13,112,284 shares of common stock that were not offered and sold in this offering will be upon issuance, “restricted securities,” as that term is defined in Rule 144 under the Securities Act. These restricted securities are eligible for public sale only if they are registered under the Securities Act or if they qualify for an exemption from registration under Rule 144 under the Securities Act, which are summarized below.</w:t>
      </w:r>
    </w:p>
    <w:p>
      <w:pPr>
        <w:spacing w:after="0" w:line="172"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As a result of the contractual 180-day lock-up period described below and the provisions of Rule 144, these shares will be available for sale in the public market as follows:</w:t>
      </w:r>
    </w:p>
    <w:p>
      <w:pPr>
        <w:spacing w:after="0" w:line="67" w:lineRule="exact"/>
        <w:rPr>
          <w:sz w:val="20"/>
          <w:szCs w:val="20"/>
          <w:color w:val="auto"/>
        </w:rPr>
      </w:pPr>
    </w:p>
    <w:p>
      <w:pPr>
        <w:ind w:left="900" w:hanging="439"/>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129,891 restricted shares will be eligible for sale in the public market immediately upon completion of this offering; and</w:t>
      </w:r>
    </w:p>
    <w:p>
      <w:pPr>
        <w:spacing w:after="0" w:line="130" w:lineRule="exact"/>
        <w:rPr>
          <w:rFonts w:ascii="Arial" w:cs="Arial" w:eastAsia="Arial" w:hAnsi="Arial"/>
          <w:sz w:val="17"/>
          <w:szCs w:val="17"/>
          <w:color w:val="auto"/>
        </w:rPr>
      </w:pPr>
    </w:p>
    <w:p>
      <w:pPr>
        <w:ind w:left="900" w:right="80" w:hanging="439"/>
        <w:spacing w:after="0" w:line="320"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up to 12,982,393 shares will be eligible for sale in the public market beginning 180 days from the date of this prospectus, 8,770,975 of which are held by directors, executive officers and other affiliates and will be subject to volume and other limitations under Rule 144 under the Securities Act.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all of our directors and officers, the purchasers of Class A common stock in the concurrent private placement, and certain of our other stockholders have agreed not to sell or otherwise transfer or dispose of any of our securities for a period of 180 days from the date of this prospectus, subject to certain exceptions. Roth Capital Partners, as representative of the several underwriters, may permit early releases of shares subject to the lock-up agreements. See “Underwriting” for a description of the lock-up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23"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In general, a person who has beneficially owned our restricted common shares for at least six months would be entitled to sell their securities subject only to the availability of current public information about us and subject to the lock-up agreements described above, provided that (a) such person is not deemed to have been one of our affiliates at the time of, or at any time during the ninety days preceding, a sale, and (b) we are subject to the Securities Exchange Act periodic reporting requirements for at least ninety days before the sale. In addition, under Rule 144, any person who is not an affiliate of ours and has beneficially owned their shares for at least one year, including the holding period of any prior owner other than one of our affiliates, would be entitled to sell such shares immediately upon completion of this offering without regard to whether current public information about us is available. Persons who have beneficially owned restricted common shares for at least six months but who are our affiliates at the time of, or any time during the ninety days preceding, a sale, would be subject to additional restrictions, by which such person would be entitled to sell, upon expiration of the lock-up agreements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400"/>
          </w:cols>
          <w:pgMar w:left="240" w:top="448" w:right="25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described above, within any three-month period only a number of shares that does not exceed the greater of either of the following:</w:t>
      </w:r>
    </w:p>
    <w:p>
      <w:pPr>
        <w:spacing w:after="0" w:line="130" w:lineRule="exact"/>
        <w:rPr>
          <w:sz w:val="20"/>
          <w:szCs w:val="20"/>
          <w:color w:val="auto"/>
        </w:rPr>
      </w:pPr>
    </w:p>
    <w:p>
      <w:pPr>
        <w:ind w:left="900" w:right="40" w:hanging="439"/>
        <w:spacing w:after="0" w:line="271"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one percent of the number of common shares then outstanding, which will equal approximately 151,122 shares immediately after this offering assuming no exercise of the underwriters’ option to purchase additional shares, based on the number of common shares outstanding as of November 2, 2017; or</w:t>
      </w:r>
    </w:p>
    <w:p>
      <w:pPr>
        <w:spacing w:after="0" w:line="80"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average weekly trading volume of common shares during the four calendar weeks preceding the filing of a notice on Form 144 with respect to the sale;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provided, in each case, that we are subject to the Securities Exchange Act periodic reporting requirements for at least ninety days before the sale. Such sales both by affiliates and by a person selling shares on behalf of our affiliates must also comply with the manner of sale, current public information and notice provisions of Rule 144.</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23"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color w:val="auto"/>
        </w:rPr>
        <w:t>In general, Rule 701 permits resales of shares in reliance upon Rule 144 but without compliance with certain restrictions, including the holding period requirement, of Rule 144. Any employee, officer or director of or consultant to us who purchased shares under a written compensatory plan or contract before the date of this prospectus may be entitled to rely on the resale provisions of Rule 701. Rule 701 permits affiliates to sell their shares acquired pursuant to Rule 701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All holders of shares issued under Rule 701 are required to wait until ninety days after the date of this prospectus before selling such shares. All Rule 701 shares are, however, subject to lock-up agreements and will only become eligible for sale upon the expiration of the lock-up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Upon completion of this offering, certain holders of shares of Class A common stock (including shares of Class A common stock issuable upon conversion of Class B common stock) will be entitled to incidental, or piggyback, rights with respect to the registration of the sale of these shares under the Securities Act. Upon completion of the private placement, the private placement investors, in addition to the piggyback, registration rights, will have the right, under certain circumstances, to require us to file a registration statement under the Securities Act to register the shares of Class A common stock sold in the private placement. Registration of the sale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w:t>
      </w:r>
    </w:p>
    <w:p>
      <w:pPr>
        <w:spacing w:after="0" w:line="123" w:lineRule="exact"/>
        <w:rPr>
          <w:sz w:val="20"/>
          <w:szCs w:val="20"/>
          <w:color w:val="auto"/>
        </w:rPr>
      </w:pPr>
    </w:p>
    <w:p>
      <w:pPr>
        <w:ind w:right="180" w:firstLine="457"/>
        <w:spacing w:after="0" w:line="288" w:lineRule="auto"/>
        <w:rPr>
          <w:sz w:val="20"/>
          <w:szCs w:val="20"/>
          <w:color w:val="auto"/>
        </w:rPr>
      </w:pPr>
      <w:r>
        <w:rPr>
          <w:rFonts w:ascii="Arial" w:cs="Arial" w:eastAsia="Arial" w:hAnsi="Arial"/>
          <w:sz w:val="16"/>
          <w:szCs w:val="16"/>
          <w:color w:val="auto"/>
        </w:rPr>
        <w:t>We intend to file with the SEC one or more registration statements on Form S-8 under the Securities Act to register all shares of common stock subject to outstanding stock options and common stock issued or issuable under our stock plan. We expect to file the registration statement covering shares offered pursuant to our stock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448" w:right="2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228" w:lineRule="exact"/>
        <w:rPr>
          <w:sz w:val="20"/>
          <w:szCs w:val="20"/>
          <w:color w:val="auto"/>
        </w:rPr>
      </w:pPr>
    </w:p>
    <w:p>
      <w:pPr>
        <w:jc w:val="both"/>
        <w:ind w:right="180" w:firstLine="457"/>
        <w:spacing w:after="0" w:line="295" w:lineRule="auto"/>
        <w:rPr>
          <w:sz w:val="20"/>
          <w:szCs w:val="20"/>
          <w:color w:val="auto"/>
        </w:rPr>
      </w:pPr>
      <w:r>
        <w:rPr>
          <w:rFonts w:ascii="Arial" w:cs="Arial" w:eastAsia="Arial" w:hAnsi="Arial"/>
          <w:sz w:val="15"/>
          <w:szCs w:val="15"/>
          <w:color w:val="auto"/>
        </w:rPr>
        <w:t>The following is a summary of the material U.S. federal income tax consequences of the ownership and disposition of Class A common stock to non-U.S. holders, as defined below, but does not purport to be a complete analysis of all the potential tax considerations relating thereto. This summary is based upon the provisions of the Internal Revenue Code, Treasury regulations promulgated thereunder, administrative rulings, and judicial decisions, all as of the date hereof.</w:t>
      </w:r>
    </w:p>
    <w:p>
      <w:pPr>
        <w:spacing w:after="0" w:line="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These authorities may be changed, possibly retroactively,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the IRS will agree with such statements and conclusions. This discussion assumes that the non-U.S. holder holds Class A common stock as a “capital asset” within the meaning of Internal Revenue Code Section 1221 (generally, property held for investment).</w:t>
      </w:r>
    </w:p>
    <w:p>
      <w:pPr>
        <w:spacing w:after="0" w:line="166"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This summary also does not address the tax considerations arising under the laws of any foreign, state or local jurisdiction or any U.S. federal non-income tax laws other than U.S. federal estate tax laws to the limited extent described below. In addition, this discussion does not address tax considerations applicable to an investor’s particular circumstances or to investors that may be subject to special tax rules, including:</w:t>
      </w:r>
    </w:p>
    <w:p>
      <w:pPr>
        <w:spacing w:after="0" w:line="81" w:lineRule="exact"/>
        <w:rPr>
          <w:sz w:val="20"/>
          <w:szCs w:val="20"/>
          <w:color w:val="auto"/>
        </w:rPr>
      </w:pPr>
    </w:p>
    <w:p>
      <w:pPr>
        <w:ind w:left="900" w:hanging="439"/>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subject to the alternative minimum or net investment income tax;</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the common stock (except to the extent specifically set forth below);</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who hold Class A common stock as a position in a “hedging transaction,” “straddle” “conversion transaction” or other risk reduction transaction;</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who do not hold Class A common stock as a capital asset within the meaning of Internal Revenue Code Section 1221; or</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deemed to sell Class A common stock under the constructive sale provisions of the Internal Revenue Code.</w:t>
      </w:r>
    </w:p>
    <w:p>
      <w:pPr>
        <w:spacing w:after="0" w:line="22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 addition, if a partnership or entity classified as a partnership for U.S. federal income tax purposes holds Class A common stock, the tax treatment of a partner generally will depend on the status of the partner and upon the activities of the partnership. Accordingly, partnerships that hold Class A common stock, and partners in such partnerships, should consult their tax advisors.</w:t>
      </w:r>
    </w:p>
    <w:p>
      <w:pPr>
        <w:spacing w:after="0" w:line="166"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CLASS A COMMON STOCK ARISING UNDER THE U.S. FEDERAL ESTATE OR GIFT TAX RULES OR UNDER THE LAWS OF ANY STATE, LOCAL, FOREIGN OR OTHER TAXING JURISDICTION OR UNDER ANY APPLICABLE TAX TREATY.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340"/>
          </w:cols>
          <w:pgMar w:left="240" w:top="448" w:right="31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123" w:lineRule="exact"/>
        <w:rPr>
          <w:sz w:val="20"/>
          <w:szCs w:val="20"/>
          <w:color w:val="auto"/>
        </w:rPr>
      </w:pPr>
    </w:p>
    <w:p>
      <w:pPr>
        <w:ind w:right="500" w:firstLine="457"/>
        <w:spacing w:after="0" w:line="357" w:lineRule="auto"/>
        <w:rPr>
          <w:sz w:val="20"/>
          <w:szCs w:val="20"/>
          <w:color w:val="auto"/>
        </w:rPr>
      </w:pPr>
      <w:r>
        <w:rPr>
          <w:rFonts w:ascii="Arial" w:cs="Arial" w:eastAsia="Arial" w:hAnsi="Arial"/>
          <w:sz w:val="15"/>
          <w:szCs w:val="15"/>
          <w:color w:val="auto"/>
        </w:rPr>
        <w:t>For purposes of this discussion, you are a non-U.S. holder if you are a holder other than a partnership or other entity classified as such for U.S. federal income tax purposes that, for U.S. federal income tax purposes, is not a U.S. person. For purposes of this discussion, you are a U.S. person if you are:</w:t>
      </w:r>
    </w:p>
    <w:p>
      <w:pPr>
        <w:spacing w:after="0" w:line="21" w:lineRule="exact"/>
        <w:rPr>
          <w:sz w:val="20"/>
          <w:szCs w:val="20"/>
          <w:color w:val="auto"/>
        </w:rPr>
      </w:pPr>
    </w:p>
    <w:p>
      <w:pPr>
        <w:ind w:left="900" w:hanging="439"/>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 individual citizen or resident of the U.S.;</w:t>
      </w:r>
    </w:p>
    <w:p>
      <w:pPr>
        <w:spacing w:after="0" w:line="13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U.S. or under the laws of the U.S. or any political subdivision thereof or otherwise treated as such for U.S. federal income tax purposes;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trust (a) whose administration is subject to the primary supervision of a U.S. court and that has one or more U.S. persons who have the authority to control all substantial decisions of the trust or (b) that has made an election to continue to be treated as a U.S. person.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123"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do not plan to make any distributions on Class A common stock in the foreseeable future. If we do make future distributions on Class A common stock (other than certain pro rata distributions of Class A common stock), however,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Class A common stock, but not below zero, and then will be treated as gain from the sale of stock.</w:t>
      </w:r>
    </w:p>
    <w:p>
      <w:pPr>
        <w:spacing w:after="0" w:line="180"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qualification for the reduced rate.</w:t>
      </w:r>
    </w:p>
    <w:p>
      <w:pPr>
        <w:spacing w:after="0" w:line="172"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an income tax treaty applies, that are attributable to a permanent establishment (or, if you are an individual, a fixed base) maintained by you in the U.S.) are exempt from such withholding tax. In order to obtain this exemption, you must provide us with an IRS Form W-8ECI or other applicable IRS Form W-8 properly certifying such exemption. Such effectively connected dividends, although not subject to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w:t>
      </w:r>
    </w:p>
    <w:p>
      <w:pPr>
        <w:spacing w:after="0" w:line="168"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If you are eligible for a reduced rate of withholding tax pursuant to a tax treaty, you may generally obtain a refund of any excess amounts currently withheld if you timely file an appropriate claim for refund with the IRS. If you hold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Dispositions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generally will not be required to pay U.S. federal income tax on any gain realized upon the sale or other disposition of Class A common stock unless:</w:t>
      </w:r>
    </w:p>
    <w:p>
      <w:pPr>
        <w:spacing w:after="0" w:line="142" w:lineRule="exact"/>
        <w:rPr>
          <w:sz w:val="20"/>
          <w:szCs w:val="20"/>
          <w:color w:val="auto"/>
        </w:rPr>
      </w:pPr>
    </w:p>
    <w:p>
      <w:pPr>
        <w:ind w:left="900" w:right="600" w:hanging="439"/>
        <w:spacing w:after="0" w:line="287"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an income tax treaty applies, the gain is attributable to a permanent establishment (or, if you are an individual, a fixed base) maintained by you in the 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00"/>
          </w:cols>
          <w:pgMar w:left="240" w:top="448" w:right="25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360" w:hanging="439"/>
        <w:spacing w:after="0" w:line="287"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you are an individual who is present in the U.S. for a period or periods aggregating 183 days or more during the calendar year in which the sale or disposition occurs and certain other conditions are met; or</w:t>
      </w:r>
    </w:p>
    <w:p>
      <w:pPr>
        <w:spacing w:after="0" w:line="66" w:lineRule="exact"/>
        <w:rPr>
          <w:rFonts w:ascii="Arial" w:cs="Arial" w:eastAsia="Arial" w:hAnsi="Arial"/>
          <w:sz w:val="17"/>
          <w:szCs w:val="17"/>
          <w:color w:val="auto"/>
        </w:rPr>
      </w:pPr>
    </w:p>
    <w:p>
      <w:pPr>
        <w:ind w:left="900" w:right="160" w:hanging="439"/>
        <w:spacing w:after="0" w:line="271"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Class A common stock constitutes a U.S. real property interest by reason of our status as a U.S. real property holding corporation, or a USRPHC, for U.S. federal income tax purposes at any time within the shorter of the five-year period preceding the disposition or your holding period for Class A common stock.</w:t>
      </w:r>
    </w:p>
    <w:p>
      <w:pPr>
        <w:spacing w:after="0" w:line="172"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We believe that we are not currently and will not become a USRPHC. Because the determination of whether we are a USRPHC depends on the fair market value of our U.S. real property relative to the fair market value of our other business assets, however, there can be no assurance we will not become a USRPHC if we acquire real property in the future.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common stock.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Class A common stock.</w:t>
      </w:r>
    </w:p>
    <w:p>
      <w:pPr>
        <w:spacing w:after="0" w:line="181"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net gain derived from the sale under regular graduated U.S. federal income tax rates, and corporate non-U.S. holders described in the first bullet above may also be subject to the branch profits tax at a 30% rate or such lower rate as may be specified by an applicable income tax treaty. If you are an individual non-U.S. holder described in the second bullet above, you will be required to pay a flat 30% tax (or such lower rate specified by an applicable tax treaty) on the gain derived from the sale, which tax may be offset by U.S. source capital losses (even though you are not considered a resident of the U.S.). You should consult any applicable income tax treaties that may provide for different rules.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2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regardless of whether withholding was required. A similar report is sent to you. Pursuant to applicable income tax treaties or other agreements, the IRS may make these reports available to tax authorities in your country of residence. Payments of dividends or of proceeds on the disposition of stock made to you may be subject to information reporting and backup withholding unless you establish an exemption, for example by properly certifying your non-U.S. status on an IRS Form W-8BEN or another appropriate version of IRS Form W-8. Notwithstanding the foregoing, backup withholding and information reporting may apply if either we or our paying agent has actual knowledge, or reason to know, that you are a U.S. person.</w:t>
      </w:r>
    </w:p>
    <w:p>
      <w:pPr>
        <w:spacing w:after="0" w:line="18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Taxes</w:t>
      </w:r>
    </w:p>
    <w:p>
      <w:pPr>
        <w:spacing w:after="0" w:line="12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Class A common stock owned or treated as owned by an individual who is a non-U.S. person (as specifically defined for U.S. federal estate tax purposes) at the time of death will be included in the individual’s gross estate for U.S. federal estate tax purposes and may be subject to U.S. federal estate tax, unless an applicable estate tax treaty provides otherwise.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23"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Withholding taxes may be imposed under Internal Revenue Code Sections 1471 to 1474, which are commonly referred to as the Foreign Account Tax Compliance Act or FATCA, on certain types of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20"/>
          </w:cols>
          <w:pgMar w:left="240" w:top="448"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made to non-U.S. financial institutions and certain other non-U.S. entities. Specifically, a thirty-percent withholding tax may be imposed on dividends on, or gross proceeds from the sale or other disposition of, Class A common stock paid to a “foreign financial institution” or a “non-financial foreign entity” (each as defined in the Internal Revenue Code), unless (a) the foreign financial institution undertakes certain diligence and reporting obligations, (b) the non-financial foreign entity either certifies it does not have any “substantial United States owners” (as defined in the Internal Revenue Code) or furnishes identifying information regarding each substantial United States owner, or (c) the foreign financial institution or non-financial foreign entity otherwise qualifies for an exemption from these rules. Such certification or exemption must typically be evidenced by a non-U.S. holder’s delivery of a properly executed IRS Form W-8BEN-E. If the payee is a foreign financial institution and is subject to the diligence and reporting requirements in (a) above, it must enter into an agreement with the U.S. Department of the Treasury requiring, among other things, that it undertake to identify accounts held by certain “specified United States persons” or “United States-owned foreign entities” (each as defined in the Internal Revenue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5" w:lineRule="exact"/>
        <w:rPr>
          <w:sz w:val="20"/>
          <w:szCs w:val="20"/>
          <w:color w:val="auto"/>
        </w:rPr>
      </w:pPr>
    </w:p>
    <w:p>
      <w:pPr>
        <w:ind w:right="380" w:firstLine="457"/>
        <w:spacing w:after="0" w:line="320" w:lineRule="auto"/>
        <w:rPr>
          <w:sz w:val="20"/>
          <w:szCs w:val="20"/>
          <w:color w:val="auto"/>
        </w:rPr>
      </w:pPr>
      <w:r>
        <w:rPr>
          <w:rFonts w:ascii="Arial" w:cs="Arial" w:eastAsia="Arial" w:hAnsi="Arial"/>
          <w:sz w:val="16"/>
          <w:szCs w:val="16"/>
          <w:color w:val="auto"/>
        </w:rPr>
        <w:t>Under applicable Treasury Regulations and administrative guidance, withholding under FATCA generally applies to payments of dividends on Class A common stock and will apply to payments of gross proceeds from the sale or other disposition of Class A common stock on or after January 1, 2019.</w:t>
      </w:r>
    </w:p>
    <w:p>
      <w:pPr>
        <w:spacing w:after="0" w:line="135"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Class A common stock.</w:t>
      </w:r>
    </w:p>
    <w:p>
      <w:pPr>
        <w:spacing w:after="0" w:line="152" w:lineRule="exact"/>
        <w:rPr>
          <w:sz w:val="20"/>
          <w:szCs w:val="20"/>
          <w:color w:val="auto"/>
        </w:rPr>
      </w:pPr>
    </w:p>
    <w:p>
      <w:pPr>
        <w:ind w:right="120" w:firstLine="457"/>
        <w:spacing w:after="0" w:line="365"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foreign tax consequences of purchasing, holding and disposing of Class A common stock, including the consequences of any proposed change in applicable laws.</w:t>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340"/>
          </w:cols>
          <w:pgMar w:left="240" w:top="448" w:right="31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We have entered into an underwriting agreement with Roth Capital Partners, LLC, acting as the representative of the several underwriters named below, with respect to the shares of Class A common stock subject to this offering. Subject to certain conditions, we have agreed to sell to the underwriters, and the underwriters have severally agreed to purchase, the number of shares of Class A common stock provided below opposite their respective names.</w:t>
      </w:r>
    </w:p>
    <w:p>
      <w:pPr>
        <w:spacing w:after="0" w:line="170" w:lineRule="exact"/>
        <w:rPr>
          <w:sz w:val="20"/>
          <w:szCs w:val="20"/>
          <w:color w:val="auto"/>
        </w:rPr>
      </w:pPr>
    </w:p>
    <w:tbl>
      <w:tblPr>
        <w:tblLayout w:type="fixed"/>
        <w:tblInd w:w="1840" w:type="dxa"/>
        <w:tblCellMar>
          <w:top w:w="0" w:type="dxa"/>
          <w:left w:w="0" w:type="dxa"/>
          <w:bottom w:w="0" w:type="dxa"/>
          <w:right w:w="0" w:type="dxa"/>
        </w:tblCellMar>
      </w:tblPr>
      <w:tr>
        <w:trPr>
          <w:trHeight w:val="179"/>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32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2120" w:type="dxa"/>
            <w:vAlign w:val="bottom"/>
            <w:vMerge w:val="restart"/>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Roth Capital Partners, LLC</w:t>
            </w:r>
          </w:p>
        </w:tc>
        <w:tc>
          <w:tcPr>
            <w:tcW w:w="2120" w:type="dxa"/>
            <w:vAlign w:val="bottom"/>
            <w:vMerge w:val="continue"/>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1,450,000</w:t>
            </w:r>
          </w:p>
        </w:tc>
        <w:tc>
          <w:tcPr>
            <w:tcW w:w="0" w:type="dxa"/>
            <w:vAlign w:val="bottom"/>
          </w:tcPr>
          <w:p>
            <w:pPr>
              <w:spacing w:after="0"/>
              <w:rPr>
                <w:sz w:val="1"/>
                <w:szCs w:val="1"/>
                <w:color w:val="auto"/>
              </w:rPr>
            </w:pPr>
          </w:p>
        </w:tc>
      </w:tr>
      <w:tr>
        <w:trPr>
          <w:trHeight w:val="209"/>
        </w:trPr>
        <w:tc>
          <w:tcPr>
            <w:tcW w:w="4500" w:type="dxa"/>
            <w:vAlign w:val="bottom"/>
            <w:gridSpan w:val="2"/>
          </w:tcPr>
          <w:p>
            <w:pPr>
              <w:spacing w:after="0"/>
              <w:rPr>
                <w:sz w:val="20"/>
                <w:szCs w:val="20"/>
                <w:color w:val="auto"/>
              </w:rPr>
            </w:pPr>
            <w:r>
              <w:rPr>
                <w:rFonts w:ascii="Arial" w:cs="Arial" w:eastAsia="Arial" w:hAnsi="Arial"/>
                <w:sz w:val="17"/>
                <w:szCs w:val="17"/>
                <w:color w:val="auto"/>
              </w:rPr>
              <w:t>Craig-Hallum Capital Group LLC</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Benchmark Company, LLC</w:t>
            </w:r>
          </w:p>
        </w:tc>
        <w:tc>
          <w:tcPr>
            <w:tcW w:w="2120" w:type="dxa"/>
            <w:vAlign w:val="bottom"/>
            <w:shd w:val="clear" w:color="auto" w:fill="CCEEFF"/>
          </w:tcPr>
          <w:p>
            <w:pPr>
              <w:spacing w:after="0"/>
              <w:rPr>
                <w:sz w:val="18"/>
                <w:szCs w:val="18"/>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0" w:type="dxa"/>
            <w:vAlign w:val="bottom"/>
          </w:tcPr>
          <w:p>
            <w:pPr>
              <w:spacing w:after="0"/>
              <w:rPr>
                <w:sz w:val="1"/>
                <w:szCs w:val="1"/>
                <w:color w:val="auto"/>
              </w:rPr>
            </w:pPr>
          </w:p>
        </w:tc>
      </w:tr>
      <w:tr>
        <w:trPr>
          <w:trHeight w:val="215"/>
        </w:trPr>
        <w:tc>
          <w:tcPr>
            <w:tcW w:w="450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2,000,000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The underwriters are offering the shares subject to their acceptance of the shares from us and subject to prior sale. The underwriting agreement provides that the obligations of the several underwriters to pay for and accept delivery of the shares offered by this prospectus are subject to the approval of certain legal matters by their counsel and to certain other conditions. The underwriters are obligated to take and pay for all of the shares if any such shares are taken. However, the underwriters are not required to take or pay for the shares covered by the underwriters’ over-allotment option described below.</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Over-Allotment Option</w:t>
      </w:r>
    </w:p>
    <w:p>
      <w:pPr>
        <w:spacing w:after="0" w:line="123"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We have granted the underwriters an option, exercisable for thirty days from the date of this prospectus, to purchase up to an aggregate of 300,000 additional shares of Class A common stock to cover over-allotments, if any, at the public offering price set forth on the cover page of this prospectus, less the underwriting discounts and commissions. The underwriters may exercise this option solely for the purpose of covering over-allotments, if any, made in connection with the offering of the shares offered by this prospectus. If the underwriters exercise this option, each underwriter will be obligated, subject to certain conditions, to purchase a number of additional shares proportionate to that underwriter’s initial purchase commitment as indicated in the table above for which the option has been exercised.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Commissions and Expenses</w:t>
      </w:r>
    </w:p>
    <w:p>
      <w:pPr>
        <w:spacing w:after="0" w:line="123"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The underwriters have advised us that they propose to offer the shares of Class A common stock to the public at the initial public offering price set forth on the cover page of this prospectus and to certain dealers at that price less a concession not in excess of $0.20 per share. After this offering, the initial public offering price, concession and reallowance to dealers may be changed by the representative. No such change shall change the amount of proceeds to be received by us as set forth on the cover page of this prospectus. The shares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spacing w:after="0" w:line="180"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The following table shows the underwriting discounts and commissions payable to the underwriters by us in connection with this offering (assuming both the exercise and non-exercise of the over-allotment option that we have granted to the underwriters):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Total Without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With</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4"/>
              <w:spacing w:after="0" w:line="143" w:lineRule="exact"/>
              <w:rPr>
                <w:sz w:val="20"/>
                <w:szCs w:val="20"/>
                <w:color w:val="auto"/>
              </w:rPr>
            </w:pPr>
            <w:r>
              <w:rPr>
                <w:rFonts w:ascii="Arial" w:cs="Arial" w:eastAsia="Arial" w:hAnsi="Arial"/>
                <w:sz w:val="14"/>
                <w:szCs w:val="14"/>
                <w:b w:val="1"/>
                <w:bCs w:val="1"/>
                <w:color w:val="auto"/>
                <w:w w:val="88"/>
              </w:rPr>
              <w:t>Exercise of Over-</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Exercise of Over-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Allotment Option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Allotment Option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2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5.600</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11,200,000.00</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Underwriting discounts and commissions(1)</w:t>
            </w:r>
          </w:p>
        </w:tc>
        <w:tc>
          <w:tcPr>
            <w:tcW w:w="226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0.392</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784,000.00</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901,600.00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00" w:type="dxa"/>
            <w:vAlign w:val="bottom"/>
          </w:tcPr>
          <w:p>
            <w:pPr>
              <w:jc w:val="right"/>
              <w:ind w:right="733"/>
              <w:spacing w:after="0"/>
              <w:rPr>
                <w:sz w:val="20"/>
                <w:szCs w:val="20"/>
                <w:color w:val="auto"/>
              </w:rPr>
            </w:pPr>
            <w:r>
              <w:rPr>
                <w:rFonts w:ascii="Arial" w:cs="Arial" w:eastAsia="Arial" w:hAnsi="Arial"/>
                <w:sz w:val="17"/>
                <w:szCs w:val="17"/>
                <w:color w:val="auto"/>
              </w:rPr>
              <w:t>141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8" w:right="25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hanging="456"/>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Does not include a warrant to purchase 80,000 shares of Class A common stock to be issued to the underwriters.</w:t>
      </w:r>
    </w:p>
    <w:p>
      <w:pPr>
        <w:spacing w:after="0" w:line="222"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In addition, we have agreed to pay a placement fee of 3.5% of the gross proceeds of the concurrent private placement to the placement agents, who are the same firms as are serving as underwriters of the offering made hereby.</w:t>
      </w:r>
    </w:p>
    <w:p>
      <w:pPr>
        <w:spacing w:after="0" w:line="158"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We estimate that expenses payable by us in connection with this offering, other than the underwriting discounts and commissions referred to above, will be approximately $2.3 million. We have agreed to reimburse the underwriters at closing for (a) all reasonable attorneys’ fees and expenses not to exceed $100,000 and</w:t>
      </w:r>
    </w:p>
    <w:p>
      <w:pPr>
        <w:spacing w:after="0" w:line="1" w:lineRule="exact"/>
        <w:rPr>
          <w:sz w:val="20"/>
          <w:szCs w:val="20"/>
          <w:color w:val="auto"/>
        </w:rPr>
      </w:pPr>
    </w:p>
    <w:p>
      <w:pPr>
        <w:ind w:right="80" w:firstLine="4"/>
        <w:spacing w:after="0" w:line="272" w:lineRule="auto"/>
        <w:tabs>
          <w:tab w:leader="none" w:pos="24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for expenses of the underwriters (including fees of their counsel) relating to clearance of this offering with the Financial Regulatory Authority, Inc., or FINRA, up to $35,000.</w:t>
      </w:r>
    </w:p>
    <w:p>
      <w:pPr>
        <w:spacing w:after="0" w:line="170"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In addition, we have agreed to issue a warrant to the underwriters to purchase 80,000 shares of Class A common stock. The warrant will be exercisable upon issuance, will have an exercise price equal to $6.16 and will terminate on November 2, 2022. The warrant and the underlying shares of Class A common stock have been deemed compensation by FINRA and are therefore subject to FINRA Rule 5110(g)(1). In accordance with FINRA Rule 5110(g)(1), neither the warrant nor any of our shares issued upon exercise of the warrant may be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or commencement of sales of the offering pursuant to which the warrant is being issued, subject to certain exceptions.</w:t>
      </w:r>
    </w:p>
    <w:p>
      <w:pPr>
        <w:spacing w:after="0" w:line="153"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color w:val="auto"/>
        </w:rPr>
        <w:t>We have also agreed to give Roth Capital Partners, LLC a right of first refusal to act as our lead underwriter or lead financial advisor or placement agent in any subsequent equity or equity-related financing for six months following the date of this prospectus.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123"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our officers and directors and holders of substantially all of our capital stock have agreed, subject to certain exceptions, for a period of 180 days after the date of the underwriting agreement, not to offer, sell, contract to sell, pledge, grant any option to purchase, make any short sale or otherwise dispose of, directly or indirectly any shares of common stock or any option, warrant, right or other security exercisable or exchangeable for, convertible into or otherwise giving the holder thereof the right to obtain shares of common stock, except with the prior written consent of the representative. This agreement does not apply to any existing employee benefit plans.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123"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In connection with the offering the underwriters may engage in stabilizing transactions, over-allotment transactions, syndicate covering transactions and penalty bids in accordance with Regulation M under the Securities Exchange Act:</w:t>
      </w:r>
    </w:p>
    <w:p>
      <w:pPr>
        <w:spacing w:after="0" w:line="67" w:lineRule="exact"/>
        <w:rPr>
          <w:sz w:val="20"/>
          <w:szCs w:val="20"/>
          <w:color w:val="auto"/>
        </w:rPr>
      </w:pPr>
    </w:p>
    <w:p>
      <w:pPr>
        <w:ind w:left="900" w:hanging="439"/>
        <w:spacing w:after="0"/>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56"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142</w:t>
      </w:r>
    </w:p>
    <w:p>
      <w:pPr>
        <w:sectPr>
          <w:pgSz w:w="11900" w:h="16838" w:orient="portrait"/>
          <w:cols w:equalWidth="0" w:num="1">
            <w:col w:w="11380"/>
          </w:cols>
          <w:pgMar w:left="240" w:top="448" w:right="27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line="284"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71" w:lineRule="exact"/>
        <w:rPr>
          <w:rFonts w:ascii="Arial" w:cs="Arial" w:eastAsia="Arial" w:hAnsi="Arial"/>
          <w:sz w:val="16"/>
          <w:szCs w:val="16"/>
          <w:color w:val="auto"/>
        </w:rPr>
      </w:pPr>
    </w:p>
    <w:p>
      <w:pPr>
        <w:ind w:left="900" w:right="20" w:hanging="439"/>
        <w:spacing w:after="0" w:line="261"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shares of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it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9" w:lineRule="exact"/>
        <w:rPr>
          <w:rFonts w:ascii="Arial" w:cs="Arial" w:eastAsia="Arial" w:hAnsi="Arial"/>
          <w:sz w:val="17"/>
          <w:szCs w:val="17"/>
          <w:color w:val="auto"/>
        </w:rPr>
      </w:pPr>
    </w:p>
    <w:p>
      <w:pPr>
        <w:ind w:left="900" w:right="180" w:hanging="439"/>
        <w:spacing w:after="0" w:line="320"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shares of Class A common stock originally sold by the syndicate member is purchased in a stabilizing or syndicate covering transaction to cover syndicate short positions.</w:t>
      </w:r>
    </w:p>
    <w:p>
      <w:pPr>
        <w:spacing w:after="0" w:line="135"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the Class A common stock or preventing or retarding a decline in the market price of the Class A common stock. As a result, the price of the Class A common stock may be higher than the price that might otherwise exist in the open market. Neither we nor the underwriters make any representation or prediction as to the direction or magnitude of any effect that the transactions described above may have on the price of the Class A common stock. In addition, neither we nor the underwriters make any representations that the underwriters will engage in these stabilizing transactions or that any transaction, once commenced, will not be discontinued without notice.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Passive Market Making</w:t>
      </w:r>
    </w:p>
    <w:p>
      <w:pPr>
        <w:spacing w:after="0" w:line="123"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In connection with this offering, the underwriters and any selling group members may engage in passive market making transactions in the Class A common stock on the Nasdaq Stock Market in accordance with Rule 103 of Regulation M under the Securities Exchange Act, during a period before the commencement of offers or sales of Class A common stock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Class A common stock has been approved for listing on the Nasdaq Global Market under the symbol “ACMR.”</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23" w:lineRule="exact"/>
        <w:rPr>
          <w:sz w:val="20"/>
          <w:szCs w:val="20"/>
          <w:color w:val="auto"/>
        </w:rPr>
      </w:pPr>
    </w:p>
    <w:p>
      <w:pPr>
        <w:ind w:right="160" w:firstLine="457"/>
        <w:spacing w:after="0" w:line="266"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00"/>
          </w:cols>
          <w:pgMar w:left="240" w:top="447" w:right="25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compliance with the applicable rules and regulations of that jurisdiction. Outside of the United States, persons into whose possession this prospectus comes are advised to inform themselves about and to observe any restrictions imposed by any applicable laws and regulations outside of the United States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7"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This prospectus does not constitute an approved prospectus under the Prospectus Directive and no such prospectus is intended to be prepared and approved in connection with this offering. Accordingly, in relation to each Member State of the European Economic Area which has implemented the Prospectus Directive (each, a “Relevant Member State”), an offer to the public of any shares of common stock which are the subject of the offering contemplated by this prospectus may not be made in that Relevant Member State except that an offer to the public in that Relevant Member State of any shares of Class A common stock may be made at any time under the following exemptions under the Prospectus Directive, if and to the extent that they have been implemented in that Relevant Member State:</w:t>
      </w:r>
    </w:p>
    <w:p>
      <w:pPr>
        <w:spacing w:after="0" w:line="57" w:lineRule="exact"/>
        <w:rPr>
          <w:sz w:val="20"/>
          <w:szCs w:val="20"/>
          <w:color w:val="auto"/>
        </w:rPr>
      </w:pPr>
    </w:p>
    <w:p>
      <w:pPr>
        <w:ind w:left="900" w:hanging="439"/>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30"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of the underwriters for any such offer; or</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any other circumstances which do not require any person to publish a prospectus pursuant to Article 3 of the Prospectus Directive.</w:t>
      </w:r>
    </w:p>
    <w:p>
      <w:pPr>
        <w:spacing w:after="0" w:line="222"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as the expression may be varied in that Member State by any measure implementing the Prospectus Directive in that Member State, and the expression “Prospectus Directive” means Directive 2003/71/EC (and any amendments thereto including the 2010 PD Amending Directive to the extent implemented in each Relevant Member State) and includes any relevant implementing measure in each Relevant Member State and the expression “2010 PD Amending Directive” means Directive 2010/73/EU.</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Israel</w:t>
      </w:r>
    </w:p>
    <w:p>
      <w:pPr>
        <w:spacing w:after="0" w:line="11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These investors may be required to submit written confirmation that they fall within the scope of the Addendum.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Kingdom</w:t>
      </w:r>
    </w:p>
    <w:p>
      <w:pPr>
        <w:spacing w:after="0" w:line="117"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This prospectus is not an approved prospectus for purposes of the UK Prospectus Rules, as implemented under the Prospectus Directive, and has not been approved under section 21 of the UK Financial Services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420"/>
          </w:cols>
          <w:pgMar w:left="240" w:top="448" w:right="23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Markets Act 2000, as amended, or FSMA, by a person authorized under FSMA. The financial promotions contained in this prospectus are directed at, and this prospectus is only being distributed to, (a) persons who receive this prospectus outside of the United Kingdom, (b) persons in the United Kingdom who fall within the exemptions under articles 19 (investment professionals) and 49(2)(a) to (d) (high net worth companies, unincorporated associations, etc.) of the Financial Services and Markets Act 2000 (Financial Promotion) Order 2005 (the “Order”), and (c) persons in the United Kingdom who fall within the exemption under article 49(2)(e) of the Order to whom this prospectus may otherwise be lawfully distributed (all such persons together being referred to as “Relevant Persons”). This prospectus must not be acted upon or relied upon by any person who is not a Relevant Person. Any investment or investment activity to which this prospectus relates is available only to Relevant Persons and will be engaged in only with Relevant Persons. This prospectus and its contents are confidential and should not be distributed, published or reproduced (in whole or in part) or disclosed by recipients to any other person that is not a Relevant Person.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underwriter has represented, warranted and agreed that:</w:t>
      </w:r>
    </w:p>
    <w:p>
      <w:pPr>
        <w:spacing w:after="0" w:line="130" w:lineRule="exact"/>
        <w:rPr>
          <w:sz w:val="20"/>
          <w:szCs w:val="20"/>
          <w:color w:val="auto"/>
        </w:rPr>
      </w:pPr>
    </w:p>
    <w:p>
      <w:pPr>
        <w:ind w:left="900" w:right="20" w:hanging="439"/>
        <w:spacing w:after="0" w:line="271" w:lineRule="auto"/>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FSMA) in connection with the issue or sale of any of the shares of Class A common stock in circumstances in which section 21(1) of FSMA does not apply; and</w:t>
      </w:r>
    </w:p>
    <w:p>
      <w:pPr>
        <w:spacing w:after="0" w:line="80" w:lineRule="exact"/>
        <w:rPr>
          <w:rFonts w:ascii="Arial" w:cs="Arial" w:eastAsia="Arial" w:hAnsi="Arial"/>
          <w:sz w:val="17"/>
          <w:szCs w:val="17"/>
          <w:color w:val="auto"/>
        </w:rPr>
      </w:pPr>
    </w:p>
    <w:p>
      <w:pPr>
        <w:ind w:left="900" w:right="240" w:hanging="439"/>
        <w:spacing w:after="0" w:line="287" w:lineRule="auto"/>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FSMA with respect to anything done by it in relation to the shares of Class A common stock in, from or otherwise involving the United Kingdom.</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Hong Kong</w:t>
      </w:r>
    </w:p>
    <w:p>
      <w:pPr>
        <w:spacing w:after="0" w:line="117"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any shares of Class A common stock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and (2) issued or had in its possession for the purposes of issue, and will not issue or have in its possession for the purposes of issue, whether in Hong Kong or elsewhere any advertisement, invitation or document relating to the shares of Class A common stock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People’s Republic of China</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This prospectus may not be circulated or distributed in China and the Class A common stock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23"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This prospectus in electronic format may be made available on websites or through other online services maintained by one or more of the underwriters, or by their affiliates. Other than this prospectus in electronic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20"/>
          </w:cols>
          <w:pgMar w:left="240" w:top="448"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2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From time to time, certain of the underwriters and/or their affiliates have provided, and may in the future provide, various investment banking and other financial services for us for which services they have received and, may in the future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420"/>
          </w:cols>
          <w:pgMar w:left="240" w:top="448" w:right="2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The validity of the Class A common stock being offered will be passed upon for us by K&amp;L Gates LLP, Boston, Massachusetts. Certain legal matters in connection with this offering will be passed upon for the underwriters by Goodwin Procter LLP, New York, New York.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BDO China Shu Lun Pan Certified Public Accountants LLP, our independent registered public accounting firm in the PRC, has audited our consolidated financial statements at, and for the years ended, December 31, 2016 and 2015, as set forth in their report included elsewhere herein. We have included our consolidated financial statements in this prospectus and the registration statement in reliance on said firm’s report, given on their authority as experts in accounting and auditing.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Class A common stock we are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Class A common stock, we refer you to the registration statement, including the exhibits and the consolidated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7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A copy of the registration statement, including the exhibits and the consolidated financial statements and notes filed as a part of the registration statement, may be inspected without charge at the SEC’s Public Reference Room at 100 F Street, N.E., Washington, D.C. 20549, and copies of all or any part of the registration statement may be obtained from the SEC upon the payment of fees prescribed by it. You may call the SEC at 1-800-SEC-0330 for more information on the operation of the public reference facilities. The SEC maintains a website at http://www.sec.gov that contains reports, proxy and information statements and other information regarding companies, including ACM, that file electronically with it.</w:t>
      </w:r>
    </w:p>
    <w:p>
      <w:pPr>
        <w:spacing w:after="0" w:line="180"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Upon completion of this offering, we will be subject to the information reporting requirements of the Securities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www.acmrcsh.com, at which you may access these materials free of charge as soon as reasonably practicable after they are electronically filed with, or furnished to, the SEC. Information contained on our website is not incorporated by reference into this prospectus, and you should not consider information contained on our website to be part of this prospectus or in deciding whether to purchase shares of Class A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420"/>
          </w:cols>
          <w:pgMar w:left="240" w:top="448"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80" w:type="dxa"/>
            <w:vAlign w:val="bottom"/>
            <w:gridSpan w:val="4"/>
            <w:vMerge w:val="restart"/>
          </w:tcPr>
          <w:p>
            <w:pPr>
              <w:spacing w:after="0"/>
              <w:rPr>
                <w:rFonts w:ascii="Arial" w:cs="Arial" w:eastAsia="Arial" w:hAnsi="Arial"/>
                <w:sz w:val="17"/>
                <w:szCs w:val="17"/>
                <w:color w:val="0000EE"/>
                <w:w w:val="93"/>
              </w:rPr>
            </w:pPr>
            <w:hyperlink w:anchor="page151">
              <w:r>
                <w:rPr>
                  <w:rFonts w:ascii="Arial" w:cs="Arial" w:eastAsia="Arial" w:hAnsi="Arial"/>
                  <w:sz w:val="17"/>
                  <w:szCs w:val="17"/>
                  <w:color w:val="0000EE"/>
                  <w:w w:val="93"/>
                </w:rPr>
                <w:t>Report of Independent Registered Public Accounting Firm</w:t>
              </w:r>
            </w:hyperlink>
          </w:p>
        </w:tc>
        <w:tc>
          <w:tcPr>
            <w:tcW w:w="7000" w:type="dxa"/>
            <w:vAlign w:val="bottom"/>
            <w:gridSpan w:val="6"/>
            <w:vMerge w:val="restart"/>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0000EE"/>
            </w:tcBorders>
            <w:gridSpan w:val="4"/>
            <w:vMerge w:val="continue"/>
          </w:tcPr>
          <w:p>
            <w:pPr>
              <w:spacing w:after="0"/>
              <w:rPr>
                <w:sz w:val="14"/>
                <w:szCs w:val="14"/>
                <w:color w:val="auto"/>
              </w:rPr>
            </w:pPr>
          </w:p>
        </w:tc>
        <w:tc>
          <w:tcPr>
            <w:tcW w:w="7000" w:type="dxa"/>
            <w:vAlign w:val="bottom"/>
            <w:gridSpan w:val="6"/>
            <w:vMerge w:val="continue"/>
          </w:tcPr>
          <w:p>
            <w:pPr>
              <w:spacing w:after="0"/>
              <w:rPr>
                <w:sz w:val="14"/>
                <w:szCs w:val="14"/>
                <w:color w:val="auto"/>
              </w:rPr>
            </w:pPr>
          </w:p>
        </w:tc>
        <w:tc>
          <w:tcPr>
            <w:tcW w:w="300" w:type="dxa"/>
            <w:vAlign w:val="bottom"/>
            <w:tcBorders>
              <w:top w:val="single" w:sz="8" w:color="auto"/>
            </w:tcBorders>
          </w:tcPr>
          <w:p>
            <w:pPr>
              <w:ind w:left="60"/>
              <w:spacing w:after="0" w:line="163" w:lineRule="exact"/>
              <w:rPr>
                <w:sz w:val="20"/>
                <w:szCs w:val="20"/>
                <w:color w:val="auto"/>
              </w:rPr>
            </w:pPr>
            <w:r>
              <w:rPr>
                <w:rFonts w:ascii="Arial" w:cs="Arial" w:eastAsia="Arial" w:hAnsi="Arial"/>
                <w:sz w:val="17"/>
                <w:szCs w:val="17"/>
                <w:color w:val="auto"/>
                <w:w w:val="86"/>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rPr>
            </w:pPr>
            <w:hyperlink w:anchor="page152">
              <w:r>
                <w:rPr>
                  <w:rFonts w:ascii="Arial" w:cs="Arial" w:eastAsia="Arial" w:hAnsi="Arial"/>
                  <w:sz w:val="17"/>
                  <w:szCs w:val="17"/>
                  <w:color w:val="0000EE"/>
                </w:rPr>
                <w:t>Consolidated Balance Sheets as of June 30, 2017 (unaudited) and December 31, 2016 and 2015</w:t>
              </w:r>
            </w:hyperlink>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w w:val="96"/>
              </w:rPr>
            </w:pPr>
            <w:hyperlink w:anchor="page153">
              <w:r>
                <w:rPr>
                  <w:rFonts w:ascii="Arial" w:cs="Arial" w:eastAsia="Arial" w:hAnsi="Arial"/>
                  <w:sz w:val="17"/>
                  <w:szCs w:val="17"/>
                  <w:color w:val="0000EE"/>
                  <w:w w:val="96"/>
                </w:rPr>
                <w:t>Consolidated Statements of Operations and Comprehensive Income (Loss) for the Six Months Ended June 30, 2017 and 2016 (unaudited) and the Years</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254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0"/>
              </w:rPr>
            </w:pPr>
            <w:hyperlink w:anchor="page153">
              <w:r>
                <w:rPr>
                  <w:rFonts w:ascii="Arial" w:cs="Arial" w:eastAsia="Arial" w:hAnsi="Arial"/>
                  <w:sz w:val="17"/>
                  <w:szCs w:val="17"/>
                  <w:color w:val="0000EE"/>
                  <w:w w:val="90"/>
                </w:rPr>
                <w:t>Ended December 31, 2016 and 2015</w:t>
              </w:r>
            </w:hyperlink>
          </w:p>
        </w:tc>
        <w:tc>
          <w:tcPr>
            <w:tcW w:w="7840" w:type="dxa"/>
            <w:vAlign w:val="bottom"/>
            <w:tcBorders>
              <w:top w:val="single" w:sz="8" w:color="0000EE"/>
            </w:tcBorders>
            <w:gridSpan w:val="6"/>
          </w:tcPr>
          <w:p>
            <w:pPr>
              <w:spacing w:after="0"/>
              <w:rPr>
                <w:sz w:val="16"/>
                <w:szCs w:val="16"/>
                <w:color w:val="auto"/>
              </w:rPr>
            </w:pPr>
          </w:p>
        </w:tc>
        <w:tc>
          <w:tcPr>
            <w:tcW w:w="520" w:type="dxa"/>
            <w:vAlign w:val="bottom"/>
            <w:gridSpan w:val="2"/>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F-4</w:t>
            </w:r>
          </w:p>
        </w:tc>
        <w:tc>
          <w:tcPr>
            <w:tcW w:w="0" w:type="dxa"/>
            <w:vAlign w:val="bottom"/>
          </w:tcPr>
          <w:p>
            <w:pPr>
              <w:spacing w:after="0"/>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w w:val="97"/>
              </w:rPr>
            </w:pPr>
            <w:hyperlink w:anchor="page154">
              <w:r>
                <w:rPr>
                  <w:rFonts w:ascii="Arial" w:cs="Arial" w:eastAsia="Arial" w:hAnsi="Arial"/>
                  <w:sz w:val="17"/>
                  <w:szCs w:val="17"/>
                  <w:color w:val="0000EE"/>
                  <w:w w:val="97"/>
                </w:rPr>
                <w:t>Consolidated Statements of Changes in Redeemable Convertible Preferred Stock and Stockholders’ Equity (Deficit) for the Six Months Ended June 30,</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476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0"/>
              </w:rPr>
            </w:pPr>
            <w:hyperlink w:anchor="page154">
              <w:r>
                <w:rPr>
                  <w:rFonts w:ascii="Arial" w:cs="Arial" w:eastAsia="Arial" w:hAnsi="Arial"/>
                  <w:sz w:val="17"/>
                  <w:szCs w:val="17"/>
                  <w:color w:val="0000EE"/>
                  <w:w w:val="90"/>
                </w:rPr>
                <w:t>2017 (unaudited) and the Years Ended December 31, 2016 and 2015</w:t>
              </w:r>
            </w:hyperlink>
          </w:p>
        </w:tc>
        <w:tc>
          <w:tcPr>
            <w:tcW w:w="5600" w:type="dxa"/>
            <w:vAlign w:val="bottom"/>
            <w:tcBorders>
              <w:top w:val="single" w:sz="8" w:color="0000EE"/>
            </w:tcBorders>
            <w:gridSpan w:val="2"/>
          </w:tcPr>
          <w:p>
            <w:pPr>
              <w:spacing w:after="0"/>
              <w:rPr>
                <w:sz w:val="16"/>
                <w:szCs w:val="16"/>
                <w:color w:val="auto"/>
              </w:rPr>
            </w:pPr>
          </w:p>
        </w:tc>
        <w:tc>
          <w:tcPr>
            <w:tcW w:w="540" w:type="dxa"/>
            <w:vAlign w:val="bottom"/>
            <w:gridSpan w:val="3"/>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F-5</w:t>
            </w:r>
          </w:p>
        </w:tc>
        <w:tc>
          <w:tcPr>
            <w:tcW w:w="0" w:type="dxa"/>
            <w:vAlign w:val="bottom"/>
          </w:tcPr>
          <w:p>
            <w:pPr>
              <w:spacing w:after="0"/>
              <w:rPr>
                <w:sz w:val="1"/>
                <w:szCs w:val="1"/>
                <w:color w:val="auto"/>
              </w:rPr>
            </w:pPr>
          </w:p>
        </w:tc>
      </w:tr>
      <w:tr>
        <w:trPr>
          <w:trHeight w:val="189"/>
        </w:trPr>
        <w:tc>
          <w:tcPr>
            <w:tcW w:w="10720" w:type="dxa"/>
            <w:vAlign w:val="bottom"/>
            <w:tcBorders>
              <w:bottom w:val="single" w:sz="8" w:color="0000EE"/>
            </w:tcBorders>
            <w:gridSpan w:val="9"/>
          </w:tcPr>
          <w:p>
            <w:pPr>
              <w:spacing w:after="0" w:line="189" w:lineRule="exact"/>
              <w:rPr>
                <w:rFonts w:ascii="Arial" w:cs="Arial" w:eastAsia="Arial" w:hAnsi="Arial"/>
                <w:sz w:val="17"/>
                <w:szCs w:val="17"/>
                <w:color w:val="0000EE"/>
                <w:w w:val="91"/>
              </w:rPr>
            </w:pPr>
            <w:hyperlink w:anchor="page155">
              <w:r>
                <w:rPr>
                  <w:rFonts w:ascii="Arial" w:cs="Arial" w:eastAsia="Arial" w:hAnsi="Arial"/>
                  <w:sz w:val="17"/>
                  <w:szCs w:val="17"/>
                  <w:color w:val="0000EE"/>
                  <w:w w:val="91"/>
                </w:rPr>
                <w:t>Consolidated Statements of Cash Flows for the Six Months Ended June 30, 2017 and 2016 (unaudited) and the Years Ended December 31, 2016 and 2015</w:t>
              </w:r>
            </w:hyperlink>
          </w:p>
        </w:tc>
        <w:tc>
          <w:tcPr>
            <w:tcW w:w="360" w:type="dxa"/>
            <w:vAlign w:val="bottom"/>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F-6</w:t>
            </w:r>
          </w:p>
        </w:tc>
        <w:tc>
          <w:tcPr>
            <w:tcW w:w="0" w:type="dxa"/>
            <w:vAlign w:val="bottom"/>
          </w:tcPr>
          <w:p>
            <w:pPr>
              <w:spacing w:after="0"/>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rPr>
            </w:pPr>
            <w:hyperlink w:anchor="page156">
              <w:r>
                <w:rPr>
                  <w:rFonts w:ascii="Arial" w:cs="Arial" w:eastAsia="Arial" w:hAnsi="Arial"/>
                  <w:sz w:val="17"/>
                  <w:szCs w:val="17"/>
                  <w:color w:val="0000EE"/>
                </w:rPr>
                <w:t>Notes to Consolidated Financial Statements</w:t>
              </w:r>
            </w:hyperlink>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F-7</w:t>
            </w:r>
          </w:p>
        </w:tc>
        <w:tc>
          <w:tcPr>
            <w:tcW w:w="0" w:type="dxa"/>
            <w:vAlign w:val="bottom"/>
          </w:tcPr>
          <w:p>
            <w:pPr>
              <w:spacing w:after="0"/>
              <w:rPr>
                <w:sz w:val="1"/>
                <w:szCs w:val="1"/>
                <w:color w:val="auto"/>
              </w:rPr>
            </w:pPr>
          </w:p>
        </w:tc>
      </w:tr>
      <w:tr>
        <w:trPr>
          <w:trHeight w:val="371"/>
        </w:trPr>
        <w:tc>
          <w:tcPr>
            <w:tcW w:w="180" w:type="dxa"/>
            <w:vAlign w:val="bottom"/>
            <w:tcBorders>
              <w:top w:val="single" w:sz="8" w:color="0000EE"/>
            </w:tcBorders>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40" w:type="dxa"/>
            <w:vAlign w:val="bottom"/>
            <w:gridSpan w:val="5"/>
          </w:tcPr>
          <w:p>
            <w:pPr>
              <w:ind w:left="660"/>
              <w:spacing w:after="0"/>
              <w:rPr>
                <w:sz w:val="20"/>
                <w:szCs w:val="20"/>
                <w:color w:val="auto"/>
              </w:rPr>
            </w:pPr>
            <w:r>
              <w:rPr>
                <w:rFonts w:ascii="Arial" w:cs="Arial" w:eastAsia="Arial" w:hAnsi="Arial"/>
                <w:sz w:val="17"/>
                <w:szCs w:val="17"/>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8" w:right="27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w:t>
      </w:r>
    </w:p>
    <w:p>
      <w:pPr>
        <w:spacing w:after="0" w:line="20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have audited the accompanying consolidated balance sheets of ACM Research, Inc. and its subsidiaries (the “Company”) as of December 31, 2016 and 2015, and the related consolidated statements of operations and comprehensive income, changes in redeemable convertible preferred stock and stockholders’ equity (deficit), and cash flows for the years then ended. These consolidated financial statements are the responsibility of the Company’s management. Our responsibility is to express an opinion on these consolidated financial statements based on our audit.</w:t>
      </w:r>
    </w:p>
    <w:p>
      <w:pPr>
        <w:spacing w:after="0" w:line="17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at December 31, 2016 and 2015, and the results of its operations and its cash flows for the years then ended, in conformity with accounting principles generally accepted in the United States of America.</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BDO China Shu Lun Pan Certified Public Accountants LLP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Shenzhen, the People’s Republic of China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2017</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448" w:right="25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restart"/>
          </w:tcPr>
          <w:p>
            <w:pPr>
              <w:jc w:val="center"/>
              <w:ind w:right="260"/>
              <w:spacing w:after="0"/>
              <w:rPr>
                <w:sz w:val="20"/>
                <w:szCs w:val="20"/>
                <w:color w:val="auto"/>
              </w:rPr>
            </w:pPr>
            <w:r>
              <w:rPr>
                <w:rFonts w:ascii="Arial" w:cs="Arial" w:eastAsia="Arial" w:hAnsi="Arial"/>
                <w:sz w:val="12"/>
                <w:szCs w:val="12"/>
                <w:b w:val="1"/>
                <w:bCs w:val="1"/>
                <w:color w:val="auto"/>
                <w:w w:val="89"/>
              </w:rPr>
              <w:t>December 31,</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3"/>
            <w:vMerge w:val="restart"/>
          </w:tcPr>
          <w:p>
            <w:pPr>
              <w:jc w:val="right"/>
              <w:ind w:right="199"/>
              <w:spacing w:after="0" w:line="130" w:lineRule="exact"/>
              <w:rPr>
                <w:sz w:val="20"/>
                <w:szCs w:val="20"/>
                <w:color w:val="auto"/>
              </w:rPr>
            </w:pPr>
            <w:r>
              <w:rPr>
                <w:rFonts w:ascii="Arial" w:cs="Arial" w:eastAsia="Arial" w:hAnsi="Arial"/>
                <w:sz w:val="12"/>
                <w:szCs w:val="12"/>
                <w:b w:val="1"/>
                <w:bCs w:val="1"/>
                <w:color w:val="auto"/>
                <w:w w:val="87"/>
              </w:rPr>
              <w:t>June 30,</w:t>
            </w:r>
          </w:p>
        </w:tc>
        <w:tc>
          <w:tcPr>
            <w:tcW w:w="60" w:type="dxa"/>
            <w:vAlign w:val="bottom"/>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gridSpan w:val="2"/>
            <w:vMerge w:val="restart"/>
          </w:tcPr>
          <w:p>
            <w:pPr>
              <w:jc w:val="right"/>
              <w:ind w:right="140"/>
              <w:spacing w:after="0" w:line="130" w:lineRule="exact"/>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2017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w w:val="89"/>
              </w:rPr>
              <w:t>2016</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w w:val="89"/>
              </w:rPr>
              <w:t>2015</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5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2"/>
              </w:rPr>
              <w:t>(unaudited)</w:t>
            </w:r>
          </w:p>
        </w:tc>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88"/>
              </w:rPr>
              <w:t>(unaudited)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7"/>
          </w:tcPr>
          <w:p>
            <w:pPr>
              <w:jc w:val="center"/>
              <w:ind w:right="20"/>
              <w:spacing w:after="0" w:line="130" w:lineRule="exact"/>
              <w:rPr>
                <w:sz w:val="20"/>
                <w:szCs w:val="20"/>
                <w:color w:val="auto"/>
              </w:rPr>
            </w:pPr>
            <w:r>
              <w:rPr>
                <w:rFonts w:ascii="Arial" w:cs="Arial" w:eastAsia="Arial" w:hAnsi="Arial"/>
                <w:sz w:val="12"/>
                <w:szCs w:val="12"/>
                <w:i w:val="1"/>
                <w:iCs w:val="1"/>
                <w:color w:val="auto"/>
                <w:w w:val="89"/>
              </w:rPr>
              <w:t>(in thousands, except share</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6"/>
          </w:tcPr>
          <w:p>
            <w:pPr>
              <w:jc w:val="center"/>
              <w:ind w:right="180"/>
              <w:spacing w:after="0"/>
              <w:rPr>
                <w:sz w:val="20"/>
                <w:szCs w:val="20"/>
                <w:color w:val="auto"/>
              </w:rPr>
            </w:pPr>
            <w:r>
              <w:rPr>
                <w:rFonts w:ascii="Arial" w:cs="Arial" w:eastAsia="Arial" w:hAnsi="Arial"/>
                <w:sz w:val="12"/>
                <w:szCs w:val="12"/>
                <w:i w:val="1"/>
                <w:iCs w:val="1"/>
                <w:color w:val="auto"/>
                <w:w w:val="91"/>
              </w:rPr>
              <w:t>and per share data)</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80" w:type="dxa"/>
            <w:vAlign w:val="bottom"/>
            <w:shd w:val="clear" w:color="auto" w:fill="CCEEFF"/>
          </w:tcPr>
          <w:p>
            <w:pPr>
              <w:ind w:left="4160"/>
              <w:spacing w:after="0" w:line="132"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13,206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10,119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4,401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13,206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w w:val="96"/>
              </w:rPr>
              <w:t>Accounts receivable, less allowance for doubtful accounts of $0 (unaudited), $0 and $116 as of June 30, 2017 and December 31, 2016 and 2015, respectively (note 3)</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12,310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w w:val="87"/>
              </w:rPr>
              <w:t>16,026</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w w:val="92"/>
              </w:rPr>
              <w:t>12,070</w:t>
            </w: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12,310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Other receivables</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2,220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1,763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1,224</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2,220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Inventory (note 4)</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14,106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w w:val="87"/>
              </w:rPr>
              <w:t>11,666</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9,146</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14,106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Prepaid expenses</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1,382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720</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1,100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1,382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Other current assets</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816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53</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7</w:t>
            </w: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816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current assets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44,040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40,347</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w w:val="92"/>
              </w:rPr>
              <w:t>27,948</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44,040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Property, plant and equipment, net (note 5)</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2,233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2,262</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1,770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2,233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Intangible assets, net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41</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Deferred tax assets (note 17)</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1,123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1,841</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2,432</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1,123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assets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47,437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44,467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w w:val="92"/>
              </w:rPr>
              <w:t>32,151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47,437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60"/>
              <w:spacing w:after="0"/>
              <w:rPr>
                <w:sz w:val="20"/>
                <w:szCs w:val="20"/>
                <w:color w:val="auto"/>
              </w:rPr>
            </w:pPr>
            <w:r>
              <w:rPr>
                <w:rFonts w:ascii="Arial" w:cs="Arial" w:eastAsia="Arial" w:hAnsi="Arial"/>
                <w:sz w:val="12"/>
                <w:szCs w:val="12"/>
                <w:b w:val="1"/>
                <w:bCs w:val="1"/>
                <w:color w:val="auto"/>
              </w:rPr>
              <w:t>Liabilities, Redeemable Convertible Preferred Stock and Stockholders’ Equity (Deficit)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Short-term borrowings (note 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4,584</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4,761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6,854</w:t>
            </w:r>
          </w:p>
        </w:tc>
        <w:tc>
          <w:tcPr>
            <w:tcW w:w="2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4,584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w w:val="98"/>
              </w:rPr>
              <w:t>Notes payable (including related-party notes of $4 (unaudited), $4 and $768 as of June 30, 2017 and December 31, 2016 and 2015, respectively (note 12)) (note 8)</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2,837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Investors’ deposits (note 9)</w:t>
            </w:r>
          </w:p>
        </w:tc>
        <w:tc>
          <w:tcPr>
            <w:tcW w:w="60" w:type="dxa"/>
            <w:vAlign w:val="bottom"/>
          </w:tcPr>
          <w:p>
            <w:pPr>
              <w:spacing w:after="0"/>
              <w:rPr>
                <w:sz w:val="11"/>
                <w:szCs w:val="11"/>
                <w:color w:val="auto"/>
              </w:rPr>
            </w:pPr>
          </w:p>
        </w:tc>
        <w:tc>
          <w:tcPr>
            <w:tcW w:w="700" w:type="dxa"/>
            <w:vAlign w:val="bottom"/>
            <w:gridSpan w:val="3"/>
          </w:tcPr>
          <w:p>
            <w:pPr>
              <w:jc w:val="right"/>
              <w:ind w:right="179"/>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2,902</w:t>
            </w:r>
          </w:p>
        </w:tc>
        <w:tc>
          <w:tcPr>
            <w:tcW w:w="80" w:type="dxa"/>
            <w:vAlign w:val="bottom"/>
          </w:tcPr>
          <w:p>
            <w:pPr>
              <w:spacing w:after="0"/>
              <w:rPr>
                <w:sz w:val="11"/>
                <w:szCs w:val="11"/>
                <w:color w:val="auto"/>
              </w:rPr>
            </w:pPr>
          </w:p>
        </w:tc>
        <w:tc>
          <w:tcPr>
            <w:tcW w:w="560" w:type="dxa"/>
            <w:vAlign w:val="bottom"/>
            <w:gridSpan w:val="2"/>
          </w:tcPr>
          <w:p>
            <w:pPr>
              <w:jc w:val="right"/>
              <w:ind w:right="26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Warrant liability (note 10)</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2,970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2,970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Accounts payable</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8,225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5,173</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2,094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8,225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Advances from customers</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79"/>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215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4,635</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Income taxes payable</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44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44</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44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Other payables and accrued expenses (including amounts due to a related-party of $1,982 (unaudited), $1,883 and $2,070 as of June 30, 2017 and December 31, 2016 and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2015, respectively (note 12)) (note 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4,773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3,963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80" w:type="dxa"/>
            <w:vAlign w:val="bottom"/>
          </w:tcPr>
          <w:p>
            <w:pPr>
              <w:ind w:left="480"/>
              <w:spacing w:after="0" w:line="137" w:lineRule="exact"/>
              <w:rPr>
                <w:sz w:val="20"/>
                <w:szCs w:val="20"/>
                <w:color w:val="auto"/>
              </w:rPr>
            </w:pPr>
            <w:r>
              <w:rPr>
                <w:rFonts w:ascii="Arial" w:cs="Arial" w:eastAsia="Arial" w:hAnsi="Arial"/>
                <w:sz w:val="12"/>
                <w:szCs w:val="12"/>
                <w:b w:val="1"/>
                <w:bCs w:val="1"/>
                <w:color w:val="auto"/>
              </w:rPr>
              <w:t>Total current liabilities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20,607</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17,069</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w w:val="92"/>
              </w:rPr>
              <w:t>20,567</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20,607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Other long-term liabilities (note 11)</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7,276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6,879</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7,187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7,276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780" w:type="dxa"/>
            <w:vAlign w:val="bottom"/>
          </w:tcPr>
          <w:p>
            <w:pPr>
              <w:ind w:left="480"/>
              <w:spacing w:after="0" w:line="137" w:lineRule="exact"/>
              <w:rPr>
                <w:sz w:val="20"/>
                <w:szCs w:val="20"/>
                <w:color w:val="auto"/>
              </w:rPr>
            </w:pPr>
            <w:r>
              <w:rPr>
                <w:rFonts w:ascii="Arial" w:cs="Arial" w:eastAsia="Arial" w:hAnsi="Arial"/>
                <w:sz w:val="12"/>
                <w:szCs w:val="12"/>
                <w:b w:val="1"/>
                <w:bCs w:val="1"/>
                <w:color w:val="auto"/>
              </w:rPr>
              <w:t>Total liabilities</w:t>
            </w: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27,883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23,948</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92"/>
              </w:rPr>
              <w:t>27,754</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27,883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Commitments and contingencies (Note 18)</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Redeemable convertible preferred stock, with par value $0.0001 as of June 30, 2017 and December 31, 2016 and without par value as of December 31, 2015:</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Series A: 385,000 shares authorized, issued and outstanding as of June 30, 2017 (unaudited) and December 31, 2016 and 2015 (liquidation value of $308 at June 30, 2017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(unaudited) and December 31, 2016 and 2015); and no shares authorized, issued or outstanding pro forma as of June 30, 2017 (unaudited)</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288</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4"/>
              </w:rPr>
              <w:t>Series B: 1,572,000 shares authorized, issued and outstanding as of June 30, 2017 (unaudited) and December 31, 2016 and 2015 (liquidation value of $1,572 at June 30,</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2017 (unaudited) and December 31, 2016 and 2015) and no shares authorized, issued or outstanding pro forma as of June 30, 2017 (unaudited)</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1,572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1,572</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1,572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7"/>
              </w:rPr>
              <w:t>Series C: 1,360,962 shares authorized, issued and outstanding as of June 30, 2017 (unaudited) and December 31, 2016 (liquidation value of $2,041 at June 30, 2017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340"/>
              <w:spacing w:after="0" w:line="130" w:lineRule="exact"/>
              <w:rPr>
                <w:sz w:val="20"/>
                <w:szCs w:val="20"/>
                <w:color w:val="auto"/>
              </w:rPr>
            </w:pPr>
            <w:r>
              <w:rPr>
                <w:rFonts w:ascii="Arial" w:cs="Arial" w:eastAsia="Arial" w:hAnsi="Arial"/>
                <w:sz w:val="12"/>
                <w:szCs w:val="12"/>
                <w:color w:val="auto"/>
                <w:w w:val="94"/>
              </w:rPr>
              <w:t>(unaudited) and December 31, 2016); 1,400,000 shares authorized and 1,360,962 shares issued and outstanding as of December 31, 2015 (liquidation value of $2,041);</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and no shares authorized, issued or outstanding, pro forma as of June 30, 2017 (unaudited)</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2,041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2,041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3"/>
              </w:rPr>
              <w:t>Series D: 2,659,975 shares authorized and 1,326,642 shares issued and outstanding as of June 30, 2017 (unaudited) and December 31, 2016 (liquidation value of $4,975 at</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340"/>
              <w:spacing w:after="0" w:line="130" w:lineRule="exact"/>
              <w:rPr>
                <w:sz w:val="20"/>
                <w:szCs w:val="20"/>
                <w:color w:val="auto"/>
              </w:rPr>
            </w:pPr>
            <w:r>
              <w:rPr>
                <w:rFonts w:ascii="Arial" w:cs="Arial" w:eastAsia="Arial" w:hAnsi="Arial"/>
                <w:sz w:val="12"/>
                <w:szCs w:val="12"/>
                <w:color w:val="auto"/>
                <w:w w:val="92"/>
              </w:rPr>
              <w:t>June 30, 2017 (unaudited) and December 31, 2016); 4,800,000 shares authorized and 1,326,642 shares issued and outstanding as of December 31, 2015 (liquidation value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of $4,975); and no shares authorized, issued or outstanding, pro forma as of June 30, 2017 (unaudited)</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4,975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4,975</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4,975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Series E: 10,718,530 shares authorized and no shares issued or outstanding as of June 30, 2017 (unaudited) and December 31, 2016; and no shares authorized, issued or</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outstanding as of December 31, 2015 and pro forma as of June 30, 2017 (unaudited)</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3"/>
              </w:rPr>
              <w:t>Series F: 6,000,000 shares authorized and 3,663,254 shares issued and outstanding as of June 30, 2017 (unaudited) and December 31, 2016 (liquidation value of $9,158 at</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340"/>
              <w:spacing w:after="0" w:line="130" w:lineRule="exact"/>
              <w:rPr>
                <w:sz w:val="20"/>
                <w:szCs w:val="20"/>
                <w:color w:val="auto"/>
              </w:rPr>
            </w:pPr>
            <w:r>
              <w:rPr>
                <w:rFonts w:ascii="Arial" w:cs="Arial" w:eastAsia="Arial" w:hAnsi="Arial"/>
                <w:sz w:val="12"/>
                <w:szCs w:val="12"/>
                <w:color w:val="auto"/>
                <w:w w:val="97"/>
              </w:rPr>
              <w:t>June 30, 2017 (unaudited) and December 31, 2016); and no shares authorized, issued or outstanding as of December 31, 2015 and pro forma as of June 30, 2017</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(unaudited)</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9,158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9,158</w:t>
            </w:r>
          </w:p>
        </w:tc>
        <w:tc>
          <w:tcPr>
            <w:tcW w:w="8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redeemable convertible preferred stock (note 15)</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18,034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18,034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8,876</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8800" w:type="dxa"/>
            <w:vAlign w:val="bottom"/>
            <w:gridSpan w:val="2"/>
          </w:tcPr>
          <w:p>
            <w:pPr>
              <w:spacing w:after="0"/>
              <w:rPr>
                <w:sz w:val="20"/>
                <w:szCs w:val="20"/>
                <w:color w:val="auto"/>
              </w:rPr>
            </w:pPr>
            <w:r>
              <w:rPr>
                <w:rFonts w:ascii="Arial" w:cs="Arial" w:eastAsia="Arial" w:hAnsi="Arial"/>
                <w:sz w:val="12"/>
                <w:szCs w:val="12"/>
                <w:b w:val="1"/>
                <w:bCs w:val="1"/>
                <w:color w:val="auto"/>
              </w:rPr>
              <w:t>Stockholders’ equity (deficit):</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8" w:lineRule="exact"/>
              <w:rPr>
                <w:sz w:val="20"/>
                <w:szCs w:val="20"/>
                <w:color w:val="auto"/>
              </w:rPr>
            </w:pPr>
            <w:r>
              <w:rPr>
                <w:rFonts w:ascii="Arial" w:cs="Arial" w:eastAsia="Arial" w:hAnsi="Arial"/>
                <w:sz w:val="12"/>
                <w:szCs w:val="12"/>
                <w:color w:val="auto"/>
                <w:w w:val="99"/>
              </w:rPr>
              <w:t>Common stock (before redomestication), without par value: no shares authorized, issued or outstanding as of June 30, 2017 (unaudited) and December 31, 2016;</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340"/>
              <w:spacing w:after="0" w:line="130" w:lineRule="exact"/>
              <w:rPr>
                <w:sz w:val="20"/>
                <w:szCs w:val="20"/>
                <w:color w:val="auto"/>
              </w:rPr>
            </w:pPr>
            <w:r>
              <w:rPr>
                <w:rFonts w:ascii="Arial" w:cs="Arial" w:eastAsia="Arial" w:hAnsi="Arial"/>
                <w:sz w:val="12"/>
                <w:szCs w:val="12"/>
                <w:color w:val="auto"/>
                <w:w w:val="90"/>
              </w:rPr>
              <w:t>100,000,000 shares authorized and 2,047,403 shares issued and outstanding as of December 31, 2015; and no shares authorized, issued or outstanding pro forma as of June</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30, 2017 (unaudited) (note 14)</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280</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3"/>
              </w:rPr>
              <w:t>Common stock – Class A (after redomestication), with par value $0.0001: 100,000,000 shares authorized and 2,627,293 shares issued and outstanding as of June 30, 2017</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340"/>
              <w:spacing w:after="0" w:line="130" w:lineRule="exact"/>
              <w:rPr>
                <w:sz w:val="20"/>
                <w:szCs w:val="20"/>
                <w:color w:val="auto"/>
              </w:rPr>
            </w:pPr>
            <w:r>
              <w:rPr>
                <w:rFonts w:ascii="Arial" w:cs="Arial" w:eastAsia="Arial" w:hAnsi="Arial"/>
                <w:sz w:val="12"/>
                <w:szCs w:val="12"/>
                <w:color w:val="auto"/>
                <w:w w:val="95"/>
              </w:rPr>
              <w:t>(unaudited); 100,000,000 shares authorized and 2,228,740 shares issued and outstanding as of December 31, 2016; no shares authorized, issued or outstanding as of</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December 31, 2015; 100,000,000 shares authorized and 5,595,928 shares issued and outstanding pro forma as of June 30, 2017 (unaudited) (note 14)</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4"/>
              </w:rPr>
              <w:t>Common stock – Class B (after redomestication), with par value $0.0001: 7,303,533 shares authorized and 2,409,738 shares issued and outstanding as of June 30, 2017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340"/>
              <w:spacing w:after="0" w:line="130" w:lineRule="exact"/>
              <w:rPr>
                <w:sz w:val="20"/>
                <w:szCs w:val="20"/>
                <w:color w:val="auto"/>
              </w:rPr>
            </w:pPr>
            <w:r>
              <w:rPr>
                <w:rFonts w:ascii="Arial" w:cs="Arial" w:eastAsia="Arial" w:hAnsi="Arial"/>
                <w:sz w:val="12"/>
                <w:szCs w:val="12"/>
                <w:color w:val="auto"/>
                <w:w w:val="92"/>
              </w:rPr>
              <w:t>(unaudited) and December 31, 2016; no shares authorized, issued or outstanding as of December 31, 2015; and 7,303,533 shares authorized and 2,409,738 shares issued</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and outstanding pro forma as of June 30, 2017 (unaudited) (note 14)</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Additional paid in capital</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9,346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7,620</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2,243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27,380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2"/>
                <w:szCs w:val="12"/>
                <w:color w:val="auto"/>
              </w:rPr>
              <w:t>(12,390)</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w w:val="94"/>
              </w:rPr>
              <w:t>(9,643)</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w w:val="89"/>
              </w:rPr>
              <w:t>(10,675)</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auto"/>
              </w:rPr>
              <w:t>(12,390)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Accumulated other comprehensive loss</w:t>
            </w:r>
          </w:p>
        </w:tc>
        <w:tc>
          <w:tcPr>
            <w:tcW w:w="60" w:type="dxa"/>
            <w:vAlign w:val="bottom"/>
          </w:tcPr>
          <w:p>
            <w:pPr>
              <w:spacing w:after="0"/>
              <w:rPr>
                <w:sz w:val="11"/>
                <w:szCs w:val="11"/>
                <w:color w:val="auto"/>
              </w:rPr>
            </w:pPr>
          </w:p>
        </w:tc>
        <w:tc>
          <w:tcPr>
            <w:tcW w:w="700" w:type="dxa"/>
            <w:vAlign w:val="bottom"/>
            <w:gridSpan w:val="3"/>
          </w:tcPr>
          <w:p>
            <w:pPr>
              <w:jc w:val="right"/>
              <w:ind w:right="79"/>
              <w:spacing w:after="0" w:line="130" w:lineRule="exact"/>
              <w:rPr>
                <w:sz w:val="20"/>
                <w:szCs w:val="20"/>
                <w:color w:val="auto"/>
              </w:rPr>
            </w:pPr>
            <w:r>
              <w:rPr>
                <w:rFonts w:ascii="Arial" w:cs="Arial" w:eastAsia="Arial" w:hAnsi="Arial"/>
                <w:sz w:val="12"/>
                <w:szCs w:val="12"/>
                <w:color w:val="auto"/>
              </w:rPr>
              <w:t>(247)</w:t>
            </w:r>
          </w:p>
        </w:tc>
        <w:tc>
          <w:tcPr>
            <w:tcW w:w="60" w:type="dxa"/>
            <w:vAlign w:val="bottom"/>
          </w:tcPr>
          <w:p>
            <w:pPr>
              <w:spacing w:after="0"/>
              <w:rPr>
                <w:sz w:val="11"/>
                <w:szCs w:val="11"/>
                <w:color w:val="auto"/>
              </w:rPr>
            </w:pPr>
          </w:p>
        </w:tc>
        <w:tc>
          <w:tcPr>
            <w:tcW w:w="52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(413)</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(84)</w:t>
            </w:r>
          </w:p>
        </w:tc>
        <w:tc>
          <w:tcPr>
            <w:tcW w:w="60" w:type="dxa"/>
            <w:vAlign w:val="bottom"/>
          </w:tcPr>
          <w:p>
            <w:pPr>
              <w:spacing w:after="0"/>
              <w:rPr>
                <w:sz w:val="11"/>
                <w:szCs w:val="11"/>
                <w:color w:val="auto"/>
              </w:rPr>
            </w:pPr>
          </w:p>
        </w:tc>
        <w:tc>
          <w:tcPr>
            <w:tcW w:w="5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ACM Research, Inc. stockholders’ (deficit) equity</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2"/>
                <w:szCs w:val="12"/>
                <w:color w:val="auto"/>
              </w:rPr>
              <w:t>(3,289)</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w w:val="94"/>
              </w:rPr>
              <w:t>(2,434)</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(8,236)</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14,745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Non-controlling interests</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4,809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4,919</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3,757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4,809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stockholders’ equity (deficit)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1,520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2,485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(4,479)</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19,554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80" w:type="dxa"/>
            <w:vAlign w:val="bottom"/>
          </w:tcPr>
          <w:p>
            <w:pPr>
              <w:ind w:left="480"/>
              <w:spacing w:after="0" w:line="137" w:lineRule="exact"/>
              <w:rPr>
                <w:sz w:val="20"/>
                <w:szCs w:val="20"/>
                <w:color w:val="auto"/>
              </w:rPr>
            </w:pPr>
            <w:r>
              <w:rPr>
                <w:rFonts w:ascii="Arial" w:cs="Arial" w:eastAsia="Arial" w:hAnsi="Arial"/>
                <w:sz w:val="12"/>
                <w:szCs w:val="12"/>
                <w:b w:val="1"/>
                <w:bCs w:val="1"/>
                <w:color w:val="auto"/>
              </w:rPr>
              <w:t>Total liabilities, redeemable convertible preferred stock and stockholders’ equity</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47,437</w:t>
            </w: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44,467</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92"/>
              </w:rPr>
              <w:t>32,151</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47,437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8" w:right="2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4"/>
                <w:szCs w:val="14"/>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6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right"/>
              <w:ind w:right="40"/>
              <w:spacing w:after="0" w:line="118" w:lineRule="exact"/>
              <w:rPr>
                <w:sz w:val="20"/>
                <w:szCs w:val="20"/>
                <w:color w:val="auto"/>
              </w:rPr>
            </w:pPr>
            <w:r>
              <w:rPr>
                <w:rFonts w:ascii="Arial" w:cs="Arial" w:eastAsia="Arial" w:hAnsi="Arial"/>
                <w:sz w:val="13"/>
                <w:szCs w:val="13"/>
                <w:i w:val="1"/>
                <w:iCs w:val="1"/>
                <w:color w:val="auto"/>
              </w:rPr>
              <w:t>(unaudited)</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7"/>
          </w:tcPr>
          <w:p>
            <w:pPr>
              <w:jc w:val="right"/>
              <w:ind w:right="200"/>
              <w:spacing w:after="0"/>
              <w:rPr>
                <w:sz w:val="20"/>
                <w:szCs w:val="20"/>
                <w:color w:val="auto"/>
              </w:rPr>
            </w:pPr>
            <w:r>
              <w:rPr>
                <w:rFonts w:ascii="Arial" w:cs="Arial" w:eastAsia="Arial" w:hAnsi="Arial"/>
                <w:sz w:val="14"/>
                <w:szCs w:val="14"/>
                <w:i w:val="1"/>
                <w:iCs w:val="1"/>
                <w:color w:val="auto"/>
                <w:w w:val="94"/>
              </w:rPr>
              <w:t>(in thousands, except share and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14,423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8,122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27,371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8,570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5,292</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14,042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Gross profit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2,830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13,329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2,583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1,818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1,867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1,486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3,259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1,089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Total operating expenses,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4,393</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9,839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(1,563)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3,490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(343)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(1,102)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2,982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Income tax (expense) benefit (note 17)</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(749)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(595)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income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2,387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Less: Net income (loss) attributable to non-controlling interests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(208)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1,356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income (loss) attributable to ACM Research,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2,387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Foreign currency translation adjustment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Comprehensive income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Less: Comprehensive income (loss) attributable to non-controlling interests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1,161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shd w:val="clear" w:color="auto" w:fill="CCEEFF"/>
          </w:tcPr>
          <w:p>
            <w:pPr>
              <w:ind w:left="700"/>
              <w:spacing w:after="0" w:line="190" w:lineRule="exact"/>
              <w:rPr>
                <w:sz w:val="20"/>
                <w:szCs w:val="20"/>
                <w:color w:val="auto"/>
              </w:rPr>
            </w:pPr>
            <w:r>
              <w:rPr>
                <w:rFonts w:ascii="Arial" w:cs="Arial" w:eastAsia="Arial" w:hAnsi="Arial"/>
                <w:sz w:val="17"/>
                <w:szCs w:val="17"/>
                <w:b w:val="1"/>
                <w:bCs w:val="1"/>
                <w:color w:val="auto"/>
                <w:w w:val="97"/>
              </w:rPr>
              <w:t>Total comprehensive income (loss) attributable to ACM Research, Inc.</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(2,581)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880"/>
              <w:spacing w:after="0"/>
              <w:rPr>
                <w:sz w:val="20"/>
                <w:szCs w:val="20"/>
                <w:color w:val="auto"/>
              </w:rPr>
            </w:pPr>
            <w:r>
              <w:rPr>
                <w:rFonts w:ascii="Arial" w:cs="Arial" w:eastAsia="Arial" w:hAnsi="Arial"/>
                <w:sz w:val="17"/>
                <w:szCs w:val="17"/>
                <w:b w:val="1"/>
                <w:bCs w:val="1"/>
                <w:color w:val="auto"/>
              </w:rPr>
              <w:t>(note 2)</w:t>
            </w:r>
          </w:p>
        </w:tc>
        <w:tc>
          <w:tcPr>
            <w:tcW w:w="1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Net income (loss) per common share (note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(0.56)</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(0.27)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0.18</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0.97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Weighted-average common shares outstanding used in computing per share amounts</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(note 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4,927,973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2,061,339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w w:val="89"/>
              </w:rPr>
              <w:t>2,176,315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2,047,383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4,927,973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2,061,339</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89"/>
              </w:rPr>
              <w:t>3,792,137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3,144,120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Pro forma net income (loss) per common share (note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(0.35)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0.15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Pro forma weighted-average common shares outstanding used in computing per share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(note 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7,889,818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w w:val="89"/>
              </w:rPr>
              <w:t>5,137,211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7,889,818</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89"/>
              </w:rPr>
              <w:t>6,753,033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8" w:right="23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Changes in Redeemable Convertible Preferred Stock and Stockholders’ Equity (Deficit)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11"/>
          </w:tcPr>
          <w:p>
            <w:pPr>
              <w:ind w:left="100"/>
              <w:spacing w:after="0"/>
              <w:rPr>
                <w:sz w:val="20"/>
                <w:szCs w:val="20"/>
                <w:color w:val="auto"/>
              </w:rPr>
            </w:pPr>
            <w:r>
              <w:rPr>
                <w:rFonts w:ascii="Arial" w:cs="Arial" w:eastAsia="Arial" w:hAnsi="Arial"/>
                <w:sz w:val="10"/>
                <w:szCs w:val="10"/>
                <w:color w:val="auto"/>
              </w:rPr>
              <w:t>Redeemable Convertible Preferred Stock</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Common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spacing w:after="0"/>
              <w:rPr>
                <w:sz w:val="20"/>
                <w:szCs w:val="20"/>
                <w:color w:val="auto"/>
              </w:rPr>
            </w:pPr>
            <w:r>
              <w:rPr>
                <w:rFonts w:ascii="Arial" w:cs="Arial" w:eastAsia="Arial" w:hAnsi="Arial"/>
                <w:sz w:val="10"/>
                <w:szCs w:val="10"/>
                <w:color w:val="auto"/>
              </w:rPr>
              <w:t>Common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0"/>
                <w:szCs w:val="10"/>
                <w:color w:val="auto"/>
                <w:w w:val="96"/>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4"/>
            <w:vMerge w:val="restart"/>
          </w:tcPr>
          <w:p>
            <w:pPr>
              <w:jc w:val="center"/>
              <w:ind w:left="188"/>
              <w:spacing w:after="0" w:line="95" w:lineRule="exact"/>
              <w:rPr>
                <w:sz w:val="20"/>
                <w:szCs w:val="20"/>
                <w:color w:val="auto"/>
              </w:rPr>
            </w:pPr>
            <w:r>
              <w:rPr>
                <w:rFonts w:ascii="Arial" w:cs="Arial" w:eastAsia="Arial" w:hAnsi="Arial"/>
                <w:sz w:val="10"/>
                <w:szCs w:val="10"/>
                <w:color w:val="auto"/>
                <w:w w:val="93"/>
              </w:rPr>
              <w:t>Common</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vMerge w:val="restart"/>
          </w:tcPr>
          <w:p>
            <w:pPr>
              <w:jc w:val="right"/>
              <w:ind w:right="68"/>
              <w:spacing w:after="0" w:line="95" w:lineRule="exact"/>
              <w:rPr>
                <w:sz w:val="20"/>
                <w:szCs w:val="20"/>
                <w:color w:val="auto"/>
              </w:rPr>
            </w:pPr>
            <w:r>
              <w:rPr>
                <w:rFonts w:ascii="Arial" w:cs="Arial" w:eastAsia="Arial" w:hAnsi="Arial"/>
                <w:sz w:val="10"/>
                <w:szCs w:val="10"/>
                <w:color w:val="auto"/>
              </w:rPr>
              <w:t>Stock</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4"/>
            <w:vMerge w:val="restart"/>
          </w:tcPr>
          <w:p>
            <w:pPr>
              <w:jc w:val="right"/>
              <w:ind w:right="68"/>
              <w:spacing w:after="0" w:line="95" w:lineRule="exact"/>
              <w:rPr>
                <w:sz w:val="20"/>
                <w:szCs w:val="20"/>
                <w:color w:val="auto"/>
              </w:rPr>
            </w:pPr>
            <w:r>
              <w:rPr>
                <w:rFonts w:ascii="Arial" w:cs="Arial" w:eastAsia="Arial" w:hAnsi="Arial"/>
                <w:sz w:val="10"/>
                <w:szCs w:val="10"/>
                <w:color w:val="auto"/>
              </w:rPr>
              <w:t>Stock</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vMerge w:val="restart"/>
          </w:tcPr>
          <w:p>
            <w:pPr>
              <w:spacing w:after="0" w:line="95" w:lineRule="exact"/>
              <w:rPr>
                <w:sz w:val="20"/>
                <w:szCs w:val="20"/>
                <w:color w:val="auto"/>
              </w:rPr>
            </w:pPr>
            <w:r>
              <w:rPr>
                <w:rFonts w:ascii="Arial" w:cs="Arial" w:eastAsia="Arial" w:hAnsi="Arial"/>
                <w:sz w:val="10"/>
                <w:szCs w:val="10"/>
                <w:color w:val="auto"/>
              </w:rPr>
              <w:t>Additional</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restart"/>
          </w:tcPr>
          <w:p>
            <w:pPr>
              <w:jc w:val="center"/>
              <w:ind w:right="100"/>
              <w:spacing w:after="0" w:line="95" w:lineRule="exact"/>
              <w:rPr>
                <w:sz w:val="20"/>
                <w:szCs w:val="20"/>
                <w:color w:val="auto"/>
              </w:rPr>
            </w:pPr>
            <w:r>
              <w:rPr>
                <w:rFonts w:ascii="Arial" w:cs="Arial" w:eastAsia="Arial" w:hAnsi="Arial"/>
                <w:sz w:val="10"/>
                <w:szCs w:val="10"/>
                <w:color w:val="auto"/>
                <w:w w:val="95"/>
              </w:rPr>
              <w:t>Other</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vMerge w:val="restart"/>
          </w:tcPr>
          <w:p>
            <w:pPr>
              <w:jc w:val="right"/>
              <w:ind w:right="180"/>
              <w:spacing w:after="0" w:line="95" w:lineRule="exact"/>
              <w:rPr>
                <w:sz w:val="20"/>
                <w:szCs w:val="20"/>
                <w:color w:val="auto"/>
              </w:rPr>
            </w:pPr>
            <w:r>
              <w:rPr>
                <w:rFonts w:ascii="Arial" w:cs="Arial" w:eastAsia="Arial" w:hAnsi="Arial"/>
                <w:sz w:val="10"/>
                <w:szCs w:val="10"/>
                <w:color w:val="auto"/>
              </w:rPr>
              <w:t>Non-</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vMerge w:val="restart"/>
          </w:tcPr>
          <w:p>
            <w:pPr>
              <w:jc w:val="right"/>
              <w:ind w:right="240"/>
              <w:spacing w:after="0" w:line="95"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color w:val="auto"/>
                <w:w w:val="95"/>
              </w:rPr>
              <w:t>Series A</w:t>
            </w: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9"/>
              </w:rPr>
              <w:t>Series B</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8"/>
              </w:rPr>
              <w:t>Series C</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8"/>
              </w:rPr>
              <w:t>Series D</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91"/>
              </w:rPr>
              <w:t>Series F</w:t>
            </w:r>
          </w:p>
        </w:tc>
        <w:tc>
          <w:tcPr>
            <w:tcW w:w="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20" w:type="dxa"/>
            <w:vAlign w:val="bottom"/>
          </w:tcPr>
          <w:p>
            <w:pPr>
              <w:spacing w:after="0"/>
              <w:rPr>
                <w:sz w:val="11"/>
                <w:szCs w:val="11"/>
                <w:color w:val="auto"/>
              </w:rPr>
            </w:pPr>
          </w:p>
        </w:tc>
        <w:tc>
          <w:tcPr>
            <w:tcW w:w="70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0"/>
                <w:szCs w:val="10"/>
                <w:color w:val="auto"/>
                <w:w w:val="95"/>
              </w:rPr>
              <w:t>Stock</w:t>
            </w: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0"/>
                <w:szCs w:val="10"/>
                <w:color w:val="auto"/>
              </w:rPr>
              <w:t>Class A</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0"/>
                <w:szCs w:val="10"/>
                <w:color w:val="auto"/>
              </w:rPr>
              <w:t>Class B</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Arial" w:cs="Arial" w:eastAsia="Arial" w:hAnsi="Arial"/>
                <w:sz w:val="10"/>
                <w:szCs w:val="10"/>
                <w:color w:val="auto"/>
              </w:rPr>
              <w:t>Paid-in</w:t>
            </w:r>
          </w:p>
        </w:tc>
        <w:tc>
          <w:tcPr>
            <w:tcW w:w="40" w:type="dxa"/>
            <w:vAlign w:val="bottom"/>
          </w:tcPr>
          <w:p>
            <w:pPr>
              <w:spacing w:after="0"/>
              <w:rPr>
                <w:sz w:val="11"/>
                <w:szCs w:val="11"/>
                <w:color w:val="auto"/>
              </w:rPr>
            </w:pPr>
          </w:p>
        </w:tc>
        <w:tc>
          <w:tcPr>
            <w:tcW w:w="660" w:type="dxa"/>
            <w:vAlign w:val="bottom"/>
            <w:gridSpan w:val="3"/>
          </w:tcPr>
          <w:p>
            <w:pPr>
              <w:ind w:left="20"/>
              <w:spacing w:after="0"/>
              <w:rPr>
                <w:sz w:val="20"/>
                <w:szCs w:val="20"/>
                <w:color w:val="auto"/>
              </w:rPr>
            </w:pPr>
            <w:r>
              <w:rPr>
                <w:rFonts w:ascii="Arial" w:cs="Arial" w:eastAsia="Arial" w:hAnsi="Arial"/>
                <w:sz w:val="10"/>
                <w:szCs w:val="10"/>
                <w:color w:val="auto"/>
              </w:rPr>
              <w:t>Accumulated</w:t>
            </w:r>
          </w:p>
        </w:tc>
        <w:tc>
          <w:tcPr>
            <w:tcW w:w="720" w:type="dxa"/>
            <w:vAlign w:val="bottom"/>
            <w:gridSpan w:val="3"/>
          </w:tcPr>
          <w:p>
            <w:pPr>
              <w:spacing w:after="0"/>
              <w:rPr>
                <w:sz w:val="20"/>
                <w:szCs w:val="20"/>
                <w:color w:val="auto"/>
              </w:rPr>
            </w:pPr>
            <w:r>
              <w:rPr>
                <w:rFonts w:ascii="Arial" w:cs="Arial" w:eastAsia="Arial" w:hAnsi="Arial"/>
                <w:sz w:val="10"/>
                <w:szCs w:val="10"/>
                <w:color w:val="auto"/>
                <w:w w:val="99"/>
              </w:rPr>
              <w:t>Comprehensive</w:t>
            </w:r>
          </w:p>
        </w:tc>
        <w:tc>
          <w:tcPr>
            <w:tcW w:w="4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0"/>
                <w:szCs w:val="10"/>
                <w:color w:val="auto"/>
              </w:rPr>
              <w:t>controlling</w:t>
            </w:r>
          </w:p>
        </w:tc>
        <w:tc>
          <w:tcPr>
            <w:tcW w:w="4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ind w:left="60"/>
              <w:spacing w:after="0" w:line="111" w:lineRule="exact"/>
              <w:rPr>
                <w:sz w:val="20"/>
                <w:szCs w:val="20"/>
                <w:color w:val="auto"/>
              </w:rPr>
            </w:pPr>
            <w:r>
              <w:rPr>
                <w:rFonts w:ascii="Arial" w:cs="Arial" w:eastAsia="Arial" w:hAnsi="Arial"/>
                <w:sz w:val="10"/>
                <w:szCs w:val="10"/>
                <w:color w:val="auto"/>
                <w:w w:val="94"/>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jc w:val="center"/>
              <w:spacing w:after="0" w:line="111" w:lineRule="exact"/>
              <w:rPr>
                <w:sz w:val="20"/>
                <w:szCs w:val="20"/>
                <w:color w:val="auto"/>
              </w:rPr>
            </w:pPr>
            <w:r>
              <w:rPr>
                <w:rFonts w:ascii="Arial" w:cs="Arial" w:eastAsia="Arial" w:hAnsi="Arial"/>
                <w:sz w:val="10"/>
                <w:szCs w:val="10"/>
                <w:color w:val="auto"/>
                <w:w w:val="81"/>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ind w:left="10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500" w:type="dxa"/>
            <w:vAlign w:val="bottom"/>
            <w:gridSpan w:val="2"/>
          </w:tcPr>
          <w:p>
            <w:pPr>
              <w:ind w:left="100"/>
              <w:spacing w:after="0" w:line="111" w:lineRule="exact"/>
              <w:rPr>
                <w:sz w:val="20"/>
                <w:szCs w:val="20"/>
                <w:color w:val="auto"/>
              </w:rPr>
            </w:pPr>
            <w:r>
              <w:rPr>
                <w:rFonts w:ascii="Arial" w:cs="Arial" w:eastAsia="Arial" w:hAnsi="Arial"/>
                <w:sz w:val="10"/>
                <w:szCs w:val="10"/>
                <w:color w:val="auto"/>
              </w:rPr>
              <w:t>Shares</w:t>
            </w: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jc w:val="right"/>
              <w:ind w:right="48"/>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right w:val="single" w:sz="8" w:color="auto"/>
            </w:tcBorders>
            <w:gridSpan w:val="2"/>
          </w:tcPr>
          <w:p>
            <w:pPr>
              <w:ind w:left="20"/>
              <w:spacing w:after="0" w:line="111" w:lineRule="exact"/>
              <w:rPr>
                <w:sz w:val="20"/>
                <w:szCs w:val="20"/>
                <w:color w:val="auto"/>
              </w:rPr>
            </w:pPr>
            <w:r>
              <w:rPr>
                <w:rFonts w:ascii="Arial" w:cs="Arial" w:eastAsia="Arial" w:hAnsi="Arial"/>
                <w:sz w:val="10"/>
                <w:szCs w:val="10"/>
                <w:color w:val="auto"/>
                <w:w w:val="98"/>
              </w:rPr>
              <w:t>Amount</w:t>
            </w:r>
          </w:p>
        </w:tc>
        <w:tc>
          <w:tcPr>
            <w:tcW w:w="20" w:type="dxa"/>
            <w:vAlign w:val="bottom"/>
          </w:tcPr>
          <w:p>
            <w:pPr>
              <w:spacing w:after="0"/>
              <w:rPr>
                <w:sz w:val="9"/>
                <w:szCs w:val="9"/>
                <w:color w:val="auto"/>
              </w:rPr>
            </w:pPr>
          </w:p>
        </w:tc>
        <w:tc>
          <w:tcPr>
            <w:tcW w:w="5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40" w:type="dxa"/>
            <w:vAlign w:val="bottom"/>
            <w:gridSpan w:val="2"/>
          </w:tcPr>
          <w:p>
            <w:pPr>
              <w:spacing w:after="0" w:line="111" w:lineRule="exact"/>
              <w:rPr>
                <w:sz w:val="20"/>
                <w:szCs w:val="20"/>
                <w:color w:val="auto"/>
              </w:rPr>
            </w:pPr>
            <w:r>
              <w:rPr>
                <w:rFonts w:ascii="Arial" w:cs="Arial" w:eastAsia="Arial" w:hAnsi="Arial"/>
                <w:sz w:val="10"/>
                <w:szCs w:val="10"/>
                <w:color w:val="auto"/>
                <w:w w:val="92"/>
              </w:rPr>
              <w:t>Amount</w:t>
            </w:r>
          </w:p>
        </w:tc>
        <w:tc>
          <w:tcPr>
            <w:tcW w:w="100" w:type="dxa"/>
            <w:vAlign w:val="bottom"/>
          </w:tcPr>
          <w:p>
            <w:pPr>
              <w:spacing w:after="0"/>
              <w:rPr>
                <w:sz w:val="9"/>
                <w:szCs w:val="9"/>
                <w:color w:val="auto"/>
              </w:rPr>
            </w:pPr>
          </w:p>
        </w:tc>
        <w:tc>
          <w:tcPr>
            <w:tcW w:w="440" w:type="dxa"/>
            <w:vAlign w:val="bottom"/>
          </w:tcPr>
          <w:p>
            <w:pPr>
              <w:jc w:val="right"/>
              <w:ind w:right="28"/>
              <w:spacing w:after="0" w:line="111" w:lineRule="exact"/>
              <w:rPr>
                <w:sz w:val="20"/>
                <w:szCs w:val="20"/>
                <w:color w:val="auto"/>
              </w:rPr>
            </w:pPr>
            <w:r>
              <w:rPr>
                <w:rFonts w:ascii="Arial" w:cs="Arial" w:eastAsia="Arial" w:hAnsi="Arial"/>
                <w:sz w:val="10"/>
                <w:szCs w:val="10"/>
                <w:color w:val="auto"/>
              </w:rPr>
              <w:t>Shares</w:t>
            </w:r>
          </w:p>
        </w:tc>
        <w:tc>
          <w:tcPr>
            <w:tcW w:w="60" w:type="dxa"/>
            <w:vAlign w:val="bottom"/>
          </w:tcPr>
          <w:p>
            <w:pPr>
              <w:spacing w:after="0"/>
              <w:rPr>
                <w:sz w:val="9"/>
                <w:szCs w:val="9"/>
                <w:color w:val="auto"/>
              </w:rPr>
            </w:pPr>
          </w:p>
        </w:tc>
        <w:tc>
          <w:tcPr>
            <w:tcW w:w="340" w:type="dxa"/>
            <w:vAlign w:val="bottom"/>
            <w:gridSpan w:val="2"/>
          </w:tcPr>
          <w:p>
            <w:pPr>
              <w:spacing w:after="0" w:line="111" w:lineRule="exact"/>
              <w:rPr>
                <w:sz w:val="20"/>
                <w:szCs w:val="20"/>
                <w:color w:val="auto"/>
              </w:rPr>
            </w:pPr>
            <w:r>
              <w:rPr>
                <w:rFonts w:ascii="Arial" w:cs="Arial" w:eastAsia="Arial" w:hAnsi="Arial"/>
                <w:sz w:val="10"/>
                <w:szCs w:val="10"/>
                <w:color w:val="auto"/>
                <w:w w:val="92"/>
              </w:rPr>
              <w:t>Amount</w:t>
            </w:r>
          </w:p>
        </w:tc>
        <w:tc>
          <w:tcPr>
            <w:tcW w:w="60" w:type="dxa"/>
            <w:vAlign w:val="bottom"/>
          </w:tcPr>
          <w:p>
            <w:pPr>
              <w:spacing w:after="0"/>
              <w:rPr>
                <w:sz w:val="9"/>
                <w:szCs w:val="9"/>
                <w:color w:val="auto"/>
              </w:rPr>
            </w:pPr>
          </w:p>
        </w:tc>
        <w:tc>
          <w:tcPr>
            <w:tcW w:w="460" w:type="dxa"/>
            <w:vAlign w:val="bottom"/>
            <w:gridSpan w:val="2"/>
          </w:tcPr>
          <w:p>
            <w:pPr>
              <w:jc w:val="right"/>
              <w:ind w:right="10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40" w:type="dxa"/>
            <w:vAlign w:val="bottom"/>
            <w:gridSpan w:val="2"/>
          </w:tcPr>
          <w:p>
            <w:pPr>
              <w:jc w:val="right"/>
              <w:spacing w:after="0" w:line="111" w:lineRule="exact"/>
              <w:rPr>
                <w:sz w:val="20"/>
                <w:szCs w:val="20"/>
                <w:color w:val="auto"/>
              </w:rPr>
            </w:pPr>
            <w:r>
              <w:rPr>
                <w:rFonts w:ascii="Arial" w:cs="Arial" w:eastAsia="Arial" w:hAnsi="Arial"/>
                <w:sz w:val="10"/>
                <w:szCs w:val="10"/>
                <w:color w:val="auto"/>
                <w:w w:val="92"/>
              </w:rPr>
              <w:t>Amount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ind w:left="20"/>
              <w:spacing w:after="0" w:line="111" w:lineRule="exact"/>
              <w:rPr>
                <w:sz w:val="20"/>
                <w:szCs w:val="20"/>
                <w:color w:val="auto"/>
              </w:rPr>
            </w:pPr>
            <w:r>
              <w:rPr>
                <w:rFonts w:ascii="Arial" w:cs="Arial" w:eastAsia="Arial" w:hAnsi="Arial"/>
                <w:sz w:val="10"/>
                <w:szCs w:val="10"/>
                <w:color w:val="auto"/>
              </w:rPr>
              <w:t>Capital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Deficit</w:t>
            </w:r>
          </w:p>
        </w:tc>
        <w:tc>
          <w:tcPr>
            <w:tcW w:w="60" w:type="dxa"/>
            <w:vAlign w:val="bottom"/>
          </w:tcPr>
          <w:p>
            <w:pPr>
              <w:spacing w:after="0"/>
              <w:rPr>
                <w:sz w:val="9"/>
                <w:szCs w:val="9"/>
                <w:color w:val="auto"/>
              </w:rPr>
            </w:pPr>
          </w:p>
        </w:tc>
        <w:tc>
          <w:tcPr>
            <w:tcW w:w="660" w:type="dxa"/>
            <w:vAlign w:val="bottom"/>
            <w:gridSpan w:val="2"/>
          </w:tcPr>
          <w:p>
            <w:pPr>
              <w:jc w:val="center"/>
              <w:ind w:right="120"/>
              <w:spacing w:after="0" w:line="111" w:lineRule="exact"/>
              <w:rPr>
                <w:sz w:val="20"/>
                <w:szCs w:val="20"/>
                <w:color w:val="auto"/>
              </w:rPr>
            </w:pPr>
            <w:r>
              <w:rPr>
                <w:rFonts w:ascii="Arial" w:cs="Arial" w:eastAsia="Arial" w:hAnsi="Arial"/>
                <w:sz w:val="10"/>
                <w:szCs w:val="10"/>
                <w:color w:val="auto"/>
                <w:w w:val="91"/>
              </w:rPr>
              <w:t>Income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w w:val="89"/>
              </w:rPr>
              <w:t>Interest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Deficit</w:t>
            </w:r>
          </w:p>
        </w:tc>
        <w:tc>
          <w:tcPr>
            <w:tcW w:w="0" w:type="dxa"/>
            <w:vAlign w:val="bottom"/>
          </w:tcPr>
          <w:p>
            <w:pPr>
              <w:spacing w:after="0"/>
              <w:rPr>
                <w:sz w:val="1"/>
                <w:szCs w:val="1"/>
                <w:color w:val="auto"/>
              </w:rPr>
            </w:pPr>
          </w:p>
        </w:tc>
      </w:tr>
      <w:tr>
        <w:trPr>
          <w:trHeight w:val="110"/>
        </w:trPr>
        <w:tc>
          <w:tcPr>
            <w:tcW w:w="740" w:type="dxa"/>
            <w:vAlign w:val="bottom"/>
            <w:gridSpan w:val="2"/>
          </w:tcPr>
          <w:p>
            <w:pPr>
              <w:spacing w:after="0"/>
              <w:rPr>
                <w:sz w:val="9"/>
                <w:szCs w:val="9"/>
                <w:color w:val="auto"/>
              </w:rPr>
            </w:pPr>
          </w:p>
        </w:tc>
        <w:tc>
          <w:tcPr>
            <w:tcW w:w="6700" w:type="dxa"/>
            <w:vAlign w:val="bottom"/>
            <w:tcBorders>
              <w:top w:val="single" w:sz="8" w:color="auto"/>
            </w:tcBorders>
            <w:gridSpan w:val="39"/>
          </w:tcPr>
          <w:p>
            <w:pPr>
              <w:spacing w:after="0"/>
              <w:rPr>
                <w:sz w:val="20"/>
                <w:szCs w:val="20"/>
                <w:color w:val="auto"/>
              </w:rPr>
            </w:pPr>
            <w:r>
              <w:rPr>
                <w:rFonts w:ascii="Arial" w:cs="Arial" w:eastAsia="Arial" w:hAnsi="Arial"/>
                <w:sz w:val="10"/>
                <w:szCs w:val="10"/>
                <w:i w:val="1"/>
                <w:iCs w:val="1"/>
                <w:color w:val="auto"/>
              </w:rPr>
              <w:t>(in thousands, except share data)</w:t>
            </w:r>
          </w:p>
        </w:tc>
        <w:tc>
          <w:tcPr>
            <w:tcW w:w="6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58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Balance at</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January 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2015</w:t>
            </w:r>
          </w:p>
        </w:tc>
        <w:tc>
          <w:tcPr>
            <w:tcW w:w="380" w:type="dxa"/>
            <w:vAlign w:val="bottom"/>
            <w:shd w:val="clear" w:color="auto" w:fill="CCEEFF"/>
          </w:tcPr>
          <w:p>
            <w:pPr>
              <w:ind w:left="40"/>
              <w:spacing w:after="0"/>
              <w:rPr>
                <w:sz w:val="20"/>
                <w:szCs w:val="20"/>
                <w:color w:val="auto"/>
              </w:rPr>
            </w:pPr>
            <w:r>
              <w:rPr>
                <w:rFonts w:ascii="Arial" w:cs="Arial" w:eastAsia="Arial" w:hAnsi="Arial"/>
                <w:sz w:val="10"/>
                <w:szCs w:val="10"/>
                <w:color w:val="auto"/>
                <w:w w:val="88"/>
              </w:rPr>
              <w:t>385,000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8,876</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2,047,403</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280</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1,820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(16,055)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w:t>
            </w: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1,327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(12,534)</w:t>
            </w:r>
          </w:p>
        </w:tc>
        <w:tc>
          <w:tcPr>
            <w:tcW w:w="0" w:type="dxa"/>
            <w:vAlign w:val="bottom"/>
          </w:tcPr>
          <w:p>
            <w:pPr>
              <w:spacing w:after="0"/>
              <w:rPr>
                <w:sz w:val="1"/>
                <w:szCs w:val="1"/>
                <w:color w:val="auto"/>
              </w:rPr>
            </w:pPr>
          </w:p>
        </w:tc>
      </w:tr>
      <w:tr>
        <w:trPr>
          <w:trHeight w:val="117"/>
        </w:trPr>
        <w:tc>
          <w:tcPr>
            <w:tcW w:w="74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600" w:type="dxa"/>
            <w:vAlign w:val="bottom"/>
            <w:gridSpan w:val="3"/>
          </w:tcPr>
          <w:p>
            <w:pPr>
              <w:ind w:left="220"/>
              <w:spacing w:after="0"/>
              <w:rPr>
                <w:sz w:val="20"/>
                <w:szCs w:val="20"/>
                <w:color w:val="auto"/>
              </w:rPr>
            </w:pPr>
            <w:r>
              <w:rPr>
                <w:rFonts w:ascii="Arial" w:cs="Arial" w:eastAsia="Arial" w:hAnsi="Arial"/>
                <w:sz w:val="10"/>
                <w:szCs w:val="10"/>
                <w:color w:val="auto"/>
              </w:rPr>
              <w:t>—</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jc w:val="right"/>
              <w:ind w:right="168"/>
              <w:spacing w:after="0"/>
              <w:rPr>
                <w:sz w:val="20"/>
                <w:szCs w:val="20"/>
                <w:color w:val="auto"/>
              </w:rPr>
            </w:pPr>
            <w:r>
              <w:rPr>
                <w:rFonts w:ascii="Arial" w:cs="Arial" w:eastAsia="Arial" w:hAnsi="Arial"/>
                <w:sz w:val="10"/>
                <w:szCs w:val="10"/>
                <w:color w:val="auto"/>
              </w:rPr>
              <w:t>—</w:t>
            </w:r>
          </w:p>
        </w:tc>
        <w:tc>
          <w:tcPr>
            <w:tcW w:w="340" w:type="dxa"/>
            <w:vAlign w:val="bottom"/>
            <w:gridSpan w:val="4"/>
          </w:tcPr>
          <w:p>
            <w:pPr>
              <w:ind w:left="80"/>
              <w:spacing w:after="0"/>
              <w:rPr>
                <w:sz w:val="20"/>
                <w:szCs w:val="20"/>
                <w:color w:val="auto"/>
              </w:rPr>
            </w:pPr>
            <w:r>
              <w:rPr>
                <w:rFonts w:ascii="Arial" w:cs="Arial" w:eastAsia="Arial" w:hAnsi="Arial"/>
                <w:sz w:val="10"/>
                <w:szCs w:val="10"/>
                <w:color w:val="auto"/>
              </w:rPr>
              <w:t>—</w:t>
            </w: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1700" w:type="dxa"/>
            <w:vAlign w:val="bottom"/>
            <w:gridSpan w:val="10"/>
          </w:tcPr>
          <w:p>
            <w:pPr>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660" w:type="dxa"/>
            <w:vAlign w:val="bottom"/>
            <w:gridSpan w:val="4"/>
          </w:tcPr>
          <w:p>
            <w:pPr>
              <w:jc w:val="right"/>
              <w:ind w:right="208"/>
              <w:spacing w:after="0"/>
              <w:rPr>
                <w:sz w:val="20"/>
                <w:szCs w:val="20"/>
                <w:color w:val="auto"/>
              </w:rPr>
            </w:pPr>
            <w:r>
              <w:rPr>
                <w:rFonts w:ascii="Arial" w:cs="Arial" w:eastAsia="Arial" w:hAnsi="Arial"/>
                <w:sz w:val="10"/>
                <w:szCs w:val="10"/>
                <w:color w:val="auto"/>
              </w:rPr>
              <w:t>—</w:t>
            </w:r>
          </w:p>
        </w:tc>
        <w:tc>
          <w:tcPr>
            <w:tcW w:w="30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3"/>
          </w:tcPr>
          <w:p>
            <w:pPr>
              <w:ind w:left="2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8"/>
              <w:spacing w:after="0"/>
              <w:rPr>
                <w:sz w:val="20"/>
                <w:szCs w:val="20"/>
                <w:color w:val="auto"/>
              </w:rPr>
            </w:pPr>
            <w:r>
              <w:rPr>
                <w:rFonts w:ascii="Arial" w:cs="Arial" w:eastAsia="Arial" w:hAnsi="Arial"/>
                <w:sz w:val="10"/>
                <w:szCs w:val="10"/>
                <w:color w:val="auto"/>
              </w:rPr>
              <w:t>5,380</w:t>
            </w:r>
          </w:p>
        </w:tc>
        <w:tc>
          <w:tcPr>
            <w:tcW w:w="760" w:type="dxa"/>
            <w:vAlign w:val="bottom"/>
            <w:gridSpan w:val="4"/>
          </w:tcPr>
          <w:p>
            <w:pPr>
              <w:ind w:left="440"/>
              <w:spacing w:after="0"/>
              <w:rPr>
                <w:sz w:val="20"/>
                <w:szCs w:val="20"/>
                <w:color w:val="auto"/>
              </w:rPr>
            </w:pPr>
            <w:r>
              <w:rPr>
                <w:rFonts w:ascii="Arial" w:cs="Arial" w:eastAsia="Arial" w:hAnsi="Arial"/>
                <w:sz w:val="10"/>
                <w:szCs w:val="10"/>
                <w:color w:val="auto"/>
              </w:rPr>
              <w:t>—</w:t>
            </w:r>
          </w:p>
        </w:tc>
        <w:tc>
          <w:tcPr>
            <w:tcW w:w="600" w:type="dxa"/>
            <w:vAlign w:val="bottom"/>
            <w:gridSpan w:val="4"/>
          </w:tcPr>
          <w:p>
            <w:pPr>
              <w:jc w:val="right"/>
              <w:ind w:right="148"/>
              <w:spacing w:after="0"/>
              <w:rPr>
                <w:sz w:val="20"/>
                <w:szCs w:val="20"/>
                <w:color w:val="auto"/>
              </w:rPr>
            </w:pPr>
            <w:r>
              <w:rPr>
                <w:rFonts w:ascii="Arial" w:cs="Arial" w:eastAsia="Arial" w:hAnsi="Arial"/>
                <w:sz w:val="10"/>
                <w:szCs w:val="10"/>
                <w:color w:val="auto"/>
              </w:rPr>
              <w:t>2,535</w:t>
            </w: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7,915</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adjustment</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(178)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(105)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(283)</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w w:val="99"/>
              </w:rPr>
              <w:t>compensation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423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Balance at</w:t>
            </w: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400" w:type="dxa"/>
            <w:vAlign w:val="bottom"/>
            <w:tcBorders>
              <w:top w:val="single" w:sz="8" w:color="auto"/>
              <w:right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December 31,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2015</w:t>
            </w:r>
          </w:p>
        </w:tc>
        <w:tc>
          <w:tcPr>
            <w:tcW w:w="380" w:type="dxa"/>
            <w:vAlign w:val="bottom"/>
            <w:shd w:val="clear" w:color="auto" w:fill="CCEEFF"/>
          </w:tcPr>
          <w:p>
            <w:pPr>
              <w:ind w:left="40"/>
              <w:spacing w:after="0"/>
              <w:rPr>
                <w:sz w:val="20"/>
                <w:szCs w:val="20"/>
                <w:color w:val="auto"/>
              </w:rPr>
            </w:pPr>
            <w:r>
              <w:rPr>
                <w:rFonts w:ascii="Arial" w:cs="Arial" w:eastAsia="Arial" w:hAnsi="Arial"/>
                <w:sz w:val="10"/>
                <w:szCs w:val="10"/>
                <w:color w:val="auto"/>
                <w:w w:val="88"/>
              </w:rPr>
              <w:t>385,000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8,876</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2,047,403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280</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2,243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(10,675)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(84)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3,757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(4,479)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rPr>
              <w:t>Net loss</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1,031</w:t>
            </w:r>
          </w:p>
        </w:tc>
        <w:tc>
          <w:tcPr>
            <w:tcW w:w="60" w:type="dxa"/>
            <w:vAlign w:val="bottom"/>
          </w:tcPr>
          <w:p>
            <w:pPr>
              <w:spacing w:after="0"/>
              <w:rPr>
                <w:sz w:val="10"/>
                <w:szCs w:val="10"/>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1,356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2,387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adjustment</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(329)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(193)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w w:val="93"/>
              </w:rPr>
              <w:t>Redomestication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0"/>
                <w:szCs w:val="10"/>
                <w:color w:val="auto"/>
              </w:rPr>
              <w:t>(2,047,403)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40"/>
              <w:spacing w:after="0"/>
              <w:rPr>
                <w:sz w:val="20"/>
                <w:szCs w:val="20"/>
                <w:color w:val="auto"/>
              </w:rPr>
            </w:pPr>
            <w:r>
              <w:rPr>
                <w:rFonts w:ascii="Arial" w:cs="Arial" w:eastAsia="Arial" w:hAnsi="Arial"/>
                <w:sz w:val="10"/>
                <w:szCs w:val="10"/>
                <w:color w:val="auto"/>
              </w:rPr>
              <w:t>(280)</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w w:val="94"/>
              </w:rPr>
              <w:t>2,047,403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279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Issuance of</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stock</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3,615,800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5"/>
              </w:rPr>
              <w:t>9,039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9,039</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w w:val="96"/>
              </w:rPr>
              <w:t>Debt conversion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47,454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w w:val="95"/>
              </w:rPr>
              <w:t>119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w w:val="95"/>
              </w:rPr>
              <w:t>119</w:t>
            </w:r>
          </w:p>
        </w:tc>
        <w:tc>
          <w:tcPr>
            <w:tcW w:w="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1,812,069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160"/>
              <w:spacing w:after="0"/>
              <w:rPr>
                <w:sz w:val="20"/>
                <w:szCs w:val="20"/>
                <w:color w:val="auto"/>
              </w:rPr>
            </w:pPr>
            <w:r>
              <w:rPr>
                <w:rFonts w:ascii="Arial" w:cs="Arial" w:eastAsia="Arial" w:hAnsi="Arial"/>
                <w:sz w:val="10"/>
                <w:szCs w:val="10"/>
                <w:color w:val="auto"/>
                <w:w w:val="87"/>
              </w:rPr>
              <w:t>4,131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4,132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Exercise of</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stock option</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416,671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362,335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83"/>
              </w:rPr>
              <w:t>584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w w:val="99"/>
              </w:rPr>
              <w:t>compensation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383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383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Balance at</w:t>
            </w: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400" w:type="dxa"/>
            <w:vAlign w:val="bottom"/>
            <w:tcBorders>
              <w:top w:val="single" w:sz="8" w:color="auto"/>
              <w:right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December 31,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2016</w:t>
            </w:r>
          </w:p>
        </w:tc>
        <w:tc>
          <w:tcPr>
            <w:tcW w:w="380" w:type="dxa"/>
            <w:vAlign w:val="bottom"/>
            <w:shd w:val="clear" w:color="auto" w:fill="CCEEFF"/>
          </w:tcPr>
          <w:p>
            <w:pPr>
              <w:ind w:left="40"/>
              <w:spacing w:after="0"/>
              <w:rPr>
                <w:sz w:val="20"/>
                <w:szCs w:val="20"/>
                <w:color w:val="auto"/>
              </w:rPr>
            </w:pPr>
            <w:r>
              <w:rPr>
                <w:rFonts w:ascii="Arial" w:cs="Arial" w:eastAsia="Arial" w:hAnsi="Arial"/>
                <w:sz w:val="10"/>
                <w:szCs w:val="10"/>
                <w:color w:val="auto"/>
                <w:w w:val="88"/>
              </w:rPr>
              <w:t>385,000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3,663,254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5"/>
              </w:rPr>
              <w:t>9,158</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1"/>
              </w:rPr>
              <w:t>18,034</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4"/>
              </w:rPr>
              <w:t>2,228,740</w:t>
            </w:r>
          </w:p>
        </w:tc>
        <w:tc>
          <w:tcPr>
            <w:tcW w:w="22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94"/>
              </w:rPr>
              <w:t>2,409,738</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7,620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(9,643)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(413)</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4,919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Net loss</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(2,747)</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(208)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0"/>
                <w:szCs w:val="10"/>
                <w:color w:val="auto"/>
              </w:rPr>
              <w:t>(2,955)</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adjustment</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0"/>
                <w:szCs w:val="10"/>
                <w:color w:val="auto"/>
                <w:w w:val="83"/>
              </w:rPr>
              <w:t>166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Exercise of</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 option</w:t>
            </w:r>
          </w:p>
        </w:tc>
        <w:tc>
          <w:tcPr>
            <w:tcW w:w="59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398,553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0</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378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compensation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1,348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4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w w:val="94"/>
              </w:rPr>
              <w:t>Balance at June</w:t>
            </w: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0" w:type="dxa"/>
            <w:vAlign w:val="bottom"/>
            <w:tcBorders>
              <w:top w:val="single" w:sz="8" w:color="auto"/>
              <w:right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58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ind w:left="100"/>
              <w:spacing w:after="0"/>
              <w:rPr>
                <w:sz w:val="20"/>
                <w:szCs w:val="20"/>
                <w:color w:val="auto"/>
              </w:rPr>
            </w:pPr>
            <w:r>
              <w:rPr>
                <w:rFonts w:ascii="Arial" w:cs="Arial" w:eastAsia="Arial" w:hAnsi="Arial"/>
                <w:sz w:val="10"/>
                <w:szCs w:val="10"/>
                <w:b w:val="1"/>
                <w:bCs w:val="1"/>
                <w:color w:val="auto"/>
              </w:rPr>
              <w:t>30, 2017</w:t>
            </w:r>
          </w:p>
        </w:tc>
        <w:tc>
          <w:tcPr>
            <w:tcW w:w="59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(unaudited)</w:t>
            </w:r>
          </w:p>
        </w:tc>
        <w:tc>
          <w:tcPr>
            <w:tcW w:w="380" w:type="dxa"/>
            <w:vAlign w:val="bottom"/>
          </w:tcPr>
          <w:p>
            <w:pPr>
              <w:ind w:left="40"/>
              <w:spacing w:after="0"/>
              <w:rPr>
                <w:sz w:val="20"/>
                <w:szCs w:val="20"/>
                <w:color w:val="auto"/>
              </w:rPr>
            </w:pPr>
            <w:r>
              <w:rPr>
                <w:rFonts w:ascii="Arial" w:cs="Arial" w:eastAsia="Arial" w:hAnsi="Arial"/>
                <w:sz w:val="10"/>
                <w:szCs w:val="10"/>
                <w:color w:val="auto"/>
                <w:w w:val="88"/>
              </w:rPr>
              <w:t>385,000</w:t>
            </w:r>
          </w:p>
        </w:tc>
        <w:tc>
          <w:tcPr>
            <w:tcW w:w="22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80" w:type="dxa"/>
            <w:vAlign w:val="bottom"/>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tcPr>
          <w:p>
            <w:pPr>
              <w:spacing w:after="0"/>
              <w:rPr>
                <w:sz w:val="20"/>
                <w:szCs w:val="20"/>
                <w:color w:val="auto"/>
              </w:rPr>
            </w:pPr>
            <w:r>
              <w:rPr>
                <w:rFonts w:ascii="Arial" w:cs="Arial" w:eastAsia="Arial" w:hAnsi="Arial"/>
                <w:sz w:val="10"/>
                <w:szCs w:val="10"/>
                <w:color w:val="auto"/>
              </w:rPr>
              <w:t>$</w:t>
            </w:r>
          </w:p>
        </w:tc>
        <w:tc>
          <w:tcPr>
            <w:tcW w:w="240" w:type="dxa"/>
            <w:vAlign w:val="bottom"/>
          </w:tcPr>
          <w:p>
            <w:pPr>
              <w:jc w:val="center"/>
              <w:spacing w:after="0"/>
              <w:rPr>
                <w:sz w:val="20"/>
                <w:szCs w:val="20"/>
                <w:color w:val="auto"/>
              </w:rPr>
            </w:pPr>
            <w:r>
              <w:rPr>
                <w:rFonts w:ascii="Arial" w:cs="Arial" w:eastAsia="Arial" w:hAnsi="Arial"/>
                <w:sz w:val="10"/>
                <w:szCs w:val="10"/>
                <w:color w:val="auto"/>
                <w:w w:val="95"/>
              </w:rPr>
              <w:t>4,975</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3,663,254</w:t>
            </w:r>
          </w:p>
        </w:tc>
        <w:tc>
          <w:tcPr>
            <w:tcW w:w="1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tcPr>
          <w:p>
            <w:pPr>
              <w:spacing w:after="0"/>
              <w:rPr>
                <w:sz w:val="20"/>
                <w:szCs w:val="20"/>
                <w:color w:val="auto"/>
              </w:rPr>
            </w:pPr>
            <w:r>
              <w:rPr>
                <w:rFonts w:ascii="Arial" w:cs="Arial" w:eastAsia="Arial" w:hAnsi="Arial"/>
                <w:sz w:val="10"/>
                <w:szCs w:val="10"/>
                <w:color w:val="auto"/>
                <w:w w:val="95"/>
              </w:rPr>
              <w:t>9,158</w:t>
            </w:r>
          </w:p>
        </w:tc>
        <w:tc>
          <w:tcPr>
            <w:tcW w:w="80" w:type="dxa"/>
            <w:vAlign w:val="bottom"/>
            <w:gridSpan w:val="2"/>
          </w:tcPr>
          <w:p>
            <w:pPr>
              <w:ind w:left="20"/>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w w:val="91"/>
              </w:rPr>
              <w:t>18,034</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2,627,293</w:t>
            </w:r>
          </w:p>
        </w:tc>
        <w:tc>
          <w:tcPr>
            <w:tcW w:w="220" w:type="dxa"/>
            <w:vAlign w:val="bottom"/>
            <w:gridSpan w:val="2"/>
          </w:tcPr>
          <w:p>
            <w:pPr>
              <w:jc w:val="right"/>
              <w:ind w:right="68"/>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w w:val="94"/>
              </w:rPr>
              <w:t>2,409,738</w:t>
            </w:r>
          </w:p>
        </w:tc>
        <w:tc>
          <w:tcPr>
            <w:tcW w:w="200" w:type="dxa"/>
            <w:vAlign w:val="bottom"/>
            <w:gridSpan w:val="2"/>
          </w:tcPr>
          <w:p>
            <w:pPr>
              <w:jc w:val="right"/>
              <w:ind w:right="68"/>
              <w:spacing w:after="0"/>
              <w:rPr>
                <w:sz w:val="20"/>
                <w:szCs w:val="20"/>
                <w:color w:val="auto"/>
              </w:rPr>
            </w:pPr>
            <w:r>
              <w:rPr>
                <w:rFonts w:ascii="Arial" w:cs="Arial" w:eastAsia="Arial" w:hAnsi="Arial"/>
                <w:sz w:val="10"/>
                <w:szCs w:val="10"/>
                <w:color w:val="auto"/>
              </w:rPr>
              <w:t>$</w:t>
            </w:r>
          </w:p>
        </w:tc>
        <w:tc>
          <w:tcPr>
            <w:tcW w:w="180" w:type="dxa"/>
            <w:vAlign w:val="bottom"/>
          </w:tcPr>
          <w:p>
            <w:pPr>
              <w:jc w:val="right"/>
              <w:spacing w:after="0"/>
              <w:rPr>
                <w:sz w:val="20"/>
                <w:szCs w:val="20"/>
                <w:color w:val="auto"/>
              </w:rPr>
            </w:pPr>
            <w:r>
              <w:rPr>
                <w:rFonts w:ascii="Arial" w:cs="Arial" w:eastAsia="Arial" w:hAnsi="Arial"/>
                <w:sz w:val="10"/>
                <w:szCs w:val="10"/>
                <w:color w:val="auto"/>
              </w:rPr>
              <w:t>1</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tcPr>
          <w:p>
            <w:pPr>
              <w:ind w:left="160"/>
              <w:spacing w:after="0"/>
              <w:rPr>
                <w:sz w:val="20"/>
                <w:szCs w:val="20"/>
                <w:color w:val="auto"/>
              </w:rPr>
            </w:pPr>
            <w:r>
              <w:rPr>
                <w:rFonts w:ascii="Arial" w:cs="Arial" w:eastAsia="Arial" w:hAnsi="Arial"/>
                <w:sz w:val="10"/>
                <w:szCs w:val="10"/>
                <w:color w:val="auto"/>
                <w:w w:val="87"/>
              </w:rPr>
              <w:t>9,346</w:t>
            </w:r>
          </w:p>
        </w:tc>
        <w:tc>
          <w:tcPr>
            <w:tcW w:w="1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(12,390)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0"/>
                <w:szCs w:val="10"/>
                <w:color w:val="auto"/>
              </w:rPr>
              <w:t>(247)</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4,809</w:t>
            </w:r>
          </w:p>
        </w:tc>
        <w:tc>
          <w:tcPr>
            <w:tcW w:w="1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1,520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520"/>
          </w:cols>
          <w:pgMar w:left="240" w:top="448" w:right="1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tcPr>
          <w:p>
            <w:pPr>
              <w:jc w:val="center"/>
              <w:ind w:right="2"/>
              <w:spacing w:after="0" w:line="131" w:lineRule="exact"/>
              <w:rPr>
                <w:sz w:val="20"/>
                <w:szCs w:val="20"/>
                <w:color w:val="auto"/>
              </w:rPr>
            </w:pPr>
            <w:r>
              <w:rPr>
                <w:rFonts w:ascii="Arial" w:cs="Arial" w:eastAsia="Arial" w:hAnsi="Arial"/>
                <w:sz w:val="14"/>
                <w:szCs w:val="14"/>
                <w:i w:val="1"/>
                <w:iCs w:val="1"/>
                <w:color w:val="auto"/>
                <w:w w:val="90"/>
              </w:rPr>
              <w:t>(unaudited)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4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Net income (loss)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(2,955)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(1,029)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2,387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7,915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(loss) from operations to net cash provided by operating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disposals of fixed assets, intangible assets and other long-term assets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300"/>
              <w:spacing w:after="0"/>
              <w:rPr>
                <w:sz w:val="20"/>
                <w:szCs w:val="20"/>
                <w:color w:val="auto"/>
              </w:rPr>
            </w:pPr>
            <w:r>
              <w:rPr>
                <w:rFonts w:ascii="Arial" w:cs="Arial" w:eastAsia="Arial" w:hAnsi="Arial"/>
                <w:sz w:val="16"/>
                <w:szCs w:val="16"/>
                <w:color w:val="auto"/>
              </w:rPr>
              <w:t>Net loss from debt conversion and interest waiver</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4"/>
              </w:rPr>
              <w:t>747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(2,432)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1,348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changes in operating assets and liabilities: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Accounts receivable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4,095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w w:val="85"/>
              </w:rPr>
              <w:t>11,441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(4,724)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(7,429)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receivables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(413)</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Inventory</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(2,189)</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(1,771)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(3,055)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(2,097)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Prepaid expenses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(631)</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Other current assets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2,921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(2,618)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Advances from customers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(4,521)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(4,078)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4,599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Income taxes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Other payables and accrued expenses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w w:val="74"/>
              </w:rPr>
              <w:t>704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long-term liabilities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4"/>
              </w:rPr>
              <w:t>236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Net cash provided by operating activities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2,983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4,739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(3,702)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(1,371)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Proceed from disposal of property and equipment</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Net cash used in investing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(1,371)</w:t>
            </w:r>
          </w:p>
        </w:tc>
        <w:tc>
          <w:tcPr>
            <w:tcW w:w="0" w:type="dxa"/>
            <w:vAlign w:val="bottom"/>
          </w:tcPr>
          <w:p>
            <w:pPr>
              <w:spacing w:after="0"/>
              <w:rPr>
                <w:sz w:val="1"/>
                <w:szCs w:val="1"/>
                <w:color w:val="auto"/>
              </w:rPr>
            </w:pPr>
          </w:p>
        </w:tc>
      </w:tr>
      <w:tr>
        <w:trPr>
          <w:trHeight w:val="195"/>
        </w:trPr>
        <w:tc>
          <w:tcPr>
            <w:tcW w:w="74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short-term borrowings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4,584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11,879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Repayments of short-term borrowings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(4,861)</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(3,770)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(7,575)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(9,605)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Investors’ deposit</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Proceeds from potential future investment from related party</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3,318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stock option exercise to common stock</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4"/>
              </w:rPr>
              <w:t>378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Proceeds from issuance of Series F convertible preferred stock</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9,040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Repayments of notes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Net cash provided by financing activities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auto"/>
                <w:w w:val="74"/>
              </w:rPr>
              <w:t>101</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auto"/>
                <w:w w:val="74"/>
              </w:rPr>
              <w:t>315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10,554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196"/>
        </w:trPr>
        <w:tc>
          <w:tcPr>
            <w:tcW w:w="7420" w:type="dxa"/>
            <w:vAlign w:val="bottom"/>
            <w:gridSpan w:val="2"/>
            <w:vMerge w:val="restart"/>
          </w:tcPr>
          <w:p>
            <w:pPr>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3,087</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w w:val="79"/>
              </w:rPr>
              <w:t>5,188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1"/>
              </w:rPr>
              <w:t>10,119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 at end of period</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2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1"/>
              </w:rPr>
              <w:t>13,206</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9,589</w:t>
            </w: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w w:val="85"/>
              </w:rPr>
              <w:t>10,119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4,401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Interest paid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ind w:left="200"/>
              <w:spacing w:after="0"/>
              <w:rPr>
                <w:sz w:val="20"/>
                <w:szCs w:val="20"/>
                <w:color w:val="auto"/>
              </w:rPr>
            </w:pPr>
            <w:r>
              <w:rPr>
                <w:rFonts w:ascii="Arial" w:cs="Arial" w:eastAsia="Arial" w:hAnsi="Arial"/>
                <w:sz w:val="16"/>
                <w:szCs w:val="16"/>
                <w:color w:val="auto"/>
                <w:w w:val="74"/>
              </w:rPr>
              <w:t>164</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Income taxes refund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420" w:type="dxa"/>
            <w:vAlign w:val="bottom"/>
            <w:gridSpan w:val="2"/>
          </w:tcPr>
          <w:p>
            <w:pPr>
              <w:spacing w:after="0"/>
              <w:rPr>
                <w:sz w:val="20"/>
                <w:szCs w:val="20"/>
                <w:color w:val="auto"/>
              </w:rPr>
            </w:pPr>
            <w:r>
              <w:rPr>
                <w:rFonts w:ascii="Arial" w:cs="Arial" w:eastAsia="Arial" w:hAnsi="Arial"/>
                <w:sz w:val="16"/>
                <w:szCs w:val="16"/>
                <w:b w:val="1"/>
                <w:bCs w:val="1"/>
                <w:color w:val="auto"/>
              </w:rPr>
              <w:t>Non-cash financing activities:</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Debt conversion to Class A common stock</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Debt conversion to Series F convertible preferred stock</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 in lieu of the cash repayment of notes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8" w:right="23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ACM Research, Inc. (“ACM”) and its subsidiaries (ACM and such subsidiaries collectively,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8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72"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In 2006, the Company established its operational center in Shanghai in the People’s Republic of China (the “PRC”), where it operates through ACM’s subsidiary ACM Research (Shanghai), Inc. (“ACM Shanghai”). The establishment of ACM Shanghai was made to help the Company establish and build relationships with integrated circuit manufacturers in the PRC, and the Company financed its Shanghai operations in part through sales of a non-controlling equity interest in ACM Shanghai.</w:t>
      </w:r>
    </w:p>
    <w:p>
      <w:pPr>
        <w:spacing w:after="0" w:line="176"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w:t>
      </w:r>
    </w:p>
    <w:p>
      <w:pPr>
        <w:spacing w:after="0" w:line="176" w:lineRule="exact"/>
        <w:rPr>
          <w:sz w:val="20"/>
          <w:szCs w:val="20"/>
          <w:color w:val="auto"/>
        </w:rPr>
      </w:pPr>
    </w:p>
    <w:p>
      <w:pPr>
        <w:ind w:right="800" w:firstLine="457"/>
        <w:spacing w:after="0" w:line="287" w:lineRule="auto"/>
        <w:rPr>
          <w:sz w:val="20"/>
          <w:szCs w:val="20"/>
          <w:color w:val="auto"/>
        </w:rPr>
      </w:pPr>
      <w:r>
        <w:rPr>
          <w:rFonts w:ascii="Arial" w:cs="Arial" w:eastAsia="Arial" w:hAnsi="Arial"/>
          <w:sz w:val="17"/>
          <w:szCs w:val="17"/>
          <w:color w:val="auto"/>
        </w:rPr>
        <w:t>In 2011, ACM Shanghai formed a wholly owned subsidiary in the PRC, ACM Research (Wuxi), Inc. (“ACM Wuxi”), to manage sales and service operations.</w:t>
      </w:r>
    </w:p>
    <w:p>
      <w:pPr>
        <w:spacing w:after="0" w:line="158" w:lineRule="exact"/>
        <w:rPr>
          <w:sz w:val="20"/>
          <w:szCs w:val="20"/>
          <w:color w:val="auto"/>
        </w:rPr>
      </w:pPr>
    </w:p>
    <w:p>
      <w:pPr>
        <w:ind w:right="480" w:firstLine="457"/>
        <w:spacing w:after="0" w:line="287" w:lineRule="auto"/>
        <w:rPr>
          <w:sz w:val="20"/>
          <w:szCs w:val="20"/>
          <w:color w:val="auto"/>
        </w:rPr>
      </w:pPr>
      <w:r>
        <w:rPr>
          <w:rFonts w:ascii="Arial" w:cs="Arial" w:eastAsia="Arial" w:hAnsi="Arial"/>
          <w:sz w:val="17"/>
          <w:szCs w:val="17"/>
          <w:color w:val="auto"/>
        </w:rPr>
        <w:t>In November 2016, ACM redomesticated from California to Delaware pursuant to a merger (the “Merger”) in which ACM Research, Inc., a California corporation, was merged into a newly formed, wholly owned Delaware subsidiary, also named ACM Research, Inc.</w:t>
      </w:r>
    </w:p>
    <w:p>
      <w:pPr>
        <w:spacing w:after="0" w:line="158" w:lineRule="exact"/>
        <w:rPr>
          <w:sz w:val="20"/>
          <w:szCs w:val="20"/>
          <w:color w:val="auto"/>
        </w:rPr>
      </w:pPr>
    </w:p>
    <w:p>
      <w:pPr>
        <w:jc w:val="both"/>
        <w:ind w:right="580" w:firstLine="457"/>
        <w:spacing w:after="0" w:line="271" w:lineRule="auto"/>
        <w:rPr>
          <w:sz w:val="20"/>
          <w:szCs w:val="20"/>
          <w:color w:val="auto"/>
        </w:rPr>
      </w:pPr>
      <w:r>
        <w:rPr>
          <w:rFonts w:ascii="Arial" w:cs="Arial" w:eastAsia="Arial" w:hAnsi="Arial"/>
          <w:sz w:val="17"/>
          <w:szCs w:val="17"/>
          <w:color w:val="auto"/>
        </w:rPr>
        <w:t>In June 2017, ACM Research, Inc.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72" w:lineRule="exact"/>
        <w:rPr>
          <w:sz w:val="20"/>
          <w:szCs w:val="20"/>
          <w:color w:val="auto"/>
        </w:rPr>
      </w:pPr>
    </w:p>
    <w:p>
      <w:pPr>
        <w:jc w:val="both"/>
        <w:ind w:right="80" w:firstLine="457"/>
        <w:spacing w:after="0" w:line="323" w:lineRule="auto"/>
        <w:rPr>
          <w:sz w:val="20"/>
          <w:szCs w:val="20"/>
          <w:color w:val="auto"/>
        </w:rPr>
      </w:pPr>
      <w:r>
        <w:rPr>
          <w:rFonts w:ascii="Arial" w:cs="Arial" w:eastAsia="Arial" w:hAnsi="Arial"/>
          <w:sz w:val="15"/>
          <w:szCs w:val="15"/>
          <w:color w:val="auto"/>
        </w:rPr>
        <w:t>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38" w:lineRule="exact"/>
        <w:rPr>
          <w:sz w:val="20"/>
          <w:szCs w:val="20"/>
          <w:color w:val="auto"/>
        </w:rPr>
      </w:pPr>
    </w:p>
    <w:p>
      <w:pPr>
        <w:ind w:right="620" w:firstLine="457"/>
        <w:spacing w:after="0" w:line="357" w:lineRule="auto"/>
        <w:rPr>
          <w:sz w:val="20"/>
          <w:szCs w:val="20"/>
          <w:color w:val="auto"/>
        </w:rPr>
      </w:pPr>
      <w:r>
        <w:rPr>
          <w:rFonts w:ascii="Arial" w:cs="Arial" w:eastAsia="Arial" w:hAnsi="Arial"/>
          <w:sz w:val="15"/>
          <w:szCs w:val="15"/>
          <w:color w:val="auto"/>
        </w:rPr>
        <w:t>As of June 30, 2017 and December 31, 2016 and 2015, ACM owned 62.9% of the outstanding equity interests of ACM Shanghai. As a result, ACM, indirectly through ACM Shanghai, owned 62.9% of the outstanding equity interests of ACM Wuxi as of June 30, 2017 and December 31, 2016 and 2015.</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8"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117"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The consolidated financial statements of the Company have been prepared in accordance with accounting principles generally accepted in the United States of America (“GAAP”). Significant accounting policies followed by the Company in the preparation of the accompanying consolidated financial statements are summarized below.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consolidated financial statements include the financial statements of ACM and its subsidiaries, ACM Shanghai, ACM Wuxi and CleanChip. Subsidiaries are those entities in which ACM, directly and indirectly, controls more than one half of the voting power. All significant intercompany transactions and balances have been eliminated upon consolidation.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11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Unaudited Interim Consolidated Financial Statements</w:t>
      </w:r>
    </w:p>
    <w:p>
      <w:pPr>
        <w:spacing w:after="0" w:line="117"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The unaudited interim consolidated financial statements consist of an unaudited consolidated balance sheet as of June 30, 2017, unaudited consolidated statements of operations and comprehensive loss and cash flows for the six months ended June 30, 2017 and 2016, unaudited consolidated statement of changes in redeemable convertible preferred stock and stockholders’ equity for the six months ended June 30, 2017, and the related unaudited footnote disclosures. The unaudited interim consolidated financial statements have been prepared on the same basis as the annual consolidated financial statements and, in the opinion of management, contain all adjustments, consisting only of normal recurring adjustments, necessary to present fairly the financial position, operating results and cash flows of the Company for each of the periods presented. It does not include all the information and footnotes required by GAAP for complete financial statements. The balance sheet as of June 30, 2017 and the operating results for the six months ended June 30, 2017 are not necessarily indicative of the results of operations that may be expected for the year ending December 31, 2017 or any other future period.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Reverse Stock Split</w:t>
      </w:r>
    </w:p>
    <w:p>
      <w:pPr>
        <w:spacing w:after="0" w:line="117"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On September 13, 2017, ACM effected a 1-for-3 reverse stock split (the “Reverse Split”) of Class A and Class B common stock (note 20). Unless otherwise indicated, all share numbers, per share amount, share prices,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448" w:right="25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exercise prices and conversion rates set forth in those notes and the accompanying consolidated financial statements have been adjusted retrospectively to reflect the Reverse Split.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117" w:lineRule="exact"/>
        <w:rPr>
          <w:sz w:val="20"/>
          <w:szCs w:val="20"/>
          <w:color w:val="auto"/>
        </w:rPr>
      </w:pPr>
    </w:p>
    <w:p>
      <w:pPr>
        <w:ind w:right="480" w:firstLine="457"/>
        <w:spacing w:after="0" w:line="320" w:lineRule="auto"/>
        <w:rPr>
          <w:sz w:val="20"/>
          <w:szCs w:val="20"/>
          <w:color w:val="auto"/>
        </w:rPr>
      </w:pPr>
      <w:r>
        <w:rPr>
          <w:rFonts w:ascii="Arial" w:cs="Arial" w:eastAsia="Arial" w:hAnsi="Arial"/>
          <w:sz w:val="16"/>
          <w:szCs w:val="16"/>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Accounts Receivable</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and current economic trends. Accounts are written off after all collection efforts have been exhausted. At June 30, 2017 and December 31, 2016 and 2015, the Company had established, based on a review of its outstanding balances, an allowance for doubtful accounts in the amounts of $0, $0 and $116,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Inventory</w:t>
      </w:r>
    </w:p>
    <w:p>
      <w:pPr>
        <w:spacing w:after="0" w:line="117"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Inventory was recorded at the lower of cost or net realizable value at June 30, 2017 and at the lower of cost or market value at December 31, 2016 and 2015.</w:t>
      </w:r>
    </w:p>
    <w:p>
      <w:pPr>
        <w:spacing w:after="0" w:line="153" w:lineRule="exact"/>
        <w:rPr>
          <w:sz w:val="20"/>
          <w:szCs w:val="20"/>
          <w:color w:val="auto"/>
        </w:rPr>
      </w:pPr>
    </w:p>
    <w:p>
      <w:pPr>
        <w:ind w:left="900" w:right="20" w:hanging="335"/>
        <w:spacing w:after="0" w:line="263"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89" w:lineRule="exact"/>
        <w:rPr>
          <w:rFonts w:ascii="Arial" w:cs="Arial" w:eastAsia="Arial" w:hAnsi="Arial"/>
          <w:sz w:val="17"/>
          <w:szCs w:val="17"/>
          <w:color w:val="auto"/>
        </w:rPr>
      </w:pPr>
    </w:p>
    <w:p>
      <w:pPr>
        <w:ind w:left="900" w:hanging="335"/>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Market value is determined as the lower of replacement cost or net realizable value.</w:t>
      </w:r>
    </w:p>
    <w:p>
      <w:pPr>
        <w:spacing w:after="0" w:line="130" w:lineRule="exact"/>
        <w:rPr>
          <w:rFonts w:ascii="Arial" w:cs="Arial" w:eastAsia="Arial" w:hAnsi="Arial"/>
          <w:sz w:val="17"/>
          <w:szCs w:val="17"/>
          <w:color w:val="auto"/>
        </w:rPr>
      </w:pPr>
    </w:p>
    <w:p>
      <w:pPr>
        <w:ind w:left="900" w:hanging="335"/>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Net realizable value is the estimated selling price, in the ordinary course of business, less estimated costs to complete or dispose.</w:t>
      </w:r>
    </w:p>
    <w:p>
      <w:pPr>
        <w:spacing w:after="0" w:line="22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60"/>
          </w:cols>
          <w:pgMar w:left="240" w:top="448" w:right="29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Initial Public Offering (“IPO”) Costs</w:t>
      </w:r>
    </w:p>
    <w:p>
      <w:pPr>
        <w:spacing w:after="0" w:line="117" w:lineRule="exact"/>
        <w:rPr>
          <w:sz w:val="20"/>
          <w:szCs w:val="20"/>
          <w:color w:val="auto"/>
        </w:rPr>
      </w:pPr>
    </w:p>
    <w:p>
      <w:pPr>
        <w:jc w:val="both"/>
        <w:ind w:right="280" w:firstLine="457"/>
        <w:spacing w:after="0" w:line="271" w:lineRule="auto"/>
        <w:rPr>
          <w:sz w:val="20"/>
          <w:szCs w:val="20"/>
          <w:color w:val="auto"/>
        </w:rPr>
      </w:pPr>
      <w:r>
        <w:rPr>
          <w:rFonts w:ascii="Arial" w:cs="Arial" w:eastAsia="Arial" w:hAnsi="Arial"/>
          <w:sz w:val="17"/>
          <w:szCs w:val="17"/>
          <w:color w:val="auto"/>
        </w:rPr>
        <w:t>Direct costs incurred by the Company attributable to its proposed IPO of Class A common stock in the United States have been deferred and recorded in other current assets and will be offset against the gross proceeds received from the IPO. At June 30, 2017 and December 30, 2016 and 2015, deferred IPO costs were $797, $41 and $0,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Plant and Equipment, Net</w:t>
      </w:r>
    </w:p>
    <w:p>
      <w:pPr>
        <w:spacing w:after="0" w:line="117" w:lineRule="exact"/>
        <w:rPr>
          <w:sz w:val="20"/>
          <w:szCs w:val="20"/>
          <w:color w:val="auto"/>
        </w:rPr>
      </w:pPr>
    </w:p>
    <w:p>
      <w:pPr>
        <w:ind w:right="160" w:firstLine="457"/>
        <w:spacing w:after="0" w:line="266" w:lineRule="auto"/>
        <w:rPr>
          <w:sz w:val="20"/>
          <w:szCs w:val="20"/>
          <w:color w:val="auto"/>
        </w:rPr>
      </w:pPr>
      <w:r>
        <w:rPr>
          <w:rFonts w:ascii="Arial" w:cs="Arial" w:eastAsia="Arial" w:hAnsi="Arial"/>
          <w:sz w:val="17"/>
          <w:szCs w:val="17"/>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Estimated useful lives of assets in the United States are as follows:</w:t>
      </w:r>
    </w:p>
    <w:p>
      <w:pPr>
        <w:sectPr>
          <w:pgSz w:w="11900" w:h="16838" w:orient="portrait"/>
          <w:cols w:equalWidth="0" w:num="1">
            <w:col w:w="11380"/>
          </w:cols>
          <w:pgMar w:left="240" w:top="448" w:right="279" w:bottom="1440" w:gutter="0" w:footer="0" w:header="0"/>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Computer and office equipment</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and fixtures</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3 to 5 years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estimated useful life</w:t>
      </w:r>
    </w:p>
    <w:p>
      <w:pPr>
        <w:spacing w:after="0" w:line="222" w:lineRule="exact"/>
        <w:rPr>
          <w:sz w:val="20"/>
          <w:szCs w:val="20"/>
          <w:color w:val="auto"/>
        </w:rPr>
      </w:pPr>
    </w:p>
    <w:p>
      <w:pPr>
        <w:sectPr>
          <w:pgSz w:w="11900" w:h="16838" w:orient="portrait"/>
          <w:cols w:equalWidth="0" w:num="2">
            <w:col w:w="5420" w:space="720"/>
            <w:col w:w="5240"/>
          </w:cols>
          <w:pgMar w:left="240" w:top="448" w:right="279" w:bottom="1440" w:gutter="0" w:footer="0" w:header="0"/>
          <w:type w:val="continuous"/>
        </w:sectPr>
      </w:pPr>
    </w:p>
    <w:p>
      <w:pPr>
        <w:spacing w:after="0" w:line="9" w:lineRule="exact"/>
        <w:rPr>
          <w:sz w:val="20"/>
          <w:szCs w:val="20"/>
          <w:color w:val="auto"/>
        </w:rPr>
      </w:pPr>
    </w:p>
    <w:p>
      <w:pPr>
        <w:ind w:right="520" w:firstLine="457"/>
        <w:spacing w:after="0" w:line="287" w:lineRule="auto"/>
        <w:rPr>
          <w:sz w:val="20"/>
          <w:szCs w:val="20"/>
          <w:color w:val="auto"/>
        </w:rPr>
      </w:pPr>
      <w:r>
        <w:rPr>
          <w:rFonts w:ascii="Arial" w:cs="Arial" w:eastAsia="Arial" w:hAnsi="Arial"/>
          <w:sz w:val="17"/>
          <w:szCs w:val="17"/>
          <w:color w:val="auto"/>
        </w:rPr>
        <w:t>ACM’s subsidiaries follow regulations for depreciation of fixed assets implemented under the PRC’s Enterprise Income Tax Law, which state that the minimum useful lives used for calculating depreciation for fixed assets are as follows:</w:t>
      </w:r>
    </w:p>
    <w:p>
      <w:pPr>
        <w:sectPr>
          <w:pgSz w:w="11900" w:h="16838" w:orient="portrait"/>
          <w:cols w:equalWidth="0" w:num="1">
            <w:col w:w="11380"/>
          </w:cols>
          <w:pgMar w:left="240" w:top="448" w:right="279" w:bottom="1440" w:gutter="0" w:footer="0" w:header="0"/>
          <w:type w:val="continuous"/>
        </w:sectPr>
      </w:pP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Manufacturing equipment</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and fixtures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Transportation equipment</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Electronic equipment</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for small to medium-sized equipment, 5 years; for large equipment,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estimated by purchasing department at time of acceptance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4 to 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remaining lease term for improvements on leased fixed assets or, for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large improvements, estimated useful life; not less than 3 years for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non-fixed asset repairs</w:t>
      </w:r>
    </w:p>
    <w:p>
      <w:pPr>
        <w:spacing w:after="0" w:line="200" w:lineRule="exact"/>
        <w:rPr>
          <w:sz w:val="20"/>
          <w:szCs w:val="20"/>
          <w:color w:val="auto"/>
        </w:rPr>
      </w:pPr>
    </w:p>
    <w:p>
      <w:pPr>
        <w:sectPr>
          <w:pgSz w:w="11900" w:h="16838" w:orient="portrait"/>
          <w:cols w:equalWidth="0" w:num="2">
            <w:col w:w="5420" w:space="720"/>
            <w:col w:w="5240"/>
          </w:cols>
          <w:pgMar w:left="240" w:top="448" w:right="279" w:bottom="1440" w:gutter="0" w:footer="0" w:header="0"/>
          <w:type w:val="continuous"/>
        </w:sectPr>
      </w:pPr>
    </w:p>
    <w:p>
      <w:pPr>
        <w:spacing w:after="0" w:line="9"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Assets, Net</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380"/>
          </w:cols>
          <w:pgMar w:left="240" w:top="448" w:right="279" w:bottom="1440" w:gutter="0" w:footer="0" w:header="0"/>
          <w:type w:val="continuous"/>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Valuation of Long-Lived Assets</w:t>
      </w:r>
    </w:p>
    <w:p>
      <w:pPr>
        <w:spacing w:after="0" w:line="117"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leasor at the inception date. A capital lease is accounted for as if there was an acquisition of an asset and an incurrence of an obligation at the inception of the lease. All other leases are accounted for as operating leases. Payments made under operating leases are charged to the consolidated statements of operations and comprehensive income on a straight-line basis over the terms of underlying lease. The Company had no capital lease for either of the periods presented.</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Redeemable Convertible Preferred Stock</w:t>
      </w:r>
    </w:p>
    <w:p>
      <w:pPr>
        <w:spacing w:after="0" w:line="117" w:lineRule="exact"/>
        <w:rPr>
          <w:sz w:val="20"/>
          <w:szCs w:val="20"/>
          <w:color w:val="auto"/>
        </w:rPr>
      </w:pPr>
    </w:p>
    <w:p>
      <w:pPr>
        <w:ind w:right="120" w:firstLine="457"/>
        <w:spacing w:after="0" w:line="303" w:lineRule="auto"/>
        <w:rPr>
          <w:sz w:val="20"/>
          <w:szCs w:val="20"/>
          <w:color w:val="auto"/>
        </w:rPr>
      </w:pPr>
      <w:r>
        <w:rPr>
          <w:rFonts w:ascii="Arial" w:cs="Arial" w:eastAsia="Arial" w:hAnsi="Arial"/>
          <w:sz w:val="15"/>
          <w:szCs w:val="15"/>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recognizes revenue when all the following conditions are met:</w:t>
      </w:r>
    </w:p>
    <w:p>
      <w:pPr>
        <w:spacing w:after="0" w:line="130" w:lineRule="exact"/>
        <w:rPr>
          <w:sz w:val="20"/>
          <w:szCs w:val="20"/>
          <w:color w:val="auto"/>
        </w:rPr>
      </w:pPr>
    </w:p>
    <w:p>
      <w:pPr>
        <w:ind w:left="900" w:hanging="33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there is persuasive evidence of an arrangement;</w:t>
      </w:r>
    </w:p>
    <w:p>
      <w:pPr>
        <w:spacing w:after="0" w:line="130" w:lineRule="exact"/>
        <w:rPr>
          <w:rFonts w:ascii="Arial" w:cs="Arial" w:eastAsia="Arial" w:hAnsi="Arial"/>
          <w:sz w:val="17"/>
          <w:szCs w:val="17"/>
          <w:color w:val="auto"/>
        </w:rPr>
      </w:pPr>
    </w:p>
    <w:p>
      <w:pPr>
        <w:ind w:left="900" w:right="120" w:hanging="335"/>
        <w:spacing w:after="0" w:line="287"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product delivery has occurred and the Company has transferred major risks and remunerations over the ownership of the product to the buyer or a service has been fully rendered and completed;</w:t>
      </w:r>
    </w:p>
    <w:p>
      <w:pPr>
        <w:spacing w:after="0" w:line="66" w:lineRule="exact"/>
        <w:rPr>
          <w:rFonts w:ascii="Arial" w:cs="Arial" w:eastAsia="Arial" w:hAnsi="Arial"/>
          <w:sz w:val="17"/>
          <w:szCs w:val="17"/>
          <w:color w:val="auto"/>
        </w:rPr>
      </w:pPr>
    </w:p>
    <w:p>
      <w:pPr>
        <w:ind w:left="900" w:hanging="33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collection of the receivable is probable; and</w:t>
      </w:r>
    </w:p>
    <w:p>
      <w:pPr>
        <w:spacing w:after="0" w:line="130" w:lineRule="exact"/>
        <w:rPr>
          <w:rFonts w:ascii="Arial" w:cs="Arial" w:eastAsia="Arial" w:hAnsi="Arial"/>
          <w:sz w:val="17"/>
          <w:szCs w:val="17"/>
          <w:color w:val="auto"/>
        </w:rPr>
      </w:pPr>
    </w:p>
    <w:p>
      <w:pPr>
        <w:ind w:left="900" w:hanging="33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amount of the payment is fixed or determinable.</w:t>
      </w:r>
    </w:p>
    <w:p>
      <w:pPr>
        <w:spacing w:after="0" w:line="117"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The Company derives revenue principally from sales of semiconductor capital equipment. In general, the Company recognizes revenue when the product has been demonstrated to meet the predetermined specifications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448" w:right="25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and is accepted by the customer. If terms of the sale provide for a lapsing customer acceptance period, the Company recognizes revenue upon the earlier of the expiration of the lapsing acceptance period and customer acceptance. In the following circumstances, however, the Company recognizes revenue upon shipment or delivery, when the legal title of the product is passed to a customer:</w:t>
      </w:r>
    </w:p>
    <w:p>
      <w:pPr>
        <w:spacing w:after="0" w:line="81" w:lineRule="exact"/>
        <w:rPr>
          <w:sz w:val="20"/>
          <w:szCs w:val="20"/>
          <w:color w:val="auto"/>
        </w:rPr>
      </w:pPr>
    </w:p>
    <w:p>
      <w:pPr>
        <w:ind w:left="900" w:right="300" w:hanging="335"/>
        <w:spacing w:after="0" w:line="287"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tool with the same specifications and when the Company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hanging="335"/>
        <w:spacing w:after="0" w:line="287"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when the sales contract or purchase order contains no acceptance agreement or no lapsing acceptance provision and when the Company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440" w:hanging="335"/>
        <w:spacing w:after="0" w:line="287"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 or</w:t>
      </w:r>
    </w:p>
    <w:p>
      <w:pPr>
        <w:spacing w:after="0" w:line="66" w:lineRule="exact"/>
        <w:rPr>
          <w:rFonts w:ascii="Arial" w:cs="Arial" w:eastAsia="Arial" w:hAnsi="Arial"/>
          <w:sz w:val="17"/>
          <w:szCs w:val="17"/>
          <w:color w:val="auto"/>
        </w:rPr>
      </w:pPr>
    </w:p>
    <w:p>
      <w:pPr>
        <w:ind w:left="900" w:hanging="33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Company’s sales arrangements do not include a general right of return.</w:t>
      </w:r>
    </w:p>
    <w:p>
      <w:pPr>
        <w:spacing w:after="0" w:line="222" w:lineRule="exact"/>
        <w:rPr>
          <w:sz w:val="20"/>
          <w:szCs w:val="20"/>
          <w:color w:val="auto"/>
        </w:rPr>
      </w:pPr>
    </w:p>
    <w:p>
      <w:pPr>
        <w:jc w:val="both"/>
        <w:ind w:right="240" w:firstLine="457"/>
        <w:spacing w:after="0" w:line="295" w:lineRule="auto"/>
        <w:rPr>
          <w:sz w:val="20"/>
          <w:szCs w:val="20"/>
          <w:color w:val="auto"/>
        </w:rPr>
      </w:pPr>
      <w:r>
        <w:rPr>
          <w:rFonts w:ascii="Arial" w:cs="Arial" w:eastAsia="Arial" w:hAnsi="Arial"/>
          <w:sz w:val="15"/>
          <w:szCs w:val="15"/>
          <w:color w:val="auto"/>
        </w:rPr>
        <w:t>Customization, production, installation and delivery are essential elements of the functionality of a delivered machine; the services offered, principally the warranty, are not essential to the functionality of the machine. The Company treats the customization, production, installation and delivery of machines, together with the provision of related warranty and other services, as a single unit of accounting in accordance with Financial Accounting Standards Board (“FASB”)</w:t>
      </w:r>
    </w:p>
    <w:p>
      <w:pPr>
        <w:spacing w:after="0" w:line="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Accounting Standards Codification (“ASC”) Subtopic 605-25, </w:t>
      </w:r>
      <w:r>
        <w:rPr>
          <w:rFonts w:ascii="Arial" w:cs="Arial" w:eastAsia="Arial" w:hAnsi="Arial"/>
          <w:sz w:val="17"/>
          <w:szCs w:val="17"/>
          <w:i w:val="1"/>
          <w:iCs w:val="1"/>
          <w:color w:val="auto"/>
        </w:rPr>
        <w:t>Revenue Recognition – Multiple-Element Arrangements</w:t>
      </w:r>
      <w:r>
        <w:rPr>
          <w:rFonts w:ascii="Arial" w:cs="Arial" w:eastAsia="Arial" w:hAnsi="Arial"/>
          <w:sz w:val="17"/>
          <w:szCs w:val="17"/>
          <w:color w:val="auto"/>
        </w:rPr>
        <w:t>. All of the Company’s products were sold in stand-alone arrangements during the six months ended June 30, 2017 and the years ended December 31, 2016 and 2015.</w:t>
      </w:r>
    </w:p>
    <w:p>
      <w:pPr>
        <w:spacing w:after="0" w:line="170" w:lineRule="exact"/>
        <w:rPr>
          <w:sz w:val="20"/>
          <w:szCs w:val="20"/>
          <w:color w:val="auto"/>
        </w:rPr>
      </w:pPr>
    </w:p>
    <w:p>
      <w:pPr>
        <w:ind w:right="460" w:firstLine="457"/>
        <w:spacing w:after="0" w:line="323" w:lineRule="auto"/>
        <w:rPr>
          <w:sz w:val="20"/>
          <w:szCs w:val="20"/>
          <w:color w:val="auto"/>
        </w:rPr>
      </w:pPr>
      <w:r>
        <w:rPr>
          <w:rFonts w:ascii="Arial" w:cs="Arial" w:eastAsia="Arial" w:hAnsi="Arial"/>
          <w:sz w:val="15"/>
          <w:szCs w:val="15"/>
          <w:color w:val="auto"/>
        </w:rPr>
        <w:t>After the warranty period has expired, the Company will also provide customers with post-warranty services, which mainly include the installation and replacement of parts and small-scale modifications to the existing products. The related revenue and costs are recognized as revenue and cost of revenue, respectively, when the parts have been delivered and installed, risk of loss has passed to the customer, and collection of the resulting receivable is probable.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Cost of Revenue</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Costs</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Shipping and Handling Costs</w:t>
      </w:r>
    </w:p>
    <w:p>
      <w:pPr>
        <w:spacing w:after="0" w:line="117"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Shipping and handling costs, which relate to transportation of products to customer locations, are charged to selling and marketing expense. For the six months ended June 30, 2017 and 2016 and the years ended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48"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and 2015, shipping and handling costs included in sales and marketing expense were $48, $16, $75 and $15,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Borrowing Costs</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six months ended June 30, 2017 or the years ended December 31, 2016 and 2015.</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Warranty</w:t>
      </w:r>
    </w:p>
    <w:p>
      <w:pPr>
        <w:spacing w:after="0" w:line="117" w:lineRule="exact"/>
        <w:rPr>
          <w:sz w:val="20"/>
          <w:szCs w:val="20"/>
          <w:color w:val="auto"/>
        </w:rPr>
      </w:pPr>
    </w:p>
    <w:p>
      <w:pPr>
        <w:ind w:right="160" w:firstLine="457"/>
        <w:spacing w:after="0" w:line="307" w:lineRule="auto"/>
        <w:rPr>
          <w:sz w:val="20"/>
          <w:szCs w:val="20"/>
          <w:color w:val="auto"/>
        </w:rPr>
      </w:pPr>
      <w:r>
        <w:rPr>
          <w:rFonts w:ascii="Arial" w:cs="Arial" w:eastAsia="Arial" w:hAnsi="Arial"/>
          <w:sz w:val="15"/>
          <w:szCs w:val="15"/>
          <w:color w:val="auto"/>
        </w:rPr>
        <w:t>For each of its products, the Company generally provides a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The following table shows changes in the Company’s warranty obligations for the six months ended June 30, 2017 and 2016 and the years ended December 31, 2016 and 2015.</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Six Months Ended</w:t>
            </w:r>
          </w:p>
        </w:tc>
        <w:tc>
          <w:tcPr>
            <w:tcW w:w="28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7"/>
              <w:spacing w:after="0" w:line="137" w:lineRule="exact"/>
              <w:rPr>
                <w:sz w:val="20"/>
                <w:szCs w:val="20"/>
                <w:color w:val="auto"/>
              </w:rPr>
            </w:pPr>
            <w:r>
              <w:rPr>
                <w:rFonts w:ascii="Arial" w:cs="Arial" w:eastAsia="Arial" w:hAnsi="Arial"/>
                <w:sz w:val="14"/>
                <w:szCs w:val="14"/>
                <w:b w:val="1"/>
                <w:bCs w:val="1"/>
                <w:color w:val="auto"/>
                <w:w w:val="83"/>
              </w:rPr>
              <w:t>2016</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top w:val="single" w:sz="8" w:color="auto"/>
            </w:tcBorders>
          </w:tcPr>
          <w:p>
            <w:pPr>
              <w:jc w:val="right"/>
              <w:ind w:right="6"/>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$ 459</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$ 141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283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161</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544</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Utilized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(154)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(713)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419</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360</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$ 290</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Government Subsidies</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ACM Shanghai has been awarded three subsidies from local and central governmental authorities in the PRC. The first subsidy, which was awarded in October 2008, relates to the development and commercialization of 65-45 nanometer Stress Free Polishing technology. The second subsidy was awarded in April 2009 to fund interest expenses for short-term borrowings. The third subsidy was awarded in January 2014 and relates to the development of Electro Copper Plating technology. The PRC governmental authorities will provide the majority of the funding, although ACM Shanghai is also required to invest certain amounts in the projects.</w:t>
      </w:r>
    </w:p>
    <w:p>
      <w:pPr>
        <w:spacing w:after="0" w:line="180"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The government subsidies contain certain operating conditions and therefore are recorded as long-term liabilities upon receipt. The grant amounts are recognized in the statements of operations and comprehensive income:</w:t>
      </w:r>
    </w:p>
    <w:p>
      <w:pPr>
        <w:spacing w:after="0" w:line="67" w:lineRule="exact"/>
        <w:rPr>
          <w:sz w:val="20"/>
          <w:szCs w:val="20"/>
          <w:color w:val="auto"/>
        </w:rPr>
      </w:pPr>
    </w:p>
    <w:p>
      <w:pPr>
        <w:ind w:left="900" w:right="540" w:hanging="335"/>
        <w:spacing w:after="0" w:line="287"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recorded as reductions of those expenses in the periods in which the current expenses are recorded. For the six months ended June 30, 2017 and 2016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48" w:right="2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920" w:right="300"/>
        <w:spacing w:after="0" w:line="287" w:lineRule="auto"/>
        <w:rPr>
          <w:sz w:val="20"/>
          <w:szCs w:val="20"/>
          <w:color w:val="auto"/>
        </w:rPr>
      </w:pPr>
      <w:r>
        <w:rPr>
          <w:rFonts w:ascii="Arial" w:cs="Arial" w:eastAsia="Arial" w:hAnsi="Arial"/>
          <w:sz w:val="17"/>
          <w:szCs w:val="17"/>
          <w:color w:val="auto"/>
        </w:rPr>
        <w:t>and the years ended December 31, 2016 and 2015, related government subsidies recognized as reductions of relevant expenses in the consolidated statements of operations and comprehensive income were $2,090, $1,976, $6,244 and $3,799, respectively.</w:t>
      </w:r>
    </w:p>
    <w:p>
      <w:pPr>
        <w:spacing w:after="0" w:line="67" w:lineRule="exact"/>
        <w:rPr>
          <w:sz w:val="20"/>
          <w:szCs w:val="20"/>
          <w:color w:val="auto"/>
        </w:rPr>
      </w:pPr>
    </w:p>
    <w:p>
      <w:pPr>
        <w:ind w:left="900" w:right="40" w:hanging="335"/>
        <w:spacing w:after="0" w:line="357" w:lineRule="auto"/>
        <w:tabs>
          <w:tab w:leader="none" w:pos="9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Government subsidies for short-term borrowings’ interest expenses are reported as reductions of interest expenses in the period the interest is accrued, which were $0, $101, $99 and $303, respectively, for the six months ended June 30, 2017 and 2016 and years ended December 31, 2016 and 2015.</w:t>
      </w:r>
    </w:p>
    <w:p>
      <w:pPr>
        <w:spacing w:after="0" w:line="21" w:lineRule="exact"/>
        <w:rPr>
          <w:rFonts w:ascii="Arial" w:cs="Arial" w:eastAsia="Arial" w:hAnsi="Arial"/>
          <w:sz w:val="15"/>
          <w:szCs w:val="15"/>
          <w:color w:val="auto"/>
        </w:rPr>
      </w:pPr>
    </w:p>
    <w:p>
      <w:pPr>
        <w:ind w:left="900" w:hanging="33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Government subsidies related to depreciable</w:t>
      </w:r>
    </w:p>
    <w:p>
      <w:pPr>
        <w:spacing w:after="0" w:line="130" w:lineRule="exact"/>
        <w:rPr>
          <w:rFonts w:ascii="Arial" w:cs="Arial" w:eastAsia="Arial" w:hAnsi="Arial"/>
          <w:sz w:val="17"/>
          <w:szCs w:val="17"/>
          <w:color w:val="auto"/>
        </w:rPr>
      </w:pPr>
    </w:p>
    <w:p>
      <w:pPr>
        <w:ind w:left="900" w:right="160" w:hanging="335"/>
        <w:spacing w:after="0" w:line="271"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assets are credited to income over the useful lives of the related assets for which the grant was received. For the six months ended June 30, 2017 and 2016 and the years ended December 31, 2016 and 2015, related government subsidies recognized as other income in the consolidated statements of operations and comprehensive income were $65, $63, $127 and $105, respectively.</w:t>
      </w:r>
    </w:p>
    <w:p>
      <w:pPr>
        <w:spacing w:after="0" w:line="172"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Unearned government subsidies received are deferred for recognition and recorded as other long-term liabilities (note 11) in the balance sheet until the criteria for such recognition are satisfied.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w:t>
      </w:r>
    </w:p>
    <w:p>
      <w:pPr>
        <w:spacing w:after="0" w:line="117" w:lineRule="exact"/>
        <w:rPr>
          <w:sz w:val="20"/>
          <w:szCs w:val="20"/>
          <w:color w:val="auto"/>
        </w:rPr>
      </w:pPr>
    </w:p>
    <w:p>
      <w:pPr>
        <w:ind w:right="200" w:firstLine="457"/>
        <w:spacing w:after="0" w:line="320" w:lineRule="auto"/>
        <w:rPr>
          <w:sz w:val="20"/>
          <w:szCs w:val="20"/>
          <w:color w:val="auto"/>
        </w:rPr>
      </w:pPr>
      <w:r>
        <w:rPr>
          <w:rFonts w:ascii="Arial" w:cs="Arial" w:eastAsia="Arial" w:hAnsi="Arial"/>
          <w:sz w:val="16"/>
          <w:szCs w:val="16"/>
          <w:color w:val="auto"/>
        </w:rPr>
        <w:t xml:space="preserve">ACM grants stock options to employees and non-employee consultants and directors and accounts for those stock-based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and FASB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Stock-based awards granted to employees are measured at the fair value of the awards on the grant date and are recognized as expenses either</w:t>
      </w:r>
    </w:p>
    <w:p>
      <w:pPr>
        <w:spacing w:after="0" w:line="25" w:lineRule="exact"/>
        <w:rPr>
          <w:sz w:val="20"/>
          <w:szCs w:val="20"/>
          <w:color w:val="auto"/>
        </w:rPr>
      </w:pPr>
    </w:p>
    <w:p>
      <w:pPr>
        <w:ind w:firstLine="4"/>
        <w:spacing w:after="0" w:line="264" w:lineRule="auto"/>
        <w:tabs>
          <w:tab w:leader="none" w:pos="23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17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Operating and Financial Risks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Concentration of Credit Risk</w:t>
      </w:r>
    </w:p>
    <w:p>
      <w:pPr>
        <w:spacing w:after="0" w:line="11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Financial instruments that potentially subject to credit risk consist principally of cash and cash equivalents and accounts receivable. The Company deposits and invests its cash with financial institutions that management believes are creditworthy.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380"/>
          </w:cols>
          <w:pgMar w:left="240" w:top="448" w:right="27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Company is potentially subject to concentrations of credit risks in its accounts receivable. Four customers individually accounted for greater than ten percent of the Company’s revenue for the year ended 2016 and two of those customers individually accounted for greater than ten percent of the Company’s revenue in 2015:</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38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560" w:type="dxa"/>
            <w:vAlign w:val="bottom"/>
            <w:tcBorders>
              <w:top w:val="single" w:sz="8" w:color="auto"/>
              <w:bottom w:val="single" w:sz="8" w:color="auto"/>
            </w:tcBorders>
          </w:tcPr>
          <w:p>
            <w:pPr>
              <w:ind w:left="140"/>
              <w:spacing w:after="0" w:line="137"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16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33.7%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Customer B</w:t>
            </w:r>
          </w:p>
        </w:tc>
        <w:tc>
          <w:tcPr>
            <w:tcW w:w="560" w:type="dxa"/>
            <w:vAlign w:val="bottom"/>
          </w:tcPr>
          <w:p>
            <w:pPr>
              <w:ind w:left="260"/>
              <w:spacing w:after="0"/>
              <w:rPr>
                <w:sz w:val="20"/>
                <w:szCs w:val="20"/>
                <w:color w:val="auto"/>
              </w:rPr>
            </w:pPr>
            <w:r>
              <w:rPr>
                <w:rFonts w:ascii="Arial" w:cs="Arial" w:eastAsia="Arial" w:hAnsi="Arial"/>
                <w:sz w:val="17"/>
                <w:szCs w:val="17"/>
                <w:color w:val="auto"/>
                <w:w w:val="84"/>
              </w:rPr>
              <w:t>25.0</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Customer C</w:t>
            </w:r>
          </w:p>
        </w:tc>
        <w:tc>
          <w:tcPr>
            <w:tcW w:w="560" w:type="dxa"/>
            <w:vAlign w:val="bottom"/>
            <w:shd w:val="clear" w:color="auto" w:fill="CCEEFF"/>
          </w:tcPr>
          <w:p>
            <w:pPr>
              <w:ind w:left="260"/>
              <w:spacing w:after="0"/>
              <w:rPr>
                <w:sz w:val="20"/>
                <w:szCs w:val="20"/>
                <w:color w:val="auto"/>
              </w:rPr>
            </w:pPr>
            <w:r>
              <w:rPr>
                <w:rFonts w:ascii="Arial" w:cs="Arial" w:eastAsia="Arial" w:hAnsi="Arial"/>
                <w:sz w:val="17"/>
                <w:szCs w:val="17"/>
                <w:color w:val="auto"/>
                <w:w w:val="84"/>
              </w:rPr>
              <w:t>24.0</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Customer D</w:t>
            </w:r>
          </w:p>
        </w:tc>
        <w:tc>
          <w:tcPr>
            <w:tcW w:w="560" w:type="dxa"/>
            <w:vAlign w:val="bottom"/>
          </w:tcPr>
          <w:p>
            <w:pPr>
              <w:ind w:left="260"/>
              <w:spacing w:after="0"/>
              <w:rPr>
                <w:sz w:val="20"/>
                <w:szCs w:val="20"/>
                <w:color w:val="auto"/>
              </w:rPr>
            </w:pPr>
            <w:r>
              <w:rPr>
                <w:rFonts w:ascii="Arial" w:cs="Arial" w:eastAsia="Arial" w:hAnsi="Arial"/>
                <w:sz w:val="17"/>
                <w:szCs w:val="17"/>
                <w:color w:val="auto"/>
                <w:w w:val="84"/>
              </w:rPr>
              <w:t>16.6</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74930</wp:posOffset>
            </wp:positionV>
            <wp:extent cx="7200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38" w:lineRule="exact"/>
        <w:rPr>
          <w:sz w:val="20"/>
          <w:szCs w:val="20"/>
          <w:color w:val="auto"/>
        </w:rPr>
      </w:pPr>
    </w:p>
    <w:p>
      <w:pPr>
        <w:ind w:left="1940" w:hanging="463"/>
        <w:spacing w:after="0"/>
        <w:tabs>
          <w:tab w:leader="none" w:pos="19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Customer accounted for less than 10% of revenue in the period.</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7"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As of June 30, 2017 and December 31, 2016 and 2015, the balance of bank borrowings (note 6) and notes payable (note 8) were short-term in nature, matured at various dates within the following year and did not expose the Company to interest rate risk.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Risk</w:t>
      </w:r>
    </w:p>
    <w:p>
      <w:pPr>
        <w:spacing w:after="0" w:line="117"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The Company’s working capital at June 30, 2017 and December 31, 2016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Country Risk</w:t>
      </w:r>
    </w:p>
    <w:p>
      <w:pPr>
        <w:spacing w:after="0" w:line="117"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of taxation, among other things.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 and Translation</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Company’s consolidated financial statements are presented in U.S. dollars, which is the Company’s reporting currency, while the functional currency of ACM’s subsidiaries is the Chinese Renminbi (“RMB”). Changes in the relative values of U.S. dollars and Chinese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80"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Transactions of ACM’s subsidiaries involving foreign currencies are recorded in functional currency according to the rate of exchange prevailing on the date when the transaction occurs. The ending balances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00"/>
          </w:cols>
          <w:pgMar w:left="240" w:top="448" w:right="25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Company’s foreign currency accounts are converted into functional currency using the rate of exchange prevailing at the end of each reporting period. Net gains and losses resulting from foreign exchange transactions are included in the consolidated statements of operations and comprehensive income. Total exchange gain was, respectively, $408 and $383 for the six months ended June 30, 2017 and 2016 and $746 and $659 for the years ended December 31, 2016 and 2015.</w:t>
      </w:r>
    </w:p>
    <w:p>
      <w:pPr>
        <w:spacing w:after="0" w:line="13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Translations of amounts from RMB into U.S. dollars were made at the following exchange rates for the respective dates and periods:</w:t>
      </w:r>
    </w:p>
    <w:p>
      <w:pPr>
        <w:sectPr>
          <w:pgSz w:w="11900" w:h="16838" w:orient="portrait"/>
          <w:cols w:equalWidth="0" w:num="1">
            <w:col w:w="11420"/>
          </w:cols>
          <w:pgMar w:left="240" w:top="448" w:right="239" w:bottom="1440" w:gutter="0" w:footer="0" w:header="0"/>
        </w:sectPr>
      </w:pPr>
    </w:p>
    <w:p>
      <w:pPr>
        <w:spacing w:after="0" w:line="24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-115570</wp:posOffset>
            </wp:positionV>
            <wp:extent cx="6083935" cy="132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spacing w:after="0" w:line="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June 30, 2017</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-123190</wp:posOffset>
            </wp:positionV>
            <wp:extent cx="6083935" cy="132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7"/>
          <w:szCs w:val="17"/>
          <w:color w:val="auto"/>
        </w:rPr>
        <w:t>At December 31, 2015</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5"/>
          <w:szCs w:val="15"/>
          <w:u w:val="single" w:color="auto"/>
          <w:color w:val="auto"/>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-100965</wp:posOffset>
            </wp:positionV>
            <wp:extent cx="6083935" cy="132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spacing w:after="0" w:line="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Six months ended June 30, 2017</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-123190</wp:posOffset>
            </wp:positionV>
            <wp:extent cx="6083935" cy="132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7"/>
          <w:szCs w:val="17"/>
          <w:color w:val="auto"/>
        </w:rPr>
        <w:t>Year ended December 31, 2016</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-123190</wp:posOffset>
            </wp:positionV>
            <wp:extent cx="6083935" cy="132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RMB 6.7751 to $1.00</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RMB 6.9348 to $1.00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RMB 6.4936 to $1.00</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RMB 6.8681 to $1.00</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RMB 6.5317 to $1.00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RMB 6.6401 to $1.00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RMB 6.2284 to $1.00</w:t>
      </w:r>
    </w:p>
    <w:p>
      <w:pPr>
        <w:spacing w:after="0" w:line="533" w:lineRule="exact"/>
        <w:rPr>
          <w:sz w:val="20"/>
          <w:szCs w:val="20"/>
          <w:color w:val="auto"/>
        </w:rPr>
      </w:pPr>
    </w:p>
    <w:p>
      <w:pPr>
        <w:sectPr>
          <w:pgSz w:w="11900" w:h="16838" w:orient="portrait"/>
          <w:cols w:equalWidth="0" w:num="2">
            <w:col w:w="8180" w:space="720"/>
            <w:col w:w="2520"/>
          </w:cols>
          <w:pgMar w:left="240" w:top="448" w:right="239" w:bottom="1440" w:gutter="0" w:footer="0" w:header="0"/>
          <w:type w:val="continuous"/>
        </w:sectPr>
      </w:pPr>
    </w:p>
    <w:p>
      <w:pPr>
        <w:ind w:right="20" w:firstLine="457"/>
        <w:spacing w:after="0" w:line="323" w:lineRule="auto"/>
        <w:rPr>
          <w:sz w:val="20"/>
          <w:szCs w:val="20"/>
          <w:color w:val="auto"/>
        </w:rPr>
      </w:pPr>
      <w:r>
        <w:rPr>
          <w:rFonts w:ascii="Arial" w:cs="Arial" w:eastAsia="Arial" w:hAnsi="Arial"/>
          <w:sz w:val="15"/>
          <w:szCs w:val="15"/>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38"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63"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48" w:right="239" w:bottom="1440" w:gutter="0" w:footer="0" w:header="0"/>
          <w:type w:val="continuous"/>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Basic and Diluted Net Income (Loss) per Common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and diluted net income (loss) per common share are calculated as follows:</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6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Numerator:</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(2,955)</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(1,029)</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2,387</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(loss) attributable to non-controlling interest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7"/>
                <w:szCs w:val="17"/>
                <w:color w:val="auto"/>
              </w:rPr>
              <w:t>Net income allocated to participating securities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386</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available to common stockholders, basic</w:t>
            </w:r>
          </w:p>
        </w:tc>
        <w:tc>
          <w:tcPr>
            <w:tcW w:w="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(2,747)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Denominator:</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basic</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4,927,973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2,061,339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2,176,315</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2,047,383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7"/>
                <w:szCs w:val="17"/>
                <w:color w:val="auto"/>
              </w:rPr>
              <w:t>Effect of dilutive securities: Stock options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w w:val="89"/>
              </w:rPr>
              <w:t>1,615,822</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w w:val="89"/>
              </w:rPr>
              <w:t>1,096,737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80" w:type="dxa"/>
            <w:vAlign w:val="bottom"/>
            <w:gridSpan w:val="2"/>
          </w:tcPr>
          <w:p>
            <w:pPr>
              <w:spacing w:after="0"/>
              <w:rPr>
                <w:sz w:val="20"/>
                <w:szCs w:val="20"/>
                <w:color w:val="auto"/>
              </w:rPr>
            </w:pPr>
            <w:r>
              <w:rPr>
                <w:rFonts w:ascii="Arial" w:cs="Arial" w:eastAsia="Arial" w:hAnsi="Arial"/>
                <w:sz w:val="17"/>
                <w:szCs w:val="17"/>
                <w:color w:val="auto"/>
              </w:rPr>
              <w:t>Weighted average shares outstanding, diluted</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4,927,973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2,061,339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3,792,137</w:t>
            </w:r>
          </w:p>
        </w:tc>
        <w:tc>
          <w:tcPr>
            <w:tcW w:w="7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3,144,120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common share: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7"/>
                <w:szCs w:val="17"/>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(0.56)</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(0.27)</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0.30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(0.56)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color w:val="auto"/>
        </w:rPr>
        <w:t>Basic and diluted net income (loss) per common share is presented using the two-class method, which allocates undistributed earnings to common stock and any participating securities according to dividend rights and participation rights on a proportionate basis. Under the two-class method, basic net income (loss) per common share is computed by dividing the sum of distributed and undistributed earnings attributable to common stockholders by the weighted average number of shares of common stock outstanding during the period. Shares of ACM’s Series A, B, C, D and F convertible preferred stock are participating securities, as the holders are entitled to participate in and receive the same dividends as may be declared for common stockholders on a pro-rata, if-converted basis.</w:t>
      </w:r>
    </w:p>
    <w:p>
      <w:pPr>
        <w:spacing w:after="0" w:line="14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for the six months ended June 30, 2017 or the year ended December 31, 2016, the net income (loss) per common share attributable to each class is the same under the “two-class” method. As such, the two classes of common stock have been presented on a combined basis in the consolidated statements of operations and comprehensive (loss) income and in the above computation of net income (loss) per common share.</w:t>
      </w:r>
    </w:p>
    <w:p>
      <w:pPr>
        <w:spacing w:after="0" w:line="18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Diluted net income (loss) per common share reflects the potential dilution from securities that could share in ACM’s earnings. All potential dilutive securities, including potentially dilutive convertible preferred stocks and stock options, if any, were excluded from the computation of dilutive net loss per common share for the six</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00"/>
          </w:cols>
          <w:pgMar w:left="240" w:top="448" w:right="25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months ended June 30, 2017 and 2016, as their effects are antidilutive due to our net loss for those periods. The potentially dilutive securities that were not included in the calculation of diluted net income per share in the periods presented where their inclusion would be anti-dilutive are as follows: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12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4"/>
                <w:szCs w:val="14"/>
                <w:color w:val="auto"/>
              </w:rPr>
            </w:pPr>
          </w:p>
        </w:tc>
        <w:tc>
          <w:tcPr>
            <w:tcW w:w="2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860" w:type="dxa"/>
            <w:vAlign w:val="bottom"/>
            <w:tcBorders>
              <w:top w:val="single" w:sz="8" w:color="auto"/>
            </w:tcBorders>
          </w:tcPr>
          <w:p>
            <w:pPr>
              <w:jc w:val="right"/>
              <w:ind w:right="217"/>
              <w:spacing w:after="0" w:line="137"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tcBorders>
            <w:gridSpan w:val="2"/>
          </w:tcPr>
          <w:p>
            <w:pPr>
              <w:jc w:val="right"/>
              <w:ind w:right="233"/>
              <w:spacing w:after="0" w:line="137"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1"/>
                <w:szCs w:val="11"/>
                <w:color w:val="auto"/>
              </w:rPr>
            </w:pPr>
          </w:p>
        </w:tc>
        <w:tc>
          <w:tcPr>
            <w:tcW w:w="900" w:type="dxa"/>
            <w:vAlign w:val="bottom"/>
            <w:tcBorders>
              <w:top w:val="single" w:sz="8" w:color="auto"/>
            </w:tcBorders>
          </w:tcPr>
          <w:p>
            <w:pPr>
              <w:jc w:val="right"/>
              <w:ind w:right="242"/>
              <w:spacing w:after="0" w:line="137" w:lineRule="exact"/>
              <w:rPr>
                <w:sz w:val="20"/>
                <w:szCs w:val="20"/>
                <w:color w:val="auto"/>
              </w:rPr>
            </w:pPr>
            <w:r>
              <w:rPr>
                <w:rFonts w:ascii="Arial" w:cs="Arial" w:eastAsia="Arial" w:hAnsi="Arial"/>
                <w:sz w:val="14"/>
                <w:szCs w:val="14"/>
                <w:b w:val="1"/>
                <w:bCs w:val="1"/>
                <w:color w:val="auto"/>
              </w:rPr>
              <w:t>2016</w:t>
            </w:r>
          </w:p>
        </w:tc>
        <w:tc>
          <w:tcPr>
            <w:tcW w:w="1280" w:type="dxa"/>
            <w:vAlign w:val="bottom"/>
            <w:tcBorders>
              <w:top w:val="single" w:sz="8" w:color="auto"/>
            </w:tcBorders>
            <w:gridSpan w:val="2"/>
          </w:tcPr>
          <w:p>
            <w:pPr>
              <w:jc w:val="right"/>
              <w:ind w:right="23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Series A convertible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3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Series B convertible preferred stock</w:t>
            </w:r>
          </w:p>
        </w:tc>
        <w:tc>
          <w:tcPr>
            <w:tcW w:w="860" w:type="dxa"/>
            <w:vAlign w:val="bottom"/>
          </w:tcPr>
          <w:p>
            <w:pPr>
              <w:jc w:val="right"/>
              <w:spacing w:after="0"/>
              <w:rPr>
                <w:sz w:val="20"/>
                <w:szCs w:val="20"/>
                <w:color w:val="auto"/>
              </w:rPr>
            </w:pPr>
            <w:r>
              <w:rPr>
                <w:rFonts w:ascii="Arial" w:cs="Arial" w:eastAsia="Arial" w:hAnsi="Arial"/>
                <w:sz w:val="17"/>
                <w:szCs w:val="17"/>
                <w:color w:val="auto"/>
              </w:rPr>
              <w:t>524,003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524,003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524,003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524,003</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482,288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482,288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453,666</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Series D convertible preferred stock</w:t>
            </w:r>
          </w:p>
        </w:tc>
        <w:tc>
          <w:tcPr>
            <w:tcW w:w="860" w:type="dxa"/>
            <w:vAlign w:val="bottom"/>
          </w:tcPr>
          <w:p>
            <w:pPr>
              <w:jc w:val="right"/>
              <w:spacing w:after="0"/>
              <w:rPr>
                <w:sz w:val="20"/>
                <w:szCs w:val="20"/>
                <w:color w:val="auto"/>
              </w:rPr>
            </w:pPr>
            <w:r>
              <w:rPr>
                <w:rFonts w:ascii="Arial" w:cs="Arial" w:eastAsia="Arial" w:hAnsi="Arial"/>
                <w:sz w:val="17"/>
                <w:szCs w:val="17"/>
                <w:color w:val="auto"/>
              </w:rPr>
              <w:t>605,244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605,244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605,244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442,226</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Series F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1,221,099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1,221,099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r>
      <w:tr>
        <w:trPr>
          <w:trHeight w:val="221"/>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Stock options</w:t>
            </w:r>
          </w:p>
        </w:tc>
        <w:tc>
          <w:tcPr>
            <w:tcW w:w="860" w:type="dxa"/>
            <w:vAlign w:val="bottom"/>
          </w:tcPr>
          <w:p>
            <w:pPr>
              <w:jc w:val="right"/>
              <w:spacing w:after="0"/>
              <w:rPr>
                <w:sz w:val="20"/>
                <w:szCs w:val="20"/>
                <w:color w:val="auto"/>
              </w:rPr>
            </w:pPr>
            <w:r>
              <w:rPr>
                <w:rFonts w:ascii="Arial" w:cs="Arial" w:eastAsia="Arial" w:hAnsi="Arial"/>
                <w:sz w:val="17"/>
                <w:szCs w:val="17"/>
                <w:color w:val="auto"/>
              </w:rPr>
              <w:t>3,489,959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2,996,686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1,424,596</w:t>
            </w:r>
          </w:p>
        </w:tc>
        <w:tc>
          <w:tcPr>
            <w:tcW w:w="3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Warrant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397,502</w:t>
            </w: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6,848,429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4,736,555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4,385,564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1,548,229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(Loss) Attributable to the Company</w:t>
      </w:r>
    </w:p>
    <w:p>
      <w:pPr>
        <w:spacing w:after="0" w:line="117"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 xml:space="preserve">The Company applies FASB ASC Topic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which establishes standards for the reporting and display of comprehensive income or loss, requiring its components to be reported in a financial statement with the same prominence as other financial statements. The comprehensive income (loss) attributable to the Company was $(2,581), $(636), $704 and $5,202 for the six months ended June 30, 2017 and 2016 and the years ended December 31, 2016 and 2015,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Appropriated Retained Earnings</w:t>
      </w:r>
    </w:p>
    <w:p>
      <w:pPr>
        <w:spacing w:after="0" w:line="11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80" w:lineRule="exact"/>
        <w:rPr>
          <w:sz w:val="20"/>
          <w:szCs w:val="20"/>
          <w:color w:val="auto"/>
        </w:rPr>
      </w:pPr>
    </w:p>
    <w:p>
      <w:pPr>
        <w:ind w:right="100" w:firstLine="457"/>
        <w:spacing w:after="0" w:line="284" w:lineRule="auto"/>
        <w:rPr>
          <w:sz w:val="20"/>
          <w:szCs w:val="20"/>
          <w:color w:val="auto"/>
        </w:rPr>
      </w:pPr>
      <w:r>
        <w:rPr>
          <w:rFonts w:ascii="Arial" w:cs="Arial" w:eastAsia="Arial" w:hAnsi="Arial"/>
          <w:sz w:val="16"/>
          <w:szCs w:val="16"/>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No retained earnings of either PRC subsidiary had been appropriated to statutory surplus reserves as the PRC subsidiaries recorded accumulated losses as of June 30, 2017 and December 31, 2016 and 2015.</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Unaudited Pro Forma Balance Sheet and Basic and Diluted Net Income (Loss) per Common Share</w:t>
      </w:r>
    </w:p>
    <w:p>
      <w:pPr>
        <w:spacing w:after="0" w:line="117" w:lineRule="exact"/>
        <w:rPr>
          <w:sz w:val="20"/>
          <w:szCs w:val="20"/>
          <w:color w:val="auto"/>
        </w:rPr>
      </w:pPr>
    </w:p>
    <w:p>
      <w:pPr>
        <w:ind w:right="580" w:firstLine="457"/>
        <w:spacing w:after="0" w:line="287" w:lineRule="auto"/>
        <w:rPr>
          <w:sz w:val="20"/>
          <w:szCs w:val="20"/>
          <w:color w:val="auto"/>
        </w:rPr>
      </w:pPr>
      <w:r>
        <w:rPr>
          <w:rFonts w:ascii="Arial" w:cs="Arial" w:eastAsia="Arial" w:hAnsi="Arial"/>
          <w:sz w:val="17"/>
          <w:szCs w:val="17"/>
          <w:color w:val="auto"/>
        </w:rPr>
        <w:t>The unaudited pro forma consolidated balance sheet as of June 30, 2017 gives effect to the automatic conversion of all of the Company’s outstanding redeemable convertible preferred stock into shares of Class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448"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common stock, which will occur upon completion of an IPO of common stock with aggregate proceeds of at least $20,000 and a per share price of at least $15.00.</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consolidated balance sheet was prepared as though the completion of the IPO had occurred on June 30, 2017.</w:t>
      </w:r>
    </w:p>
    <w:p>
      <w:pPr>
        <w:spacing w:after="0" w:line="209"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Pro forma net income per share applicable to common stockholders is computed using the weighted-average number of common shares outstanding after giving effect to the conversion of all the outstanding convertible redeemable preferred stock into shares of Class A common stock as if such conversion had occurred at the beginning of the period presented, or the date of original issuance, if later.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117"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72"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Level 1: Valuations for assets and liabilities traded in active exchange markets. Valuations are obtained from readily available pricing sources for market transactions involving identical assets or liabilities.</w:t>
      </w:r>
    </w:p>
    <w:p>
      <w:pPr>
        <w:spacing w:after="0" w:line="158"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Level 2: Valuations for assets and liabilities traded in less active dealer or broker markets. Valuations are obtained from third party pricing services for identical or similar assets or liabilities.</w:t>
      </w:r>
    </w:p>
    <w:p>
      <w:pPr>
        <w:spacing w:after="0" w:line="158" w:lineRule="exact"/>
        <w:rPr>
          <w:sz w:val="20"/>
          <w:szCs w:val="20"/>
          <w:color w:val="auto"/>
        </w:rPr>
      </w:pPr>
    </w:p>
    <w:p>
      <w:pPr>
        <w:ind w:right="400" w:firstLine="457"/>
        <w:spacing w:after="0" w:line="271" w:lineRule="auto"/>
        <w:rPr>
          <w:sz w:val="20"/>
          <w:szCs w:val="20"/>
          <w:color w:val="auto"/>
        </w:rPr>
      </w:pPr>
      <w:r>
        <w:rPr>
          <w:rFonts w:ascii="Arial" w:cs="Arial" w:eastAsia="Arial" w:hAnsi="Arial"/>
          <w:sz w:val="17"/>
          <w:szCs w:val="17"/>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7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Measured or Disclosed on a Recurring Basis</w:t>
      </w:r>
    </w:p>
    <w:p>
      <w:pPr>
        <w:spacing w:after="0" w:line="117"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i w:val="1"/>
          <w:iCs w:val="1"/>
          <w:color w:val="auto"/>
        </w:rPr>
        <w:t>Short-term borrowings</w:t>
      </w:r>
      <w:r>
        <w:rPr>
          <w:rFonts w:ascii="Arial" w:cs="Arial" w:eastAsia="Arial" w:hAnsi="Arial"/>
          <w:sz w:val="17"/>
          <w:szCs w:val="17"/>
          <w:color w:val="auto"/>
        </w:rPr>
        <w:t>—Interest rates under the borrowing agreements with the lending parties were determined based on the prevailing interest rates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The Company classifies the valuation techniques that use these inputs as Level 2 fair value measurement.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48"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760" w:firstLine="457"/>
        <w:spacing w:after="0" w:line="320" w:lineRule="auto"/>
        <w:rPr>
          <w:sz w:val="20"/>
          <w:szCs w:val="20"/>
          <w:color w:val="auto"/>
        </w:rPr>
      </w:pPr>
      <w:r>
        <w:rPr>
          <w:rFonts w:ascii="Arial" w:cs="Arial" w:eastAsia="Arial" w:hAnsi="Arial"/>
          <w:sz w:val="16"/>
          <w:szCs w:val="16"/>
          <w:i w:val="1"/>
          <w:iCs w:val="1"/>
          <w:color w:val="auto"/>
        </w:rPr>
        <w:t>Warrant liability</w:t>
      </w:r>
      <w:r>
        <w:rPr>
          <w:rFonts w:ascii="Arial" w:cs="Arial" w:eastAsia="Arial" w:hAnsi="Arial"/>
          <w:sz w:val="16"/>
          <w:szCs w:val="16"/>
          <w:color w:val="auto"/>
        </w:rPr>
        <w:t>—The fair value of the warrant liability derives from the Black-Scholes valuation model which incorporates certain unobservable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(note 10). The Company classifies the valuation techniques that use these inputs as Level 3 fair value measurement.</w:t>
      </w:r>
    </w:p>
    <w:p>
      <w:pPr>
        <w:spacing w:after="0" w:line="135" w:lineRule="exact"/>
        <w:rPr>
          <w:sz w:val="20"/>
          <w:szCs w:val="20"/>
          <w:color w:val="auto"/>
        </w:rPr>
      </w:pPr>
    </w:p>
    <w:p>
      <w:pPr>
        <w:ind w:right="360" w:firstLine="457"/>
        <w:spacing w:after="0" w:line="323" w:lineRule="auto"/>
        <w:rPr>
          <w:sz w:val="20"/>
          <w:szCs w:val="20"/>
          <w:color w:val="auto"/>
        </w:rPr>
      </w:pPr>
      <w:r>
        <w:rPr>
          <w:rFonts w:ascii="Arial" w:cs="Arial" w:eastAsia="Arial" w:hAnsi="Arial"/>
          <w:sz w:val="15"/>
          <w:szCs w:val="15"/>
          <w:i w:val="1"/>
          <w:iCs w:val="1"/>
          <w:color w:val="auto"/>
        </w:rPr>
        <w:t>Other financial items for disclosure purpose</w:t>
      </w:r>
      <w:r>
        <w:rPr>
          <w:rFonts w:ascii="Arial" w:cs="Arial" w:eastAsia="Arial" w:hAnsi="Arial"/>
          <w:sz w:val="15"/>
          <w:szCs w:val="15"/>
          <w:color w:val="auto"/>
        </w:rPr>
        <w:t>—The fair value of other financial items of the Company for disclosure purpose, including cash and cash</w:t>
      </w:r>
      <w:r>
        <w:rPr>
          <w:rFonts w:ascii="Arial" w:cs="Arial" w:eastAsia="Arial" w:hAnsi="Arial"/>
          <w:sz w:val="15"/>
          <w:szCs w:val="15"/>
          <w:i w:val="1"/>
          <w:iCs w:val="1"/>
          <w:color w:val="auto"/>
        </w:rPr>
        <w:t xml:space="preserve"> </w:t>
      </w:r>
      <w:r>
        <w:rPr>
          <w:rFonts w:ascii="Arial" w:cs="Arial" w:eastAsia="Arial" w:hAnsi="Arial"/>
          <w:sz w:val="15"/>
          <w:szCs w:val="15"/>
          <w:color w:val="auto"/>
        </w:rPr>
        <w:t>equivalents, accounts receivable, other receivables, prepaid expenses, other current assets, notes payable, investors’ deposits, accounts payable, advances from customers, income taxes payable, and other payables and accrued expenses, approximate their carrying value due to their short-term nature.</w:t>
      </w:r>
    </w:p>
    <w:p>
      <w:pPr>
        <w:spacing w:after="0" w:line="138"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As of June 30, 2017 and December 31, 2016 and 2015, information about inputs into the fair value measurement of the Company’s liabilities that are measured and recorded at fair value on a recurring basis in periods subsequent to their initial recognition is as follows: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0"/>
              </w:rPr>
              <w:t>Fair Value Measurement at Reporting Date Using</w:t>
            </w: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2"/>
          </w:tcPr>
          <w:p>
            <w:pPr>
              <w:spacing w:after="0" w:line="114" w:lineRule="exact"/>
              <w:rPr>
                <w:sz w:val="20"/>
                <w:szCs w:val="20"/>
                <w:color w:val="auto"/>
              </w:rPr>
            </w:pPr>
            <w:r>
              <w:rPr>
                <w:rFonts w:ascii="Arial" w:cs="Arial" w:eastAsia="Arial" w:hAnsi="Arial"/>
                <w:sz w:val="13"/>
                <w:szCs w:val="13"/>
                <w:b w:val="1"/>
                <w:bCs w:val="1"/>
                <w:color w:val="auto"/>
                <w:w w:val="92"/>
              </w:rPr>
              <w:t>Quoted Prices in</w:t>
            </w:r>
          </w:p>
        </w:tc>
        <w:tc>
          <w:tcPr>
            <w:tcW w:w="820" w:type="dxa"/>
            <w:vAlign w:val="bottom"/>
          </w:tcPr>
          <w:p>
            <w:pPr>
              <w:spacing w:after="0"/>
              <w:rPr>
                <w:sz w:val="9"/>
                <w:szCs w:val="9"/>
                <w:color w:val="auto"/>
              </w:rPr>
            </w:pPr>
          </w:p>
        </w:tc>
        <w:tc>
          <w:tcPr>
            <w:tcW w:w="140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Significant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6"/>
              </w:rPr>
              <w:t>Significant</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3"/>
              </w:rPr>
              <w:t>Active Markets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0"/>
              <w:spacing w:after="0" w:line="143" w:lineRule="exact"/>
              <w:rPr>
                <w:sz w:val="20"/>
                <w:szCs w:val="20"/>
                <w:color w:val="auto"/>
              </w:rPr>
            </w:pPr>
            <w:r>
              <w:rPr>
                <w:rFonts w:ascii="Arial" w:cs="Arial" w:eastAsia="Arial" w:hAnsi="Arial"/>
                <w:sz w:val="14"/>
                <w:szCs w:val="14"/>
                <w:b w:val="1"/>
                <w:bCs w:val="1"/>
                <w:color w:val="auto"/>
                <w:w w:val="93"/>
              </w:rPr>
              <w:t>for Identical</w:t>
            </w:r>
          </w:p>
        </w:tc>
        <w:tc>
          <w:tcPr>
            <w:tcW w:w="2220" w:type="dxa"/>
            <w:vAlign w:val="bottom"/>
            <w:gridSpan w:val="4"/>
          </w:tcPr>
          <w:p>
            <w:pPr>
              <w:ind w:left="820"/>
              <w:spacing w:after="0" w:line="143" w:lineRule="exact"/>
              <w:rPr>
                <w:sz w:val="20"/>
                <w:szCs w:val="20"/>
                <w:color w:val="auto"/>
              </w:rPr>
            </w:pPr>
            <w:r>
              <w:rPr>
                <w:rFonts w:ascii="Arial" w:cs="Arial" w:eastAsia="Arial" w:hAnsi="Arial"/>
                <w:sz w:val="14"/>
                <w:szCs w:val="14"/>
                <w:b w:val="1"/>
                <w:bCs w:val="1"/>
                <w:color w:val="auto"/>
              </w:rPr>
              <w:t>Observable</w:t>
            </w:r>
          </w:p>
        </w:tc>
        <w:tc>
          <w:tcPr>
            <w:tcW w:w="1360" w:type="dxa"/>
            <w:vAlign w:val="bottom"/>
            <w:gridSpan w:val="4"/>
          </w:tcPr>
          <w:p>
            <w:pPr>
              <w:ind w:left="100"/>
              <w:spacing w:after="0" w:line="143" w:lineRule="exact"/>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0"/>
              <w:spacing w:after="0" w:line="143" w:lineRule="exact"/>
              <w:rPr>
                <w:sz w:val="20"/>
                <w:szCs w:val="20"/>
                <w:color w:val="auto"/>
              </w:rPr>
            </w:pPr>
            <w:r>
              <w:rPr>
                <w:rFonts w:ascii="Arial" w:cs="Arial" w:eastAsia="Arial" w:hAnsi="Arial"/>
                <w:sz w:val="14"/>
                <w:szCs w:val="14"/>
                <w:b w:val="1"/>
                <w:bCs w:val="1"/>
                <w:color w:val="auto"/>
                <w:w w:val="92"/>
              </w:rPr>
              <w:t>Liabilities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90"/>
              </w:rPr>
              <w:t>Inputs</w:t>
            </w:r>
          </w:p>
        </w:tc>
        <w:tc>
          <w:tcPr>
            <w:tcW w:w="400" w:type="dxa"/>
            <w:vAlign w:val="bottom"/>
          </w:tcPr>
          <w:p>
            <w:pPr>
              <w:spacing w:after="0"/>
              <w:rPr>
                <w:sz w:val="12"/>
                <w:szCs w:val="12"/>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(Level 1)</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(Level 3)</w:t>
            </w:r>
          </w:p>
        </w:tc>
        <w:tc>
          <w:tcPr>
            <w:tcW w:w="4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left="241"/>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June 30, 2017 (unaudited):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Short-term borrowings (unaudited)</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4,584</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7"/>
                <w:szCs w:val="17"/>
                <w:color w:val="auto"/>
              </w:rPr>
              <w:t>Warrant liability (unaudited)</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right="1"/>
              <w:spacing w:after="0"/>
              <w:rPr>
                <w:sz w:val="20"/>
                <w:szCs w:val="20"/>
                <w:color w:val="auto"/>
              </w:rPr>
            </w:pPr>
            <w:r>
              <w:rPr>
                <w:rFonts w:ascii="Arial" w:cs="Arial" w:eastAsia="Arial" w:hAnsi="Arial"/>
                <w:sz w:val="17"/>
                <w:szCs w:val="17"/>
                <w:color w:val="auto"/>
                <w:w w:val="93"/>
              </w:rPr>
              <w:t>4,584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20"/>
              <w:spacing w:after="0"/>
              <w:rPr>
                <w:sz w:val="20"/>
                <w:szCs w:val="20"/>
                <w:color w:val="auto"/>
              </w:rPr>
            </w:pPr>
            <w:r>
              <w:rPr>
                <w:rFonts w:ascii="Arial" w:cs="Arial" w:eastAsia="Arial" w:hAnsi="Arial"/>
                <w:sz w:val="17"/>
                <w:szCs w:val="17"/>
                <w:color w:val="auto"/>
                <w:w w:val="93"/>
              </w:rPr>
              <w:t>2,970</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December 31, 2016: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Short-term borrowings</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4,761</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 of December 31, 2015:</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0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7"/>
                <w:szCs w:val="17"/>
                <w:color w:val="auto"/>
              </w:rPr>
              <w:t>Short-term borrowings</w:t>
            </w:r>
          </w:p>
        </w:tc>
        <w:tc>
          <w:tcPr>
            <w:tcW w:w="100" w:type="dxa"/>
            <w:vAlign w:val="bottom"/>
            <w:gridSpan w:val="2"/>
          </w:tcPr>
          <w:p>
            <w:pPr>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640"/>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6,854</w:t>
            </w:r>
          </w:p>
        </w:tc>
        <w:tc>
          <w:tcPr>
            <w:tcW w:w="7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Measured on a Non-Recurring Basis</w:t>
      </w:r>
    </w:p>
    <w:p>
      <w:pPr>
        <w:spacing w:after="0" w:line="11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Company reviews long-lived assets for impairment annually or more frequently if events or changes in circumstances indicate the possibility of impairment. Long-lived assets are measured at fair value on a nonrecurring basis when there is an indicator of impairment, and they are recorded at fair value only when impairment is recognized. In determining the fair value, the Company used projections of cash flows directly associated with, and which are expected to arise as a direct result of, the use and eventual disposition of the assets. This approach required significant judgments including the Company’s projected net cash flows, which were derived using the most recent available estimate for the reporting unit containing the assets tested. Several key assumptions included periods of operation, projections of product pricing, production levels, product costs, market supply and demand, and inflation.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380"/>
          </w:cols>
          <w:pgMar w:left="240" w:top="448" w:right="27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 of Accounts</w:t>
      </w:r>
    </w:p>
    <w:p>
      <w:pPr>
        <w:spacing w:after="0" w:line="117"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Certain prior year’s amounts have been reclassified to conform to current year presentations. There was no change to previously reported stockholders’ deficit or net income.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Pronouncements Recently Adopted in the Consolidated Financial Statements for the Six Months Ended June 30, 2017</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April 2016, the FASB issued Accounting Standards Update (“ASU”) No. 2016-09,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Share-Based Payment Accounting</w:t>
      </w:r>
      <w:r>
        <w:rPr>
          <w:rFonts w:ascii="Arial" w:cs="Arial" w:eastAsia="Arial" w:hAnsi="Arial"/>
          <w:sz w:val="16"/>
          <w:szCs w:val="16"/>
          <w:color w:val="auto"/>
        </w:rPr>
        <w:t>, which simplifies several aspects of the accounting for employee stock-based payment transactions. The areas for</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 ASU No. 2016-09 include the income tax consequences, classification of awards as either equity or liabilities, and classification on the statement of cash flows. The amendments in this ASU were effective for annual periods beginning after December 15, 2016 and interim periods within those annual periods. The adoption of ASU No. 2016-09 did not have a material impact on the Company’s consolidated financial statements.</w:t>
      </w:r>
    </w:p>
    <w:p>
      <w:pPr>
        <w:spacing w:after="0" w:line="163"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the Company’s consolidated financial statements.</w:t>
      </w:r>
    </w:p>
    <w:p>
      <w:pPr>
        <w:spacing w:after="0" w:line="172"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 xml:space="preserve">In July 2015, the FASB issued ASU No.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the Company’s consolidated financial statements. The relevant descriptions have been included in the inventory accounting policy.</w:t>
      </w:r>
    </w:p>
    <w:p>
      <w:pPr>
        <w:spacing w:after="0" w:line="171"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The amendments in this update require management to evaluate whether there are conditions and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320"/>
          </w:cols>
          <w:pgMar w:left="240" w:top="448" w:right="3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 xml:space="preserve">events that raise substantial doubt about an entity’s ability to continue as a going concern for both annual and interim reporting. The guidance is effective for the Company for the annual period ended after December 15, 2016 and interim periods thereafter. Management performed an evaluation of the Company’s ability to fund operations and to continue as a going concern according to ASC Topic 205-40,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The adoption of ASU No. 2014-15 did not have a material impact on the Company’s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17" w:lineRule="exact"/>
        <w:rPr>
          <w:sz w:val="20"/>
          <w:szCs w:val="20"/>
          <w:color w:val="auto"/>
        </w:rPr>
      </w:pPr>
    </w:p>
    <w:p>
      <w:pPr>
        <w:ind w:right="80" w:firstLine="457"/>
        <w:spacing w:after="0" w:line="277"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which addresses the complexity of accounting for certain financial instruments with down round features. Down round features are features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The Company is currently evaluating the impact of the adoption of ASU No. 2017-11 on its consolidated financial statements.</w:t>
      </w:r>
    </w:p>
    <w:p>
      <w:pPr>
        <w:spacing w:after="0" w:line="171" w:lineRule="exact"/>
        <w:rPr>
          <w:sz w:val="20"/>
          <w:szCs w:val="20"/>
          <w:color w:val="auto"/>
        </w:rPr>
      </w:pPr>
    </w:p>
    <w:p>
      <w:pPr>
        <w:ind w:right="60" w:firstLine="457"/>
        <w:spacing w:after="0" w:line="298" w:lineRule="auto"/>
        <w:rPr>
          <w:sz w:val="20"/>
          <w:szCs w:val="20"/>
          <w:color w:val="auto"/>
        </w:rPr>
      </w:pPr>
      <w:r>
        <w:rPr>
          <w:rFonts w:ascii="Arial" w:cs="Arial" w:eastAsia="Arial" w:hAnsi="Arial"/>
          <w:sz w:val="15"/>
          <w:szCs w:val="15"/>
          <w:color w:val="auto"/>
        </w:rPr>
        <w:t xml:space="preserve">In May 2017, the FASB issued ASU No. 2017-09, </w:t>
      </w:r>
      <w:r>
        <w:rPr>
          <w:rFonts w:ascii="Arial" w:cs="Arial" w:eastAsia="Arial" w:hAnsi="Arial"/>
          <w:sz w:val="15"/>
          <w:szCs w:val="15"/>
          <w:i w:val="1"/>
          <w:iCs w:val="1"/>
          <w:color w:val="auto"/>
        </w:rPr>
        <w:t>Compensation—Stock Compensation (Topic 718): Scope of Modification Accounting</w:t>
      </w:r>
      <w:r>
        <w:rPr>
          <w:rFonts w:ascii="Arial" w:cs="Arial" w:eastAsia="Arial" w:hAnsi="Arial"/>
          <w:sz w:val="15"/>
          <w:szCs w:val="15"/>
          <w:color w:val="auto"/>
        </w:rPr>
        <w:t>, which provides guidance on determining which changes to the terms and conditions of share-based payment awards require an entity to apply modification accounting under Topic</w:t>
      </w:r>
    </w:p>
    <w:p>
      <w:pPr>
        <w:spacing w:after="0" w:line="1" w:lineRule="exact"/>
        <w:rPr>
          <w:sz w:val="20"/>
          <w:szCs w:val="20"/>
          <w:color w:val="auto"/>
        </w:rPr>
      </w:pPr>
    </w:p>
    <w:p>
      <w:pPr>
        <w:ind w:firstLine="4"/>
        <w:spacing w:after="0" w:line="260" w:lineRule="auto"/>
        <w:tabs>
          <w:tab w:leader="none" w:pos="34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Company does not expect the adoption of ASU No. 2017-09 to have a material impact on its consolidated financial statements.</w:t>
      </w:r>
    </w:p>
    <w:p>
      <w:pPr>
        <w:spacing w:after="0" w:line="76"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Asset Derecognition Guidance and Accounting for Partial Sales of Nonfinancial Assets</w:t>
      </w:r>
      <w:r>
        <w:rPr>
          <w:rFonts w:ascii="Arial" w:cs="Arial" w:eastAsia="Arial" w:hAnsi="Arial"/>
          <w:sz w:val="17"/>
          <w:szCs w:val="17"/>
          <w:color w:val="auto"/>
        </w:rPr>
        <w:t>, which clarifies the scope of nonfinancial asset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Company does not expect the adoption of ASU No. 2017-05 to have a material impact on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48" w:right="2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The Company is currently evaluating the impact of the adoption of ASU 2017-04 on its consolidated financial statements.</w:t>
      </w:r>
    </w:p>
    <w:p>
      <w:pPr>
        <w:spacing w:after="0" w:line="18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Company does not expect the adoption of ASU No. 2016-18 to have a material impact on its consolidated financial statements.</w:t>
      </w:r>
    </w:p>
    <w:p>
      <w:pPr>
        <w:spacing w:after="0" w:line="166" w:lineRule="exact"/>
        <w:rPr>
          <w:sz w:val="20"/>
          <w:szCs w:val="20"/>
          <w:color w:val="auto"/>
        </w:rPr>
      </w:pPr>
    </w:p>
    <w:p>
      <w:pPr>
        <w:ind w:right="220" w:firstLine="457"/>
        <w:spacing w:after="0" w:line="293"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w:t>
      </w:r>
    </w:p>
    <w:p>
      <w:pPr>
        <w:spacing w:after="0" w:line="2" w:lineRule="exact"/>
        <w:rPr>
          <w:sz w:val="20"/>
          <w:szCs w:val="20"/>
          <w:color w:val="auto"/>
        </w:rPr>
      </w:pPr>
    </w:p>
    <w:p>
      <w:pPr>
        <w:ind w:right="220" w:firstLine="4"/>
        <w:spacing w:after="0" w:line="282" w:lineRule="auto"/>
        <w:tabs>
          <w:tab w:leader="none" w:pos="24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is currently evaluating the impact of the adoption of ASU No. 2016-15 on its consolidated financial statements.</w:t>
      </w:r>
    </w:p>
    <w:p>
      <w:pPr>
        <w:spacing w:after="0" w:line="16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update create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supersede the leases requirements in Topic 840, </w:t>
      </w:r>
      <w:r>
        <w:rPr>
          <w:rFonts w:ascii="Arial" w:cs="Arial" w:eastAsia="Arial" w:hAnsi="Arial"/>
          <w:sz w:val="17"/>
          <w:szCs w:val="17"/>
          <w:i w:val="1"/>
          <w:iCs w:val="1"/>
          <w:color w:val="auto"/>
        </w:rPr>
        <w:t>Leases</w:t>
      </w:r>
      <w:r>
        <w:rPr>
          <w:rFonts w:ascii="Arial" w:cs="Arial" w:eastAsia="Arial" w:hAnsi="Arial"/>
          <w:sz w:val="17"/>
          <w:szCs w:val="17"/>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48"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The Company is currently in the process of evaluating the impact of the adoption of ASU No. 2016-02 on its consolidated financial statements.</w:t>
      </w:r>
    </w:p>
    <w:p>
      <w:pPr>
        <w:spacing w:after="0" w:line="146"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No. 2014-09 supersedes the revenue recognition requirements in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xml:space="preserve">”, and requires entities to recognize revenue when it transfers promised goods or services to customers in an amount that reflects the consideration to which the entity expects to be entitled to in exchange for those goods or services.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6"/>
          <w:szCs w:val="16"/>
          <w:i w:val="1"/>
          <w:iCs w:val="1"/>
          <w:color w:val="auto"/>
        </w:rPr>
        <w:t>Revenue from Contracts with Customers (Topic 606): 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Considerations (Reporting Revenue Gross versus Net) </w:t>
      </w:r>
      <w:r>
        <w:rPr>
          <w:rFonts w:ascii="Arial" w:cs="Arial" w:eastAsia="Arial" w:hAnsi="Arial"/>
          <w:sz w:val="16"/>
          <w:szCs w:val="16"/>
          <w:color w:val="auto"/>
        </w:rPr>
        <w:t>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represents changes to make minor corrections or minor improvements to the Codification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The Company will adopt ASU No. 2014-09, ASU No. 2016-08, ASU No. 2016-10, ASU No. 2016-12 and ASU No. 2016-20 at January 1, 2018 if the IPO is completed by December 31, 2017. The Company is currently in the process of assessing the potential effects of these ASUs on its consolidated financial statements, business processes, systems and controls. While the assessment process is ongoing, the Company anticipates adopting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transition approach. Under this approach, ASC Topic 606 would apply to all new contracts initiated on or after January 1, 2018. For existing contracts that have remaining obligations as of January 1, 2018, any difference between the recognition criteria in these ASUs and the Company’s current revenue recognition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00"/>
          </w:cols>
          <w:pgMar w:left="240" w:top="448" w:right="2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practices would be recognized using a cumulative effect adjustment to the opening balance of accumulated deficit. The Company does not expect the adoption of these ASUs to have a material impact on its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ACCOUNTS RECEIVABLE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accounts receivable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4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4700" w:type="dxa"/>
            <w:vAlign w:val="bottom"/>
          </w:tcPr>
          <w:p>
            <w:pPr>
              <w:spacing w:after="0"/>
              <w:rPr>
                <w:sz w:val="11"/>
                <w:szCs w:val="11"/>
                <w:color w:val="auto"/>
              </w:rPr>
            </w:pPr>
          </w:p>
        </w:tc>
        <w:tc>
          <w:tcPr>
            <w:tcW w:w="2600" w:type="dxa"/>
            <w:vAlign w:val="bottom"/>
            <w:gridSpan w:val="2"/>
          </w:tcPr>
          <w:p>
            <w:pPr>
              <w:jc w:val="center"/>
              <w:ind w:left="1922"/>
              <w:spacing w:after="0" w:line="137" w:lineRule="exact"/>
              <w:rPr>
                <w:sz w:val="20"/>
                <w:szCs w:val="20"/>
                <w:color w:val="auto"/>
              </w:rPr>
            </w:pPr>
            <w:r>
              <w:rPr>
                <w:rFonts w:ascii="Arial" w:cs="Arial" w:eastAsia="Arial" w:hAnsi="Arial"/>
                <w:sz w:val="14"/>
                <w:szCs w:val="14"/>
                <w:b w:val="1"/>
                <w:bCs w:val="1"/>
                <w:color w:val="auto"/>
                <w:w w:val="89"/>
              </w:rPr>
              <w:t>2017</w:t>
            </w:r>
          </w:p>
        </w:tc>
        <w:tc>
          <w:tcPr>
            <w:tcW w:w="520" w:type="dxa"/>
            <w:vAlign w:val="bottom"/>
          </w:tcPr>
          <w:p>
            <w:pPr>
              <w:spacing w:after="0"/>
              <w:rPr>
                <w:sz w:val="11"/>
                <w:szCs w:val="11"/>
                <w:color w:val="auto"/>
              </w:rPr>
            </w:pPr>
          </w:p>
        </w:tc>
        <w:tc>
          <w:tcPr>
            <w:tcW w:w="580" w:type="dxa"/>
            <w:vAlign w:val="bottom"/>
            <w:tcBorders>
              <w:top w:val="single" w:sz="8" w:color="auto"/>
            </w:tcBorders>
          </w:tcPr>
          <w:p>
            <w:pPr>
              <w:jc w:val="right"/>
              <w:ind w:right="82"/>
              <w:spacing w:after="0" w:line="137"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tcBorders>
            <w:gridSpan w:val="2"/>
          </w:tcPr>
          <w:p>
            <w:pPr>
              <w:jc w:val="right"/>
              <w:ind w:right="5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202"/>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$12,310</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$16,026</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$12,186</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470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20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(116)</w:t>
            </w:r>
          </w:p>
        </w:tc>
      </w:tr>
      <w:tr>
        <w:trPr>
          <w:trHeight w:val="26"/>
        </w:trPr>
        <w:tc>
          <w:tcPr>
            <w:tcW w:w="47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4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2600" w:type="dxa"/>
            <w:vAlign w:val="bottom"/>
            <w:gridSpan w:val="2"/>
            <w:shd w:val="clear" w:color="auto" w:fill="CCEEFF"/>
          </w:tcPr>
          <w:p>
            <w:pPr>
              <w:jc w:val="center"/>
              <w:ind w:left="1942"/>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12,310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16,026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12,070</w:t>
            </w:r>
          </w:p>
        </w:tc>
        <w:tc>
          <w:tcPr>
            <w:tcW w:w="12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The movements of allowance for doubtful accounts for the six months ended June 30, 2017 and the years ended December 31, 2016 and 2015 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1"/>
                <w:szCs w:val="11"/>
                <w:color w:val="auto"/>
              </w:rPr>
            </w:pPr>
          </w:p>
        </w:tc>
        <w:tc>
          <w:tcPr>
            <w:tcW w:w="400" w:type="dxa"/>
            <w:vAlign w:val="bottom"/>
            <w:tcBorders>
              <w:top w:val="single" w:sz="8" w:color="auto"/>
            </w:tcBorders>
          </w:tcPr>
          <w:p>
            <w:pPr>
              <w:jc w:val="right"/>
              <w:ind w:right="2"/>
              <w:spacing w:after="0" w:line="137"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left="191"/>
              <w:spacing w:after="0" w:line="137" w:lineRule="exact"/>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84"/>
              </w:rPr>
              <w:t>116</w:t>
            </w: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$ 116</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$116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Write-off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(116)</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3"/>
        </w:trPr>
        <w:tc>
          <w:tcPr>
            <w:tcW w:w="6840" w:type="dxa"/>
            <w:vAlign w:val="bottom"/>
            <w:gridSpan w:val="2"/>
            <w:vMerge w:val="restart"/>
          </w:tcPr>
          <w:p>
            <w:pPr>
              <w:spacing w:after="0"/>
              <w:rPr>
                <w:sz w:val="20"/>
                <w:szCs w:val="20"/>
                <w:color w:val="auto"/>
              </w:rPr>
            </w:pPr>
            <w:r>
              <w:rPr>
                <w:rFonts w:ascii="Arial" w:cs="Arial" w:eastAsia="Arial" w:hAnsi="Arial"/>
                <w:sz w:val="17"/>
                <w:szCs w:val="17"/>
                <w:color w:val="auto"/>
              </w:rPr>
              <w:t>Balance at end of period</w:t>
            </w:r>
          </w:p>
        </w:tc>
        <w:tc>
          <w:tcPr>
            <w:tcW w:w="10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84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84"/>
              </w:rPr>
              <w:t>116</w:t>
            </w:r>
          </w:p>
        </w:tc>
        <w:tc>
          <w:tcPr>
            <w:tcW w:w="64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7"/>
                <w:szCs w:val="17"/>
                <w:color w:val="auto"/>
                <w:w w:val="89"/>
              </w:rPr>
              <w:t>$ —</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As of December 31, 2015, the Company had pledged its accounts receivable of $6,670 as security under a short-term bank loan, which was paid during the year ended December 31, 2016 (note 6). As of June 30, 2017 and December 31, 2016, no accounts receivable were pledged as collateral for borrowings from financial institutions.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INVENTORY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inventory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3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32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6"/>
              <w:spacing w:after="0" w:line="137" w:lineRule="exact"/>
              <w:rPr>
                <w:sz w:val="20"/>
                <w:szCs w:val="20"/>
                <w:color w:val="auto"/>
              </w:rPr>
            </w:pPr>
            <w:r>
              <w:rPr>
                <w:rFonts w:ascii="Arial" w:cs="Arial" w:eastAsia="Arial" w:hAnsi="Arial"/>
                <w:sz w:val="14"/>
                <w:szCs w:val="14"/>
                <w:b w:val="1"/>
                <w:bCs w:val="1"/>
                <w:color w:val="auto"/>
                <w:w w:val="96"/>
              </w:rPr>
              <w:t>2017</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7"/>
              <w:spacing w:after="0" w:line="137"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3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7,662</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7,698</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$4,454</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Work in process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3,307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1,260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878</w:t>
            </w:r>
          </w:p>
        </w:tc>
        <w:tc>
          <w:tcPr>
            <w:tcW w:w="60" w:type="dxa"/>
            <w:vAlign w:val="bottom"/>
          </w:tcPr>
          <w:p>
            <w:pPr>
              <w:spacing w:after="0"/>
              <w:rPr>
                <w:sz w:val="18"/>
                <w:szCs w:val="18"/>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3,814</w:t>
            </w:r>
          </w:p>
        </w:tc>
        <w:tc>
          <w:tcPr>
            <w:tcW w:w="60" w:type="dxa"/>
            <w:vAlign w:val="bottom"/>
            <w:shd w:val="clear" w:color="auto" w:fill="CCEEFF"/>
          </w:tcPr>
          <w:p>
            <w:pPr>
              <w:spacing w:after="0"/>
              <w:rPr>
                <w:sz w:val="18"/>
                <w:szCs w:val="18"/>
                <w:color w:val="auto"/>
              </w:rPr>
            </w:pPr>
          </w:p>
        </w:tc>
      </w:tr>
      <w:tr>
        <w:trPr>
          <w:trHeight w:val="215"/>
        </w:trPr>
        <w:tc>
          <w:tcPr>
            <w:tcW w:w="3240" w:type="dxa"/>
            <w:vAlign w:val="bottom"/>
          </w:tcPr>
          <w:p>
            <w:pPr>
              <w:ind w:left="360"/>
              <w:spacing w:after="0"/>
              <w:rPr>
                <w:sz w:val="20"/>
                <w:szCs w:val="20"/>
                <w:color w:val="auto"/>
              </w:rPr>
            </w:pPr>
            <w:r>
              <w:rPr>
                <w:rFonts w:ascii="Arial" w:cs="Arial" w:eastAsia="Arial" w:hAnsi="Arial"/>
                <w:sz w:val="17"/>
                <w:szCs w:val="17"/>
                <w:color w:val="auto"/>
              </w:rPr>
              <w:t>Total inventory, gross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14,106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8"/>
              </w:rPr>
              <w:t>11,666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9,146</w:t>
            </w:r>
          </w:p>
        </w:tc>
        <w:tc>
          <w:tcPr>
            <w:tcW w:w="60" w:type="dxa"/>
            <w:vAlign w:val="bottom"/>
          </w:tcPr>
          <w:p>
            <w:pPr>
              <w:spacing w:after="0"/>
              <w:rPr>
                <w:sz w:val="18"/>
                <w:szCs w:val="18"/>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w:t>
            </w:r>
          </w:p>
        </w:tc>
        <w:tc>
          <w:tcPr>
            <w:tcW w:w="3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15"/>
        </w:trPr>
        <w:tc>
          <w:tcPr>
            <w:tcW w:w="3240" w:type="dxa"/>
            <w:vAlign w:val="bottom"/>
          </w:tcPr>
          <w:p>
            <w:pPr>
              <w:ind w:left="360"/>
              <w:spacing w:after="0"/>
              <w:rPr>
                <w:sz w:val="20"/>
                <w:szCs w:val="20"/>
                <w:color w:val="auto"/>
              </w:rPr>
            </w:pPr>
            <w:r>
              <w:rPr>
                <w:rFonts w:ascii="Arial" w:cs="Arial" w:eastAsia="Arial" w:hAnsi="Arial"/>
                <w:sz w:val="17"/>
                <w:szCs w:val="17"/>
                <w:color w:val="auto"/>
              </w:rPr>
              <w:t>Total inventory, net</w:t>
            </w:r>
          </w:p>
        </w:tc>
        <w:tc>
          <w:tcPr>
            <w:tcW w:w="3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14,106</w:t>
            </w: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11,666</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9,146</w:t>
            </w:r>
          </w:p>
        </w:tc>
        <w:tc>
          <w:tcPr>
            <w:tcW w:w="6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3240" w:type="dxa"/>
            <w:vAlign w:val="bottom"/>
          </w:tcPr>
          <w:p>
            <w:pPr>
              <w:spacing w:after="0"/>
              <w:rPr>
                <w:sz w:val="24"/>
                <w:szCs w:val="24"/>
                <w:color w:val="auto"/>
              </w:rPr>
            </w:pPr>
          </w:p>
        </w:tc>
        <w:tc>
          <w:tcPr>
            <w:tcW w:w="3720" w:type="dxa"/>
            <w:vAlign w:val="bottom"/>
            <w:gridSpan w:val="2"/>
          </w:tcPr>
          <w:p>
            <w:pPr>
              <w:jc w:val="right"/>
              <w:ind w:right="1926"/>
              <w:spacing w:after="0"/>
              <w:rPr>
                <w:sz w:val="20"/>
                <w:szCs w:val="20"/>
                <w:color w:val="auto"/>
              </w:rPr>
            </w:pPr>
            <w:r>
              <w:rPr>
                <w:rFonts w:ascii="Arial" w:cs="Arial" w:eastAsia="Arial" w:hAnsi="Arial"/>
                <w:sz w:val="17"/>
                <w:szCs w:val="17"/>
                <w:color w:val="auto"/>
              </w:rPr>
              <w:t>F-25</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00"/>
          </w:cols>
          <w:pgMar w:left="240" w:top="448" w:right="35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The Company did not set up any inventory reserve as of June 30, 2017 or December 31, 2016 or 2015. As of June 30, 2017 and December 31, 2016 and 2015, no inventory was pledged as collateral for borrowings from financial institutions.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PLANT AND EQUIPMENT, NET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property, plant and equipment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40" w:type="dxa"/>
            <w:vAlign w:val="bottom"/>
            <w:gridSpan w:val="2"/>
          </w:tcPr>
          <w:p>
            <w:pPr>
              <w:jc w:val="right"/>
              <w:ind w:right="57"/>
              <w:spacing w:after="0" w:line="137"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top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5"/>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Manufacturing equipment</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$ 8,768</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$ 8,566</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Office equipment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439</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549</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Leasehold improvement</w:t>
            </w:r>
          </w:p>
        </w:tc>
        <w:tc>
          <w:tcPr>
            <w:tcW w:w="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Total cost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9,638</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10,619</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Less: Total accumulated depreciation</w:t>
            </w:r>
          </w:p>
        </w:tc>
        <w:tc>
          <w:tcPr>
            <w:tcW w:w="900" w:type="dxa"/>
            <w:vAlign w:val="bottom"/>
            <w:gridSpan w:val="3"/>
          </w:tcPr>
          <w:p>
            <w:pPr>
              <w:jc w:val="right"/>
              <w:ind w:right="300"/>
              <w:spacing w:after="0"/>
              <w:rPr>
                <w:sz w:val="20"/>
                <w:szCs w:val="20"/>
                <w:color w:val="auto"/>
              </w:rPr>
            </w:pPr>
            <w:r>
              <w:rPr>
                <w:rFonts w:ascii="Arial" w:cs="Arial" w:eastAsia="Arial" w:hAnsi="Arial"/>
                <w:sz w:val="17"/>
                <w:szCs w:val="17"/>
                <w:color w:val="auto"/>
              </w:rPr>
              <w:t>(7,849)</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(7,562)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(8,857)</w:t>
            </w: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7"/>
                <w:szCs w:val="17"/>
                <w:color w:val="auto"/>
              </w:rPr>
              <w:t>Total property, plant and equipment, net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1"/>
              </w:rPr>
              <w:t>$ 2,233</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$ 2,262</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1,770</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Depreciation expense was $107, $88, $180 and $140 for the six months ended June 30, 2017 and 2016 and the years ended December 31, 2016 and 2015, respectively.</w:t>
      </w:r>
    </w:p>
    <w:p>
      <w:pPr>
        <w:spacing w:after="0" w:line="9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140"/>
          </w:cols>
          <w:pgMar w:left="240" w:top="448" w:right="51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SHORT-TERM BORROWINGS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short-term borrowings consisted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1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June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9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176"/>
        </w:trPr>
        <w:tc>
          <w:tcPr>
            <w:tcW w:w="91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w w:val="96"/>
              </w:rPr>
              <w:t>Line of credit up to $3,850 from Bank of Shanghai Pudong Branch, due on August 6, 2016 with annual interest rate of 5.35%,</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9"/>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guaranteed by David H. Wang, the chief executive officer and a director of ACM (“Wang”) and fully repaid on February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$3,850</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w w:val="97"/>
              </w:rPr>
              <w:t>Borrowings from Shanghai Rural Commercial Bank Co., Ltd., due on September 14, 2016 with annual interest rate of 5.52%,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w w:val="95"/>
              </w:rPr>
              <w:t>guaranteed by Wang and secured by the Company’s accounts receivable of $6,760 and fully repaid on September 12, 2016</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3,004</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Borrowings from Bank of China, due on February 10, 2017 with annual interest rate of 4.8%, secured by certain of the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Company’s intellectual property and fully repaid on February 13, 2017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1,222</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w w:val="97"/>
              </w:rPr>
              <w:t>Borrowings from Bank of Shanghai Pudong Branch, due on June 24, 2017 with an annual interest rate of 5.66%, guaranteed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rPr>
              <w:t>by Wang and fully repaid on June 25, 2017</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281</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w w:val="96"/>
              </w:rPr>
              <w:t>Line of credit up to $3,605 from Bank of Shanghai Pudong Branch, due on July 3, 2017 with an annual interest rate of 5.66%,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guaranteed by Wang and fully repaid on May 18, 2017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1,455</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w w:val="97"/>
              </w:rPr>
              <w:t>Line of credit up to $3,670 from Bank of Shanghai Pudong Branch, due on July 3, 2017 with an annual interest rate of 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rPr>
              <w:t>guaranteed by Wang and fully repaid on June 7, 2017</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1,803</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w w:val="97"/>
              </w:rPr>
              <w:t>Borrowings from Bank of China, due on July 2, 2017 with annual interest rate of 4.8%, secured by the Company’s intellectual</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and fully repaid on July 3, 2017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3,173</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rPr>
              <w:t>Line of credit up to RMB 25,000 or equivalent US dollars from Bank of Shanghai Pudong Branch, due on September 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rPr>
              <w:t>2017 with an annual interest rate of 5.66%, guaranteed by Wang</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w w:val="84"/>
              </w:rPr>
              <w:t>714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w w:val="99"/>
              </w:rPr>
              <w:t>Line of credit up to RMB 25,000 or equivalent US dollars from Bank of Shanghai Pudong Branch, due on October 5, 2017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with an annual interest rate of 5.66%, guaranteed by Wang</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84"/>
              </w:rPr>
              <w:t>697</w:t>
            </w:r>
          </w:p>
        </w:tc>
        <w:tc>
          <w:tcPr>
            <w:tcW w:w="4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r>
      <w:tr>
        <w:trPr>
          <w:trHeight w:val="215"/>
        </w:trPr>
        <w:tc>
          <w:tcPr>
            <w:tcW w:w="9120" w:type="dxa"/>
            <w:vAlign w:val="bottom"/>
          </w:tcPr>
          <w:p>
            <w:pPr>
              <w:ind w:left="36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4,584</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00" w:type="dxa"/>
            <w:vAlign w:val="bottom"/>
            <w:gridSpan w:val="2"/>
          </w:tcPr>
          <w:p>
            <w:pPr>
              <w:spacing w:after="0"/>
              <w:rPr>
                <w:sz w:val="20"/>
                <w:szCs w:val="20"/>
                <w:color w:val="auto"/>
              </w:rPr>
            </w:pPr>
            <w:r>
              <w:rPr>
                <w:rFonts w:ascii="Arial" w:cs="Arial" w:eastAsia="Arial" w:hAnsi="Arial"/>
                <w:sz w:val="17"/>
                <w:szCs w:val="17"/>
                <w:color w:val="auto"/>
              </w:rPr>
              <w:t>4,761</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6,854</w:t>
            </w: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For the six months ended June 30, 2017 and 2016 and the years ended December 31, 2016 and 2015, interest expense related to short-term borrowings amounted to $164, $111, $179 and $316,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448" w:right="2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OTHER PAYABLE AND ACCRUED EXPENSES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other payable and accrued expenses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65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6540" w:type="dxa"/>
            <w:vAlign w:val="bottom"/>
          </w:tcPr>
          <w:p>
            <w:pPr>
              <w:spacing w:after="0"/>
              <w:rPr>
                <w:sz w:val="11"/>
                <w:szCs w:val="11"/>
                <w:color w:val="auto"/>
              </w:rPr>
            </w:pPr>
          </w:p>
        </w:tc>
        <w:tc>
          <w:tcPr>
            <w:tcW w:w="1000" w:type="dxa"/>
            <w:vAlign w:val="bottom"/>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1"/>
                <w:szCs w:val="11"/>
                <w:color w:val="auto"/>
              </w:rPr>
            </w:pPr>
          </w:p>
        </w:tc>
        <w:tc>
          <w:tcPr>
            <w:tcW w:w="480" w:type="dxa"/>
            <w:vAlign w:val="bottom"/>
            <w:tcBorders>
              <w:top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Lease expenses and payable for leasehold improvement due to a related party (note 12)</w:t>
            </w: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$1,982</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$1,883</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$2,070</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7"/>
                <w:szCs w:val="17"/>
                <w:color w:val="auto"/>
              </w:rPr>
              <w:t>Commissions</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766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757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737</w:t>
            </w:r>
          </w:p>
        </w:tc>
        <w:tc>
          <w:tcPr>
            <w:tcW w:w="60" w:type="dxa"/>
            <w:vAlign w:val="bottom"/>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60" w:type="dxa"/>
            <w:vAlign w:val="bottom"/>
            <w:shd w:val="clear" w:color="auto" w:fill="CCEEFF"/>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7"/>
                <w:szCs w:val="17"/>
                <w:color w:val="auto"/>
              </w:rPr>
              <w:t>Accrued payroll</w:t>
            </w:r>
          </w:p>
        </w:tc>
        <w:tc>
          <w:tcPr>
            <w:tcW w:w="50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60" w:type="dxa"/>
            <w:vAlign w:val="bottom"/>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Accrued professional fees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5"/>
        </w:trPr>
        <w:tc>
          <w:tcPr>
            <w:tcW w:w="6540" w:type="dxa"/>
            <w:vAlign w:val="bottom"/>
          </w:tcPr>
          <w:p>
            <w:pPr>
              <w:spacing w:after="0"/>
              <w:rPr>
                <w:sz w:val="20"/>
                <w:szCs w:val="20"/>
                <w:color w:val="auto"/>
              </w:rPr>
            </w:pPr>
            <w:r>
              <w:rPr>
                <w:rFonts w:ascii="Arial" w:cs="Arial" w:eastAsia="Arial" w:hAnsi="Arial"/>
                <w:sz w:val="17"/>
                <w:szCs w:val="17"/>
                <w:color w:val="auto"/>
              </w:rPr>
              <w:t>Others</w:t>
            </w:r>
          </w:p>
        </w:tc>
        <w:tc>
          <w:tcPr>
            <w:tcW w:w="5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w:t>
            </w:r>
          </w:p>
        </w:tc>
        <w:tc>
          <w:tcPr>
            <w:tcW w:w="5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5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60" w:type="dxa"/>
            <w:vAlign w:val="bottom"/>
          </w:tcPr>
          <w:p>
            <w:pPr>
              <w:spacing w:after="0"/>
              <w:rPr>
                <w:sz w:val="18"/>
                <w:szCs w:val="18"/>
                <w:color w:val="auto"/>
              </w:rPr>
            </w:pPr>
          </w:p>
        </w:tc>
      </w:tr>
      <w:tr>
        <w:trPr>
          <w:trHeight w:val="209"/>
        </w:trPr>
        <w:tc>
          <w:tcPr>
            <w:tcW w:w="6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3,963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4,103</w:t>
            </w:r>
          </w:p>
        </w:tc>
        <w:tc>
          <w:tcPr>
            <w:tcW w:w="60" w:type="dxa"/>
            <w:vAlign w:val="bottom"/>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NOTES PAYABLE</w:t>
      </w:r>
    </w:p>
    <w:p>
      <w:pPr>
        <w:spacing w:after="0" w:line="123"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Notes payable consists of convertible promissory notes and term loans. As of June 30, 2017 and December 31, 2016 and 2015, the outstanding principal and accrued interest with respect to the convertible promissory notes and the term notes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180" w:type="dxa"/>
            <w:vAlign w:val="bottom"/>
            <w:gridSpan w:val="6"/>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5460" w:type="dxa"/>
            <w:vAlign w:val="bottom"/>
            <w:tcBorders>
              <w:bottom w:val="single" w:sz="8" w:color="CCEEFF"/>
            </w:tcBorders>
          </w:tcPr>
          <w:p>
            <w:pPr>
              <w:spacing w:after="0"/>
              <w:rPr>
                <w:sz w:val="11"/>
                <w:szCs w:val="11"/>
                <w:color w:val="auto"/>
              </w:rPr>
            </w:pPr>
          </w:p>
        </w:tc>
        <w:tc>
          <w:tcPr>
            <w:tcW w:w="37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5"/>
              <w:spacing w:after="0" w:line="137" w:lineRule="exact"/>
              <w:rPr>
                <w:sz w:val="20"/>
                <w:szCs w:val="20"/>
                <w:color w:val="auto"/>
              </w:rPr>
            </w:pPr>
            <w:r>
              <w:rPr>
                <w:rFonts w:ascii="Arial" w:cs="Arial" w:eastAsia="Arial" w:hAnsi="Arial"/>
                <w:sz w:val="14"/>
                <w:szCs w:val="14"/>
                <w:b w:val="1"/>
                <w:bCs w:val="1"/>
                <w:color w:val="auto"/>
                <w:w w:val="83"/>
              </w:rPr>
              <w:t>2017</w:t>
            </w:r>
          </w:p>
        </w:tc>
        <w:tc>
          <w:tcPr>
            <w:tcW w:w="3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5"/>
              <w:spacing w:after="0" w:line="137" w:lineRule="exact"/>
              <w:rPr>
                <w:sz w:val="20"/>
                <w:szCs w:val="20"/>
                <w:color w:val="auto"/>
              </w:rPr>
            </w:pPr>
            <w:r>
              <w:rPr>
                <w:rFonts w:ascii="Arial" w:cs="Arial" w:eastAsia="Arial" w:hAnsi="Arial"/>
                <w:sz w:val="14"/>
                <w:szCs w:val="14"/>
                <w:b w:val="1"/>
                <w:bCs w:val="1"/>
                <w:color w:val="auto"/>
                <w:w w:val="83"/>
              </w:rPr>
              <w:t>2015</w:t>
            </w:r>
          </w:p>
        </w:tc>
        <w:tc>
          <w:tcPr>
            <w:tcW w:w="40" w:type="dxa"/>
            <w:vAlign w:val="bottom"/>
            <w:tcBorders>
              <w:bottom w:val="single" w:sz="8" w:color="CCEEFF"/>
            </w:tcBorders>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5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Convertible promissory notes:</w:t>
            </w:r>
          </w:p>
        </w:tc>
        <w:tc>
          <w:tcPr>
            <w:tcW w:w="3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3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780</w:t>
            </w: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498</w:t>
            </w:r>
          </w:p>
        </w:tc>
      </w:tr>
      <w:tr>
        <w:trPr>
          <w:trHeight w:val="215"/>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3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1,291</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4"/>
              </w:rPr>
              <w:t>Total principal and accrued interest of convertible promissory notes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2,569</w:t>
            </w:r>
          </w:p>
        </w:tc>
      </w:tr>
      <w:tr>
        <w:trPr>
          <w:trHeight w:val="215"/>
        </w:trPr>
        <w:tc>
          <w:tcPr>
            <w:tcW w:w="5480" w:type="dxa"/>
            <w:vAlign w:val="bottom"/>
            <w:gridSpan w:val="2"/>
          </w:tcPr>
          <w:p>
            <w:pPr>
              <w:spacing w:after="0"/>
              <w:rPr>
                <w:sz w:val="20"/>
                <w:szCs w:val="20"/>
                <w:color w:val="auto"/>
              </w:rPr>
            </w:pPr>
            <w:r>
              <w:rPr>
                <w:rFonts w:ascii="Arial" w:cs="Arial" w:eastAsia="Arial" w:hAnsi="Arial"/>
                <w:sz w:val="17"/>
                <w:szCs w:val="17"/>
                <w:color w:val="auto"/>
              </w:rPr>
              <w:t>Term notes:</w:t>
            </w:r>
          </w:p>
        </w:tc>
        <w:tc>
          <w:tcPr>
            <w:tcW w:w="3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2004</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r>
      <w:tr>
        <w:trPr>
          <w:trHeight w:val="209"/>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112</w:t>
            </w: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w:t>
            </w:r>
          </w:p>
        </w:tc>
        <w:tc>
          <w:tcPr>
            <w:tcW w:w="3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3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2,837</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880" w:type="dxa"/>
            <w:vAlign w:val="bottom"/>
            <w:gridSpan w:val="2"/>
          </w:tcPr>
          <w:p>
            <w:pPr>
              <w:jc w:val="right"/>
              <w:ind w:right="3411"/>
              <w:spacing w:after="0"/>
              <w:rPr>
                <w:sz w:val="20"/>
                <w:szCs w:val="20"/>
                <w:color w:val="auto"/>
              </w:rPr>
            </w:pPr>
            <w:r>
              <w:rPr>
                <w:rFonts w:ascii="Arial" w:cs="Arial" w:eastAsia="Arial" w:hAnsi="Arial"/>
                <w:sz w:val="17"/>
                <w:szCs w:val="17"/>
                <w:color w:val="auto"/>
              </w:rPr>
              <w:t>F-28</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48"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Of the outstanding promissory notes described in the preceding table, the following amounts of principal and accrued interest pertain to notes held by related parties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02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3"/>
              </w:rPr>
              <w:t>2016</w:t>
            </w: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9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Convertible promissory notes:</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$158</w:t>
            </w: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80</w:t>
            </w:r>
          </w:p>
        </w:tc>
      </w:tr>
      <w:tr>
        <w:trPr>
          <w:trHeight w:val="209"/>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262</w:t>
            </w:r>
          </w:p>
        </w:tc>
      </w:tr>
      <w:tr>
        <w:trPr>
          <w:trHeight w:val="26"/>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principal and accrued interest of convertible promissory notes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500</w:t>
            </w:r>
          </w:p>
        </w:tc>
      </w:tr>
      <w:tr>
        <w:trPr>
          <w:trHeight w:val="215"/>
        </w:trPr>
        <w:tc>
          <w:tcPr>
            <w:tcW w:w="9620" w:type="dxa"/>
            <w:vAlign w:val="bottom"/>
            <w:gridSpan w:val="2"/>
          </w:tcPr>
          <w:p>
            <w:pPr>
              <w:spacing w:after="0"/>
              <w:rPr>
                <w:sz w:val="20"/>
                <w:szCs w:val="20"/>
                <w:color w:val="auto"/>
              </w:rPr>
            </w:pPr>
            <w:r>
              <w:rPr>
                <w:rFonts w:ascii="Arial" w:cs="Arial" w:eastAsia="Arial" w:hAnsi="Arial"/>
                <w:sz w:val="17"/>
                <w:szCs w:val="17"/>
                <w:color w:val="auto"/>
              </w:rPr>
              <w:t>Term notes:</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r>
      <w:tr>
        <w:trPr>
          <w:trHeight w:val="209"/>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10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112</w:t>
            </w: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600" w:type="dxa"/>
            <w:vAlign w:val="bottom"/>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768</w:t>
            </w: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40" w:firstLine="457"/>
        <w:spacing w:after="0" w:line="312" w:lineRule="auto"/>
        <w:rPr>
          <w:sz w:val="20"/>
          <w:szCs w:val="20"/>
          <w:color w:val="auto"/>
        </w:rPr>
      </w:pPr>
      <w:r>
        <w:rPr>
          <w:rFonts w:ascii="Arial" w:cs="Arial" w:eastAsia="Arial" w:hAnsi="Arial"/>
          <w:sz w:val="15"/>
          <w:szCs w:val="15"/>
          <w:color w:val="auto"/>
        </w:rPr>
        <w:t>During 2003, 2004 and 2006, ACM issued convertible promissory notes in the principal amount of $542, $401 and $1,084, respectively. The convertible promissory notes bare interest at the rate of 6% per annum computed on the basis of a 360-day year and the actual number of days elapsed until maturity, which is five years after issuance. Upon ACM’s issuance and sale of a new series of preferred stock, principal and accrued interest on the notes were to automatically convert into shares of the new series of preferred stock at a conversion price equal to the price per share of the new preferred stock to new investors.</w:t>
      </w:r>
    </w:p>
    <w:p>
      <w:pPr>
        <w:spacing w:after="0" w:line="146" w:lineRule="exact"/>
        <w:rPr>
          <w:sz w:val="20"/>
          <w:szCs w:val="20"/>
          <w:color w:val="auto"/>
        </w:rPr>
      </w:pPr>
    </w:p>
    <w:p>
      <w:pPr>
        <w:ind w:right="360" w:firstLine="457"/>
        <w:spacing w:after="0" w:line="266" w:lineRule="auto"/>
        <w:rPr>
          <w:sz w:val="20"/>
          <w:szCs w:val="20"/>
          <w:color w:val="auto"/>
        </w:rPr>
      </w:pPr>
      <w:r>
        <w:rPr>
          <w:rFonts w:ascii="Arial" w:cs="Arial" w:eastAsia="Arial" w:hAnsi="Arial"/>
          <w:sz w:val="17"/>
          <w:szCs w:val="17"/>
          <w:color w:val="auto"/>
        </w:rPr>
        <w:t>In conjunction with the convertible promissory notes, each convertible promissory noteholder was granted, for every dollar of principal amount of convertible promissory notes, one warrant to purchase two to four shares of common stock at an exercise price of $0.72 to $ 0.75 per share. The warrants are exercisable until the earlier of (1) five years after the warrant issue date and (2) the occurrence of a merger or consolidation of ACM or ACM’s sale, transfer or other disposition of all or substantially all of ACM’s assets.</w:t>
      </w:r>
    </w:p>
    <w:p>
      <w:pPr>
        <w:spacing w:after="0" w:line="17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 xml:space="preserve">The Company accounted for the convertible promissory notes and warrants in accordance with FASB ASC paragraph 470-20-25, </w:t>
      </w:r>
      <w:r>
        <w:rPr>
          <w:rFonts w:ascii="Arial" w:cs="Arial" w:eastAsia="Arial" w:hAnsi="Arial"/>
          <w:sz w:val="17"/>
          <w:szCs w:val="17"/>
          <w:i w:val="1"/>
          <w:iCs w:val="1"/>
          <w:color w:val="auto"/>
        </w:rPr>
        <w:t>Debt – 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w:t>
      </w:r>
      <w:r>
        <w:rPr>
          <w:rFonts w:ascii="Arial" w:cs="Arial" w:eastAsia="Arial" w:hAnsi="Arial"/>
          <w:sz w:val="17"/>
          <w:szCs w:val="17"/>
          <w:color w:val="auto"/>
        </w:rPr>
        <w:t>. Proceeds from the issuance of promissory notes and warrants were allocated to the two elements based on the relative fair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convertible promissory notes without the warrants and of the warrants themselves at time of issuance. The Company did not identify any derivative liabilities and beneficial conversion features.</w:t>
      </w:r>
    </w:p>
    <w:p>
      <w:pPr>
        <w:spacing w:after="0" w:line="176"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During 2004, 2005, 2013 and 2014, ACM issued term notes in the aggregate principal amounts of $53, $200, $100 and $60, respectively. All of such term notes were issued to Wang and one other director, except that $140 in principal amount of the term notes issued in 2005 were issued to third parties. The term notes bore interest at 6% per annum and became due three months after the note issuance date. The $200 in principal amount of term notes issued in 2005, together with $4 in accrued interest, were exchanged for convertible promissory notes in 2006.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48" w:right="23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color w:val="auto"/>
        </w:rPr>
        <w:t>As of December 31, 2015, no convertible promissory notes had been converted into preferred stock as no new series of preferred stock had been issued and sold and all warrants expired as no warrant holder exercised the warrants.</w:t>
      </w:r>
    </w:p>
    <w:p>
      <w:pPr>
        <w:spacing w:after="0" w:line="158"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During 2016, the Company modified the terms of the convertible promissory notes and provided the note holders with the option of converting the principal amount of their convertible promissory notes into Class A common stock at $0.75 or $1.50 per share on the condition that they agree to waive all accrued interest. For those holders who did not elect to convert their notes into Class A common stock, the principal of, and accrued interest on, their convertible promissory notes were converted into Series F convertible preferred stock at $2.50 per share. The convertible promissory notes converted into 1,812,069 shares of Class A common stock and 47,454 shares of Series F convertible preferred stock on December 30, 2016. Net loss due to extinguishment of debt from these conversions totaled $1,670 during 2016. The balance of $11 of notes payable at June 30, 2017 and December 31, 2016 represented accrued interest that ACM was liable to pay to convertible promissory note holders.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INVESTORS’ DEPOSITS</w:t>
      </w:r>
    </w:p>
    <w:p>
      <w:pPr>
        <w:spacing w:after="0" w:line="123" w:lineRule="exact"/>
        <w:rPr>
          <w:sz w:val="20"/>
          <w:szCs w:val="20"/>
          <w:color w:val="auto"/>
        </w:rPr>
      </w:pPr>
    </w:p>
    <w:p>
      <w:pPr>
        <w:ind w:right="80" w:firstLine="457"/>
        <w:spacing w:after="0" w:line="312" w:lineRule="auto"/>
        <w:rPr>
          <w:sz w:val="20"/>
          <w:szCs w:val="20"/>
          <w:color w:val="auto"/>
        </w:rPr>
      </w:pPr>
      <w:r>
        <w:rPr>
          <w:rFonts w:ascii="Arial" w:cs="Arial" w:eastAsia="Arial" w:hAnsi="Arial"/>
          <w:sz w:val="15"/>
          <w:szCs w:val="15"/>
          <w:color w:val="auto"/>
        </w:rPr>
        <w:t>On December 9, 2016, Shengxin (Shanghai) Management Consulting Limited Partnership (“SMC”), a related party (note 12), delivered RMB 20,124 (approximately $2,981 as of the close of business on such date) in cash (the “SMC Investment”) to ACM Shanghai for potential investment pursuant to terms to be subsequently negotiated. On March 14, 2017, ACM, ACM Shanghai and SMC entered into a securities purchase agreement pursuant to which, in exchange for the SMC Investment, ACM issued to SMC a warrant exercisable to purchase 397,502 shares of ACM’s Class A common stock at a price of $7.50 per share. (note 10).</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WARRANT LIABILITY</w:t>
      </w:r>
    </w:p>
    <w:p>
      <w:pPr>
        <w:spacing w:after="0" w:line="123" w:lineRule="exact"/>
        <w:rPr>
          <w:sz w:val="20"/>
          <w:szCs w:val="20"/>
          <w:color w:val="auto"/>
        </w:rPr>
      </w:pPr>
    </w:p>
    <w:p>
      <w:pPr>
        <w:ind w:right="160" w:firstLine="457"/>
        <w:spacing w:after="0" w:line="320" w:lineRule="auto"/>
        <w:rPr>
          <w:sz w:val="20"/>
          <w:szCs w:val="20"/>
          <w:color w:val="auto"/>
        </w:rPr>
      </w:pPr>
      <w:r>
        <w:rPr>
          <w:rFonts w:ascii="Arial" w:cs="Arial" w:eastAsia="Arial" w:hAnsi="Arial"/>
          <w:sz w:val="16"/>
          <w:szCs w:val="16"/>
          <w:color w:val="auto"/>
        </w:rPr>
        <w:t>On December 9, 2016, SMC delivered the SMC Investment to ACM Shanghai for potential investment pursuant to terms to be subsequently negotiated. As of December 31, 2016, the terms of the SMC Investment had not yet been negotiated and the SMC Investment was recorded as investors’ deposit.</w:t>
      </w:r>
    </w:p>
    <w:p>
      <w:pPr>
        <w:spacing w:after="0" w:line="13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Under the SMC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 US dollar exchange rate.</w:t>
      </w:r>
    </w:p>
    <w:p>
      <w:pPr>
        <w:spacing w:after="0" w:line="172"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 xml:space="preserve">In accordance with FASB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 warrant is classified as a liability as the warrant is conditional puttable. The fair value of the warrant is adjusted for changes in fair value at each reporting period but cannot be lower than the proceeds of the SMC Investment. The corresponding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48" w:right="23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non-cash gain or loss of the changes in fair value is recorded in earnings. The methodology used to value the warrant was the Black-Scholes valuation model with the following assumptions:</w:t>
      </w:r>
    </w:p>
    <w:p>
      <w:pPr>
        <w:spacing w:after="0" w:line="15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r>
      <w:tr>
        <w:trPr>
          <w:trHeight w:val="166"/>
        </w:trPr>
        <w:tc>
          <w:tcPr>
            <w:tcW w:w="4620" w:type="dxa"/>
            <w:vAlign w:val="bottom"/>
          </w:tcPr>
          <w:p>
            <w:pPr>
              <w:spacing w:after="0"/>
              <w:rPr>
                <w:sz w:val="14"/>
                <w:szCs w:val="14"/>
                <w:color w:val="auto"/>
              </w:rPr>
            </w:pPr>
          </w:p>
        </w:tc>
        <w:tc>
          <w:tcPr>
            <w:tcW w:w="29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r>
      <w:tr>
        <w:trPr>
          <w:trHeight w:val="202"/>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common share (1)</w:t>
            </w:r>
          </w:p>
        </w:tc>
        <w:tc>
          <w:tcPr>
            <w:tcW w:w="2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$ 7.59</w:t>
            </w:r>
          </w:p>
        </w:tc>
        <w:tc>
          <w:tcPr>
            <w:tcW w:w="200" w:type="dxa"/>
            <w:vAlign w:val="bottom"/>
            <w:tcBorders>
              <w:top w:val="single" w:sz="8" w:color="CCEEFF"/>
            </w:tcBorders>
            <w:shd w:val="clear" w:color="auto" w:fill="CCEEFF"/>
          </w:tcPr>
          <w:p>
            <w:pPr>
              <w:spacing w:after="0"/>
              <w:rPr>
                <w:sz w:val="17"/>
                <w:szCs w:val="17"/>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Expected term in years (2)</w:t>
            </w:r>
          </w:p>
        </w:tc>
        <w:tc>
          <w:tcPr>
            <w:tcW w:w="2940" w:type="dxa"/>
            <w:vAlign w:val="bottom"/>
            <w:gridSpan w:val="2"/>
          </w:tcPr>
          <w:p>
            <w:pPr>
              <w:jc w:val="right"/>
              <w:spacing w:after="0"/>
              <w:rPr>
                <w:sz w:val="20"/>
                <w:szCs w:val="20"/>
                <w:color w:val="auto"/>
              </w:rPr>
            </w:pPr>
            <w:r>
              <w:rPr>
                <w:rFonts w:ascii="Arial" w:cs="Arial" w:eastAsia="Arial" w:hAnsi="Arial"/>
                <w:sz w:val="17"/>
                <w:szCs w:val="17"/>
                <w:color w:val="auto"/>
              </w:rPr>
              <w:t>5.88</w:t>
            </w:r>
          </w:p>
        </w:tc>
        <w:tc>
          <w:tcPr>
            <w:tcW w:w="20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Volatility (3)</w:t>
            </w:r>
          </w:p>
        </w:tc>
        <w:tc>
          <w:tcPr>
            <w:tcW w:w="3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28.31%</w:t>
            </w: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Risk-free interest rate (4)</w:t>
            </w:r>
          </w:p>
        </w:tc>
        <w:tc>
          <w:tcPr>
            <w:tcW w:w="3140" w:type="dxa"/>
            <w:vAlign w:val="bottom"/>
            <w:gridSpan w:val="3"/>
          </w:tcPr>
          <w:p>
            <w:pPr>
              <w:jc w:val="right"/>
              <w:ind w:right="60"/>
              <w:spacing w:after="0"/>
              <w:rPr>
                <w:sz w:val="20"/>
                <w:szCs w:val="20"/>
                <w:color w:val="auto"/>
              </w:rPr>
            </w:pPr>
            <w:r>
              <w:rPr>
                <w:rFonts w:ascii="Arial" w:cs="Arial" w:eastAsia="Arial" w:hAnsi="Arial"/>
                <w:sz w:val="17"/>
                <w:szCs w:val="17"/>
                <w:color w:val="auto"/>
              </w:rPr>
              <w:t>1.85%</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(5)</w:t>
            </w:r>
          </w:p>
        </w:tc>
        <w:tc>
          <w:tcPr>
            <w:tcW w:w="3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bl>
    <w:p>
      <w:pPr>
        <w:spacing w:after="0" w:line="222" w:lineRule="exact"/>
        <w:rPr>
          <w:sz w:val="20"/>
          <w:szCs w:val="20"/>
          <w:color w:val="auto"/>
        </w:rPr>
      </w:pPr>
    </w:p>
    <w:p>
      <w:pPr>
        <w:ind w:left="460" w:right="220" w:hanging="456"/>
        <w:spacing w:after="0" w:line="263" w:lineRule="auto"/>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for the six months ended June 30, 2017.</w:t>
      </w:r>
    </w:p>
    <w:p>
      <w:pPr>
        <w:ind w:left="460" w:hanging="456"/>
        <w:spacing w:after="0"/>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Expected term of the warrant represents the period from the current balance sheet date to the warrant expiration date.</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the warrant.</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warrant.</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OTHER LONG-TERM LIABILITIES</w:t>
      </w:r>
    </w:p>
    <w:p>
      <w:pPr>
        <w:spacing w:after="0" w:line="123"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Other long-term liabilities represent government subsidies received from PRC governmental authorities for development and commercialization of certain technology but not yet recognized (note 2). As of June 30, 2017 and December 31, 2016 and 2015, other long-term liabilities consisted of the following unearned government subsidies: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46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500" w:type="dxa"/>
            <w:vAlign w:val="bottom"/>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1"/>
                <w:szCs w:val="11"/>
                <w:color w:val="auto"/>
              </w:rPr>
            </w:pPr>
          </w:p>
        </w:tc>
        <w:tc>
          <w:tcPr>
            <w:tcW w:w="480" w:type="dxa"/>
            <w:vAlign w:val="bottom"/>
            <w:tcBorders>
              <w:top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top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Subsidies to Stress Free Polishing project, commenced in 2008</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$1,938</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$1,958</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$1,836</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7"/>
                <w:szCs w:val="17"/>
                <w:color w:val="auto"/>
              </w:rPr>
              <w:t>Subsidies to Electro Copper Plating project, commenced in 2014</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5,338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4,921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5,250</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Subsidies to short-term borrowings’ interest expenses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7"/>
                <w:szCs w:val="17"/>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7,276</w:t>
            </w:r>
          </w:p>
        </w:tc>
        <w:tc>
          <w:tcPr>
            <w:tcW w:w="9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6,879</w:t>
            </w:r>
          </w:p>
        </w:tc>
        <w:tc>
          <w:tcPr>
            <w:tcW w:w="9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7,187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RELATED PARTY BALANCES AND TRANSACTIONS</w:t>
      </w:r>
    </w:p>
    <w:p>
      <w:pPr>
        <w:spacing w:after="0" w:line="12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one of whose affiliates then held non-controlling interests in ACM Shanghai, to lease manufacturing and office space located in Shanghai, China. Pursuant to the lease agreement, Zhangjiang Group provided $771 to ACM Shanghai for leasehold improvements. In September 2016, the lease agreement was amended to modify payment terms and extend the lease through December 31, 2017. During the six months ended June 30, 2017 and 2016 and the years ended December 31, 2016 and 2015, the Company incurred leasing expenses under the lease agreement of $321, $330, $640 and $692, respectively. As of June 30, 2017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380"/>
          </w:cols>
          <w:pgMar w:left="240" w:top="448" w:right="27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December 31, 2016 and 2015, payables to Zhangjiang Group for lease expenses and leasehold improvements recorded as other payables and accrued expenses, amounted to $1,982, $1,883 and $2,070, respectively (note 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2015, the Company issued convertible promissory notes and term loans to Wang (note 8).</w:t>
      </w:r>
    </w:p>
    <w:p>
      <w:pPr>
        <w:spacing w:after="0" w:line="222" w:lineRule="exact"/>
        <w:rPr>
          <w:sz w:val="20"/>
          <w:szCs w:val="20"/>
          <w:color w:val="auto"/>
        </w:rPr>
      </w:pPr>
    </w:p>
    <w:p>
      <w:pPr>
        <w:ind w:right="240" w:firstLine="457"/>
        <w:spacing w:after="0" w:line="292" w:lineRule="auto"/>
        <w:rPr>
          <w:sz w:val="20"/>
          <w:szCs w:val="20"/>
          <w:color w:val="auto"/>
        </w:rPr>
      </w:pPr>
      <w:r>
        <w:rPr>
          <w:rFonts w:ascii="Arial" w:cs="Arial" w:eastAsia="Arial" w:hAnsi="Arial"/>
          <w:sz w:val="15"/>
          <w:szCs w:val="15"/>
          <w:color w:val="auto"/>
        </w:rPr>
        <w:t>On December 9, 2016, ACM Shanghai received the SMC Investment from SMC for potential investment pursuant to terms to be subsequently negotiated (notes 9, 10 and 20). SMC is a limited partnership incorporated in the PRC, whose partners consist of employees of ACM Shanghai. As of June 30, 2017 and December 31, 2016 and 2015, investors’ deposits from SMC amounted to $0, $2,902 and $0, respectively.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for a total exercise price of $2,981. Under the SMC Agreement, if SMC does not exercise the warrant by May 17, 2023, ACM Shanghai will be obligated, subject to approval of governmental authorities and ACM Shanghai’s equity holders, to deliver an equity interest of</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RMB-to-US dollar exchange rate.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LEASES</w:t>
      </w:r>
    </w:p>
    <w:p>
      <w:pPr>
        <w:spacing w:after="0" w:line="123" w:lineRule="exact"/>
        <w:rPr>
          <w:sz w:val="20"/>
          <w:szCs w:val="20"/>
          <w:color w:val="auto"/>
        </w:rPr>
      </w:pPr>
    </w:p>
    <w:p>
      <w:pPr>
        <w:jc w:val="both"/>
        <w:ind w:right="440" w:firstLine="457"/>
        <w:spacing w:after="0" w:line="271" w:lineRule="auto"/>
        <w:rPr>
          <w:sz w:val="20"/>
          <w:szCs w:val="20"/>
          <w:color w:val="auto"/>
        </w:rPr>
      </w:pPr>
      <w:r>
        <w:rPr>
          <w:rFonts w:ascii="Arial" w:cs="Arial" w:eastAsia="Arial" w:hAnsi="Arial"/>
          <w:sz w:val="17"/>
          <w:szCs w:val="17"/>
          <w:color w:val="auto"/>
        </w:rPr>
        <w:t>ACM entered into a two-year lease agreement in March 2015 for office and warehouse space of approximately 3,000 square feet for its headquarters in Fremont, California, at a rate of $2 per month. On March 22, 2017, ACM amended the lease agreement to extend the lease term through March 31, 2018 and increase the base rent to $3 per month.</w:t>
      </w:r>
    </w:p>
    <w:p>
      <w:pPr>
        <w:spacing w:after="0" w:line="17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ACM Shanghai entered into an operating lease agreement with Zhangjiang Group (a related party, see note 12) in 2007 for manufacturing and office space of approximately 63,510 square feet in Shanghai, China. The lease agreement has been amended several times to modify payment terms and extend the lease term, most recently through December 31, 2017. Monthly rent is $58 during 2017 and 2016.</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 Wuxi leases office space in Wuxi, China, at a rate of less than $1 per month.</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Future minimum lease payments under non-cancelable lease agreements as of June 30, 2017 and December 31, 2016 were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4"/>
          </w:tcPr>
          <w:p>
            <w:pPr>
              <w:ind w:left="840"/>
              <w:spacing w:after="0"/>
              <w:rPr>
                <w:sz w:val="20"/>
                <w:szCs w:val="20"/>
                <w:color w:val="auto"/>
              </w:rPr>
            </w:pPr>
            <w:r>
              <w:rPr>
                <w:rFonts w:ascii="Arial" w:cs="Arial" w:eastAsia="Arial" w:hAnsi="Arial"/>
                <w:sz w:val="14"/>
                <w:szCs w:val="14"/>
                <w:b w:val="1"/>
                <w:bCs w:val="1"/>
                <w:color w:val="auto"/>
                <w:w w:val="92"/>
              </w:rPr>
              <w:t>December 31,</w:t>
            </w:r>
          </w:p>
        </w:tc>
      </w:tr>
      <w:tr>
        <w:trPr>
          <w:trHeight w:val="166"/>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1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2017</w:t>
            </w:r>
          </w:p>
        </w:tc>
        <w:tc>
          <w:tcPr>
            <w:tcW w:w="2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$2,318</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w:t>
            </w:r>
          </w:p>
        </w:tc>
        <w:tc>
          <w:tcPr>
            <w:tcW w:w="60" w:type="dxa"/>
            <w:vAlign w:val="bottom"/>
            <w:tcBorders>
              <w:top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2018</w:t>
            </w:r>
          </w:p>
        </w:tc>
        <w:tc>
          <w:tcPr>
            <w:tcW w:w="26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2,326</w:t>
            </w:r>
          </w:p>
        </w:tc>
        <w:tc>
          <w:tcPr>
            <w:tcW w:w="100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740" w:firstLine="457"/>
        <w:spacing w:after="0" w:line="287" w:lineRule="auto"/>
        <w:rPr>
          <w:sz w:val="20"/>
          <w:szCs w:val="20"/>
          <w:color w:val="auto"/>
        </w:rPr>
      </w:pPr>
      <w:r>
        <w:rPr>
          <w:rFonts w:ascii="Arial" w:cs="Arial" w:eastAsia="Arial" w:hAnsi="Arial"/>
          <w:sz w:val="17"/>
          <w:szCs w:val="17"/>
          <w:color w:val="auto"/>
        </w:rPr>
        <w:t>Rent expense was $336, $342, $675 and $718 for the six months ended June 30, 2017 and 2016 and the years ended December 31, 2016 and 2015,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00"/>
          </w:cols>
          <w:pgMar w:left="240" w:top="448" w:right="2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COMMON STOCK</w:t>
      </w:r>
    </w:p>
    <w:p>
      <w:pPr>
        <w:spacing w:after="0" w:line="123"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Prior to the Merger in November 2016, ACM was authorized to issue 100,000,000 shares of common stock, without par value. Each share of common stock entitled the holder to one vote on all matters submitted to a vote by ACM’s stockholders. Common stockholders were entitled to dividends when and if declared by the Board of Directors. At December 31, 2015, there were 2,047,403 shares issued and outstanding.</w:t>
      </w:r>
    </w:p>
    <w:p>
      <w:pPr>
        <w:spacing w:after="0" w:line="172"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Upon the Merger, ACM became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if declared by the Board of Directors unless the Board of Directors declares different dividends to the Class A common stock and Class B common stock by getting approval from a majority of common stock holders. Each share of ACM’s common stock outstanding immediately prior to the Merger was converted into one share of Class B common stock as a result of the Merger.</w:t>
      </w:r>
    </w:p>
    <w:p>
      <w:pPr>
        <w:spacing w:after="0" w:line="16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At June 30, 2017 and December 31, 2016, the number of shares of Class A common stock issued and outstanding was 2,627,293 and 2,228,740, respectively, of which 1,812,069 and 1,812,069 aggregated shares derived from conversion of convertible promissory notes, and 815,224 and 416,671 aggregated shares derived from exercises of stock options, respectively. At June 30, 2017 and December 31, 2016, the number of shares of Class B common stock issued and outstanding was 2,409,738, of which 2,047,403 aggregated shares derived from conversion of the original common stock upon the Merger and 362,335 aggregated shares derived from exercises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REDEEMABLE CONVERTIBLE PREFERRED STOCK</w:t>
      </w:r>
    </w:p>
    <w:p>
      <w:pPr>
        <w:spacing w:after="0" w:line="12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As of December 31, 2015, ACM had 8,157,000 authorized shares of preferred stock, of which 385,000, 1,572,000, 1,400,000 and 4,800,000 shares were designated as Series A, Series B, Series C and Series D preferred stock, respectively. On August 1, 2016, the Company amended the Articles of Incorporation and was further authorized to issue 10,718,530 shares of Series E preferred stock and 6,000,000 shares of Series F preferred stock. Upon the Merger in November 2016, the numbers of authorized shares of Series C and Series D were reduced to 1,360,962 and 2,659,975, respectively. Each share of ACM’s convertible preferred stock outstanding immediately prior to the Merger was converted into one share of the same series of convertible preferred stock as a result of the Merger. Accordingly, as of December 31, 2016 and June 30, 2017, ACM had 22,696,467 authorized shares of preferred stock, of which 385,000, 1,572,000, 1,360,962, 2,659,975, 10,718,530, and 6,000,000 shares were designated as Series A, Series B, Series C, Series D, Series E and Series F preferred stock, respectively.</w:t>
      </w:r>
    </w:p>
    <w:p>
      <w:pPr>
        <w:spacing w:after="0" w:line="154"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During the six months ended June 30, 2017, no activities occurred with respect to convertible preferred stock. During 2016, ACM issued 3,663,254 shares of Series F preferred stock, consisting of 3,615,800 shares issued at $2.50 per share for cash totaling $9,040 and 47,454 shares issued upon conversion of convertible promissory notes.</w:t>
      </w:r>
    </w:p>
    <w:p>
      <w:pPr>
        <w:spacing w:after="0" w:line="172" w:lineRule="exact"/>
        <w:rPr>
          <w:sz w:val="20"/>
          <w:szCs w:val="20"/>
          <w:color w:val="auto"/>
        </w:rPr>
      </w:pPr>
    </w:p>
    <w:p>
      <w:pPr>
        <w:jc w:val="both"/>
        <w:ind w:right="420" w:firstLine="457"/>
        <w:spacing w:after="0" w:line="357" w:lineRule="auto"/>
        <w:rPr>
          <w:sz w:val="20"/>
          <w:szCs w:val="20"/>
          <w:color w:val="auto"/>
        </w:rPr>
      </w:pPr>
      <w:r>
        <w:rPr>
          <w:rFonts w:ascii="Arial" w:cs="Arial" w:eastAsia="Arial" w:hAnsi="Arial"/>
          <w:sz w:val="15"/>
          <w:szCs w:val="15"/>
          <w:color w:val="auto"/>
        </w:rPr>
        <w:t>The number of outstanding shares of Series A, Series B, Series C, Series D, Series E and Series F was 385,000, 1,572,000, 1,360,962, 1,326,642, 0 and 3,663,254, respectively, at June 30, 2017 and December 31, 2016 and 385,000, 1,572,000, 1,360,962, 1,326,642, 0 and 0, respectively, at December 31, 2015.</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of ACM’s convertible preferred stock have rights, preferences and privileges as follows: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00"/>
          </w:cols>
          <w:pgMar w:left="240" w:top="448" w:right="25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17" w:lineRule="exact"/>
        <w:rPr>
          <w:sz w:val="20"/>
          <w:szCs w:val="20"/>
          <w:color w:val="auto"/>
        </w:rPr>
      </w:pPr>
    </w:p>
    <w:p>
      <w:pPr>
        <w:ind w:right="240" w:firstLine="457"/>
        <w:spacing w:after="0" w:line="287" w:lineRule="auto"/>
        <w:rPr>
          <w:sz w:val="20"/>
          <w:szCs w:val="20"/>
          <w:color w:val="auto"/>
        </w:rPr>
      </w:pPr>
      <w:r>
        <w:rPr>
          <w:rFonts w:ascii="Arial" w:cs="Arial" w:eastAsia="Arial" w:hAnsi="Arial"/>
          <w:sz w:val="17"/>
          <w:szCs w:val="17"/>
          <w:color w:val="auto"/>
        </w:rPr>
        <w:t>Each share of Series A through Series F convertible preferred stock is entitled to a number of votes equal to the number of whole shares of common stock into which such share can be converted.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7"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Holders of Series A through Series F convertible preferred stock have a non-cumulative right to participate in and receive the same dividends as may be declared for common stockholders, as and if declared by the Board of Directors, payable out of funds legally available.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Each share of Series A through Series F convertible preferred stock is convertible at any time, at the option of the holder. At June 30, 2017, each share of Series A, B and F convertible preferred stock was convertible into one-third share of Class A common stock, each share of Series C convertible preferred stock was convertible into 0.3544 shares of Class A common stock, and each share of Series D convertible preferred stock was convertible into 0.4562 shares of Class A common stock. The Series A through Series F convertible preferred stock will convert automatically into Class A common stock upon the closing of an initial public offering of Class A common stock with aggregate proceeds of at least $20,000 and a per-share price of at least $15.00. At June 30, 2017 and 2016 and December 31, 2016, 2,960,968 shares of Class A common stock were reserved for issuance upon conversion of outstanding Series A through Series F convertible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Preferences</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Holders of Series A through Series F convertible preferred stock are entitled to receive specified liquidation amounts in the event of a liquidation, dissolution or winding-up of ACM or of certain deemed liquidation events. The deemed liquidation events generally include (a) a merger or stock sale after which new stockholders would own a majority of the voting stock of ACM and (b) a sale of all or substantially all of the assets of the Company.</w:t>
      </w:r>
    </w:p>
    <w:p>
      <w:pPr>
        <w:spacing w:after="0" w:line="172"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In the event of a liquidation, dissolution or winding-up of ACM or a deemed liquidation, the holders of Series A through Series F convertible preferred stock shall be entitled to be paid, prior to and in preference to the holders of common stock, an amount equal to $0.80, $1.00, $1.50, $3.75, $1.00 and $2.50 per share of Series A through Series F convertible preferred stock, respectively, plus any accumulated and unpaid dividends as of the redemption date.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STOCK-BASED COMPENSATION</w:t>
      </w:r>
    </w:p>
    <w:p>
      <w:pPr>
        <w:spacing w:after="0" w:line="12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On April 29,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as amended, was 766,667. If any option granted under the 1998 Plan expires or otherwise terminates without having been exercised in full, the shares of common stock subject to that option would become available for re-grant. At March 3, 2014, the 1998 Plan terminated and no further grants under the 1998 Plan could be made thereunder, although certain previously granted options remained outstanding in accordance with their terms.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00"/>
          </w:cols>
          <w:pgMar w:left="240" w:top="448" w:right="2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On December 28, 2016, ACM adopted the 2016 Omnibus Incentive Plan (the “2016 Plan”). Under the 2016 Plan, the aggregate number of shares of Class A common stock that may be issued shall equal the sum of (a) 2,333,334 and (b) an annual increase on the first day of each year beginning in 2018 and ending in 2026 equal to the lesser of (i) 4% of the shares of Class A and Class B common stock outstanding (on an as-converted basis) on the last day of the immediately preceding year and (ii) such smaller number of shares as may be determined by the Board. A maximum of 2,333,334 shares is available for issuance as ISOs under the 2016 Plan. Besides the stock options, the 2016 Plan also authorizes issuance of stock appreciation rights, restricted stock, restricted stock units, and other share-based and cash awards. The 2016 Plan will terminate on December 27, 2026.</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ACM’s employee share option activities: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1"/>
              </w:rPr>
              <w:t>Average Grant</w:t>
            </w:r>
          </w:p>
        </w:tc>
        <w:tc>
          <w:tcPr>
            <w:tcW w:w="54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Average Exercise</w:t>
            </w:r>
          </w:p>
        </w:tc>
        <w:tc>
          <w:tcPr>
            <w:tcW w:w="1320" w:type="dxa"/>
            <w:vAlign w:val="bottom"/>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Option Shares</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Date Fair Value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0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1,000,009</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550,003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1.50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2200" w:type="dxa"/>
            <w:vAlign w:val="bottom"/>
            <w:gridSpan w:val="3"/>
          </w:tcPr>
          <w:p>
            <w:pPr>
              <w:jc w:val="right"/>
              <w:ind w:right="260"/>
              <w:spacing w:after="0"/>
              <w:rPr>
                <w:sz w:val="20"/>
                <w:szCs w:val="20"/>
                <w:color w:val="auto"/>
              </w:rPr>
            </w:pPr>
            <w:r>
              <w:rPr>
                <w:rFonts w:ascii="Arial" w:cs="Arial" w:eastAsia="Arial" w:hAnsi="Arial"/>
                <w:sz w:val="17"/>
                <w:szCs w:val="17"/>
                <w:color w:val="auto"/>
              </w:rPr>
              <w:t>(50,002)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0.54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1,500,010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1.02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1,009,371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3.00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tcPr>
          <w:p>
            <w:pPr>
              <w:jc w:val="right"/>
              <w:ind w:right="260"/>
              <w:spacing w:after="0"/>
              <w:rPr>
                <w:sz w:val="20"/>
                <w:szCs w:val="20"/>
                <w:color w:val="auto"/>
              </w:rPr>
            </w:pPr>
            <w:r>
              <w:rPr>
                <w:rFonts w:ascii="Arial" w:cs="Arial" w:eastAsia="Arial" w:hAnsi="Arial"/>
                <w:sz w:val="17"/>
                <w:szCs w:val="17"/>
                <w:color w:val="auto"/>
              </w:rPr>
              <w:t>(409,004)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Forfeited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2,100,377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2.03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83,334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7.50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(166,667)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22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(7,099)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3.00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June 30, 2017</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2,009,945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2.36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December 31, 2015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942,367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Vested and exercisable at December 31, 2016</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758,708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821,598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During the six months ended June 30, 2017 and 2016 and the years ended December 31, 2016 and 2015, ACM recognized employee stock-based compensation expense of $128, $46, $92 and $73, respectively. As of June 30, 2017 and December 31, 2016 and 2015, $788, $726 and $299, respectively, of total unrecognized employee stock-based compensation expense, net of estimated forfeitures, related to stock-based awards were expected to be recognized over a weighted-average period of 2.12 years, 2.25 years and 1.24 years, respectively. Total unrecognized compensation cost may be adjusted for future changes in estimated forfeitures.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380"/>
          </w:cols>
          <w:pgMar w:left="240" w:top="448" w:right="27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each option granted to employee is estimated on the grant date using the Black-Scholes valuation model with the following assumptions.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No options were granted to employees during the six months ended June 30, 2016.</w:t>
      </w:r>
    </w:p>
    <w:p>
      <w:pPr>
        <w:spacing w:after="0" w:line="291"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23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3580" w:type="dxa"/>
            <w:vAlign w:val="bottom"/>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3"/>
                <w:szCs w:val="3"/>
                <w:color w:val="auto"/>
              </w:rPr>
            </w:pPr>
          </w:p>
        </w:tc>
        <w:tc>
          <w:tcPr>
            <w:tcW w:w="6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3580" w:type="dxa"/>
            <w:vAlign w:val="bottom"/>
          </w:tcPr>
          <w:p>
            <w:pPr>
              <w:spacing w:after="0"/>
              <w:rPr>
                <w:sz w:val="14"/>
                <w:szCs w:val="14"/>
                <w:color w:val="auto"/>
              </w:rPr>
            </w:pPr>
          </w:p>
        </w:tc>
        <w:tc>
          <w:tcPr>
            <w:tcW w:w="19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1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$ 7.59</w:t>
            </w: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$ 1.59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6.25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5.75-6.25</w:t>
            </w:r>
          </w:p>
        </w:tc>
        <w:tc>
          <w:tcPr>
            <w:tcW w:w="6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23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29.18%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29.93%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37.67%</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2380" w:type="dxa"/>
            <w:vAlign w:val="bottom"/>
            <w:gridSpan w:val="3"/>
          </w:tcPr>
          <w:p>
            <w:pPr>
              <w:jc w:val="right"/>
              <w:ind w:right="320"/>
              <w:spacing w:after="0"/>
              <w:rPr>
                <w:sz w:val="20"/>
                <w:szCs w:val="20"/>
                <w:color w:val="auto"/>
              </w:rPr>
            </w:pPr>
            <w:r>
              <w:rPr>
                <w:rFonts w:ascii="Arial" w:cs="Arial" w:eastAsia="Arial" w:hAnsi="Arial"/>
                <w:sz w:val="17"/>
                <w:szCs w:val="17"/>
                <w:color w:val="auto"/>
              </w:rPr>
              <w:t>2.22%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7"/>
                <w:szCs w:val="17"/>
                <w:color w:val="auto"/>
                <w:w w:val="92"/>
              </w:rPr>
              <w:t>2.02%-2.32%</w:t>
            </w: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23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hanging="456"/>
        <w:spacing w:after="0" w:line="261" w:lineRule="auto"/>
        <w:tabs>
          <w:tab w:leader="none" w:pos="4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in 2014, 2015, 2016 and the six months ended June 30, 2017. The fair value of common stock issued prior to January 1, 2014 was determined to be $0.75, which was the price most investors paid to purchase common stock prior to that date.</w:t>
      </w:r>
    </w:p>
    <w:p>
      <w:pPr>
        <w:ind w:left="460" w:right="60" w:hanging="456"/>
        <w:spacing w:after="0" w:line="256" w:lineRule="auto"/>
        <w:tabs>
          <w:tab w:leader="none" w:pos="4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Expected term of stock options is based on the average of the vesting period and the contractual term for each grant according to Staff Accounting Bulletin 110.</w:t>
      </w:r>
    </w:p>
    <w:p>
      <w:pPr>
        <w:ind w:left="460" w:hanging="456"/>
        <w:spacing w:after="0"/>
        <w:tabs>
          <w:tab w:leader="none" w:pos="4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460" w:right="40" w:hanging="456"/>
        <w:spacing w:after="0" w:line="256" w:lineRule="auto"/>
        <w:tabs>
          <w:tab w:leader="none" w:pos="4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stock options in effect at the time of grant.</w:t>
      </w:r>
    </w:p>
    <w:p>
      <w:pPr>
        <w:ind w:left="460" w:hanging="456"/>
        <w:spacing w:after="0"/>
        <w:tabs>
          <w:tab w:leader="none" w:pos="4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209"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In addition to the assumptions used in the Black-Scholes valuation model, the Company estimates, based on the historical turnover rate, a forfeiture rate of 10% for use in calculating the stock-based compensation for its stock-based awards.</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300"/>
          </w:cols>
          <w:pgMar w:left="240" w:top="448" w:right="35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ACM’s non-employee share option activities: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1"/>
              </w:rPr>
              <w:t>Average Grant</w:t>
            </w:r>
          </w:p>
        </w:tc>
        <w:tc>
          <w:tcPr>
            <w:tcW w:w="54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Average Exercise</w:t>
            </w:r>
          </w:p>
        </w:tc>
        <w:tc>
          <w:tcPr>
            <w:tcW w:w="1320" w:type="dxa"/>
            <w:vAlign w:val="bottom"/>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Option Shares</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Date Fair Value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0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1,036,673</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496,670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1.50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1,533,343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0.99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415,225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3.00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tcPr>
          <w:p>
            <w:pPr>
              <w:jc w:val="right"/>
              <w:ind w:right="260"/>
              <w:spacing w:after="0"/>
              <w:rPr>
                <w:sz w:val="20"/>
                <w:szCs w:val="20"/>
                <w:color w:val="auto"/>
              </w:rPr>
            </w:pPr>
            <w:r>
              <w:rPr>
                <w:rFonts w:ascii="Arial" w:cs="Arial" w:eastAsia="Arial" w:hAnsi="Arial"/>
                <w:sz w:val="17"/>
                <w:szCs w:val="17"/>
                <w:color w:val="auto"/>
              </w:rPr>
              <w:t>(370,003)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Forfeited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1,578,565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1.58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133,335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7.50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(231,886)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0.99</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June 30, 2017</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1,480,014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0.72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2.20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December 31, 2015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1,006,117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Vested and exercisable at December 31, 2016</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877,097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789,997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During the six months ended June 30, 2017 and 2016 and the years ended December 31, 2016 and 2015, the Company recognized non-employee stock-based compensation expense of $1,220, $148, $291 and $350, respectively.</w:t>
      </w:r>
    </w:p>
    <w:p>
      <w:pPr>
        <w:spacing w:after="0" w:line="158"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The fair value of each option granted to non-employees is re-measured at each period end until the vesting date using the Black-Scholes valuation model with the following assumptions: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6"/>
              </w:rPr>
              <w:t>June 30,</w:t>
            </w:r>
          </w:p>
        </w:tc>
        <w:tc>
          <w:tcPr>
            <w:tcW w:w="12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428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ind w:right="458"/>
              <w:spacing w:after="0" w:line="13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56"/>
              <w:spacing w:after="0" w:line="137"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278"/>
              <w:spacing w:after="0" w:line="137"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6"/>
              <w:spacing w:after="0" w:line="13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$6.87-$7.59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1340" w:type="dxa"/>
            <w:vAlign w:val="bottom"/>
          </w:tcPr>
          <w:p>
            <w:pPr>
              <w:jc w:val="right"/>
              <w:spacing w:after="0"/>
              <w:rPr>
                <w:sz w:val="20"/>
                <w:szCs w:val="20"/>
                <w:color w:val="auto"/>
              </w:rPr>
            </w:pPr>
            <w:r>
              <w:rPr>
                <w:rFonts w:ascii="Arial" w:cs="Arial" w:eastAsia="Arial" w:hAnsi="Arial"/>
                <w:sz w:val="17"/>
                <w:szCs w:val="17"/>
                <w:color w:val="auto"/>
              </w:rPr>
              <w:t>4.08-6.19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2.62-5.69</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2.11-6.24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3.12-5.94</w:t>
            </w:r>
          </w:p>
        </w:tc>
        <w:tc>
          <w:tcPr>
            <w:tcW w:w="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28.87%-29.41%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30.59%-31.43%</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29.93%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33.21%</w:t>
            </w:r>
          </w:p>
        </w:tc>
      </w:tr>
      <w:tr>
        <w:trPr>
          <w:trHeight w:val="209"/>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1340" w:type="dxa"/>
            <w:vAlign w:val="bottom"/>
          </w:tcPr>
          <w:p>
            <w:pPr>
              <w:jc w:val="right"/>
              <w:spacing w:after="0"/>
              <w:rPr>
                <w:sz w:val="20"/>
                <w:szCs w:val="20"/>
                <w:color w:val="auto"/>
              </w:rPr>
            </w:pPr>
            <w:r>
              <w:rPr>
                <w:rFonts w:ascii="Arial" w:cs="Arial" w:eastAsia="Arial" w:hAnsi="Arial"/>
                <w:sz w:val="17"/>
                <w:szCs w:val="17"/>
                <w:color w:val="auto"/>
              </w:rPr>
              <w:t>1.85%-2.33%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0.71%-1.21%</w:t>
            </w:r>
          </w:p>
        </w:tc>
        <w:tc>
          <w:tcPr>
            <w:tcW w:w="3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7"/>
                <w:szCs w:val="17"/>
                <w:color w:val="auto"/>
              </w:rPr>
              <w:t>1.00%-2.25%</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1.31%-1.76%</w:t>
            </w: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r>
    </w:tbl>
    <w:p>
      <w:pPr>
        <w:spacing w:after="0" w:line="222" w:lineRule="exact"/>
        <w:rPr>
          <w:sz w:val="20"/>
          <w:szCs w:val="20"/>
          <w:color w:val="auto"/>
        </w:rPr>
      </w:pPr>
    </w:p>
    <w:p>
      <w:pPr>
        <w:ind w:left="460" w:right="100" w:hanging="456"/>
        <w:spacing w:after="0" w:line="271" w:lineRule="auto"/>
        <w:tabs>
          <w:tab w:leader="none" w:pos="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in 2014, 2015, 2016 and the six months ended June 30, 2017. The fair value of common stock issued prior to January 1, 2014 was determined to be $0.75, which was the price most investors paid to purchase common stock prior to that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00"/>
          </w:cols>
          <w:pgMar w:left="240" w:top="448" w:right="25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right="160" w:hanging="456"/>
        <w:spacing w:after="0" w:line="263" w:lineRule="auto"/>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of the vesting period and the contractual term for each grant according to Staff Accounting Bulletin 110.</w:t>
      </w:r>
    </w:p>
    <w:p>
      <w:pPr>
        <w:ind w:left="460" w:hanging="456"/>
        <w:spacing w:after="0"/>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460" w:right="140" w:hanging="456"/>
        <w:spacing w:after="0" w:line="256" w:lineRule="auto"/>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460" w:hanging="456"/>
        <w:spacing w:after="0"/>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INCOME TAXES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represent components of the income tax benefit (expense) for the six months ended June 30, 2017 and 2016 and the years ended December 31,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2016 and 2015:</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10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14"/>
                <w:szCs w:val="14"/>
                <w:color w:val="auto"/>
              </w:rPr>
            </w:pPr>
          </w:p>
        </w:tc>
        <w:tc>
          <w:tcPr>
            <w:tcW w:w="15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60" w:type="dxa"/>
            <w:vAlign w:val="bottom"/>
            <w:tcBorders>
              <w:bottom w:val="single" w:sz="8" w:color="CCEEFF"/>
            </w:tcBorders>
          </w:tcPr>
          <w:p>
            <w:pPr>
              <w:spacing w:after="0"/>
              <w:rPr>
                <w:sz w:val="11"/>
                <w:szCs w:val="11"/>
                <w:color w:val="auto"/>
              </w:rPr>
            </w:pPr>
          </w:p>
        </w:tc>
        <w:tc>
          <w:tcPr>
            <w:tcW w:w="242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2017</w:t>
            </w:r>
          </w:p>
        </w:tc>
        <w:tc>
          <w:tcPr>
            <w:tcW w:w="1380" w:type="dxa"/>
            <w:vAlign w:val="bottom"/>
            <w:tcBorders>
              <w:top w:val="single" w:sz="8" w:color="auto"/>
              <w:bottom w:val="single" w:sz="8" w:color="auto"/>
            </w:tcBorders>
            <w:gridSpan w:val="2"/>
          </w:tcPr>
          <w:p>
            <w:pPr>
              <w:jc w:val="right"/>
              <w:ind w:right="153"/>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5"/>
              <w:spacing w:after="0" w:line="137"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w:t>
            </w:r>
          </w:p>
        </w:tc>
        <w:tc>
          <w:tcPr>
            <w:tcW w:w="2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7"/>
                <w:szCs w:val="17"/>
                <w:color w:val="auto"/>
              </w:rPr>
              <w:t>U.S. federal</w:t>
            </w:r>
          </w:p>
        </w:tc>
        <w:tc>
          <w:tcPr>
            <w:tcW w:w="24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state</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7"/>
                <w:szCs w:val="17"/>
                <w:color w:val="auto"/>
              </w:rPr>
              <w:t>Foreign</w:t>
            </w:r>
          </w:p>
        </w:tc>
        <w:tc>
          <w:tcPr>
            <w:tcW w:w="2420" w:type="dxa"/>
            <w:vAlign w:val="bottom"/>
          </w:tcPr>
          <w:p>
            <w:pPr>
              <w:spacing w:after="0"/>
              <w:rPr>
                <w:sz w:val="18"/>
                <w:szCs w:val="18"/>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benefit (expense)</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24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federal</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7"/>
                <w:szCs w:val="17"/>
                <w:color w:val="auto"/>
              </w:rPr>
              <w:t>U.S. state</w:t>
            </w:r>
          </w:p>
        </w:tc>
        <w:tc>
          <w:tcPr>
            <w:tcW w:w="24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(594)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7"/>
                <w:szCs w:val="17"/>
                <w:color w:val="auto"/>
              </w:rPr>
              <w:t>Total deferred tax benefit (expense)</w:t>
            </w:r>
          </w:p>
        </w:tc>
        <w:tc>
          <w:tcPr>
            <w:tcW w:w="2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80" w:type="dxa"/>
            <w:vAlign w:val="bottom"/>
            <w:gridSpan w:val="2"/>
            <w:vMerge w:val="continue"/>
          </w:tcPr>
          <w:p>
            <w:pPr>
              <w:spacing w:after="0"/>
              <w:rPr>
                <w:sz w:val="18"/>
                <w:szCs w:val="18"/>
                <w:color w:val="auto"/>
              </w:rPr>
            </w:pPr>
          </w:p>
        </w:tc>
        <w:tc>
          <w:tcPr>
            <w:tcW w:w="2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(749)</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w:t>
            </w:r>
          </w:p>
        </w:tc>
        <w:tc>
          <w:tcPr>
            <w:tcW w:w="6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(594)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 (expense)</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140" w:type="dxa"/>
            <w:vAlign w:val="bottom"/>
            <w:gridSpan w:val="2"/>
          </w:tcPr>
          <w:p>
            <w:pPr>
              <w:jc w:val="right"/>
              <w:ind w:right="1416"/>
              <w:spacing w:after="0"/>
              <w:rPr>
                <w:sz w:val="20"/>
                <w:szCs w:val="20"/>
                <w:color w:val="auto"/>
              </w:rPr>
            </w:pPr>
            <w:r>
              <w:rPr>
                <w:rFonts w:ascii="Arial" w:cs="Arial" w:eastAsia="Arial" w:hAnsi="Arial"/>
                <w:sz w:val="17"/>
                <w:szCs w:val="17"/>
                <w:color w:val="auto"/>
              </w:rPr>
              <w:t>F-38</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8" w:right="25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Tax effects of temporary differences that give rise to significant portions of the Company’s deferred tax assets at June 30, 2017 and December 31, 2016 and 2015 are presented below:</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560" w:type="dxa"/>
            <w:vAlign w:val="bottom"/>
          </w:tcPr>
          <w:p>
            <w:pPr>
              <w:jc w:val="right"/>
              <w:ind w:right="55"/>
              <w:spacing w:after="0" w:line="137"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1"/>
                <w:szCs w:val="11"/>
                <w:color w:val="auto"/>
              </w:rPr>
            </w:pPr>
          </w:p>
        </w:tc>
        <w:tc>
          <w:tcPr>
            <w:tcW w:w="540" w:type="dxa"/>
            <w:vAlign w:val="bottom"/>
            <w:tcBorders>
              <w:top w:val="single" w:sz="8" w:color="auto"/>
            </w:tcBorders>
          </w:tcPr>
          <w:p>
            <w:pPr>
              <w:jc w:val="right"/>
              <w:ind w:right="58"/>
              <w:spacing w:after="0" w:line="137"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5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Deferred tax assets:</w:t>
            </w:r>
          </w:p>
        </w:tc>
        <w:tc>
          <w:tcPr>
            <w:tcW w:w="5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Net operating loss carry forwards (offshore)</w:t>
            </w:r>
          </w:p>
        </w:tc>
        <w:tc>
          <w:tcPr>
            <w:tcW w:w="560" w:type="dxa"/>
            <w:vAlign w:val="bottom"/>
          </w:tcPr>
          <w:p>
            <w:pPr>
              <w:jc w:val="right"/>
              <w:spacing w:after="0"/>
              <w:rPr>
                <w:sz w:val="20"/>
                <w:szCs w:val="20"/>
                <w:color w:val="auto"/>
              </w:rPr>
            </w:pPr>
            <w:r>
              <w:rPr>
                <w:rFonts w:ascii="Arial" w:cs="Arial" w:eastAsia="Arial" w:hAnsi="Arial"/>
                <w:sz w:val="17"/>
                <w:szCs w:val="17"/>
                <w:color w:val="auto"/>
              </w:rPr>
              <w:t>$1,275</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$ 1,029</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$ 1,568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operating loss carry forwards (U.S.) and credit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5,815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Deferred revenue (offshore)</w:t>
            </w:r>
          </w:p>
        </w:tc>
        <w:tc>
          <w:tcPr>
            <w:tcW w:w="560" w:type="dxa"/>
            <w:vAlign w:val="bottom"/>
          </w:tcPr>
          <w:p>
            <w:pPr>
              <w:jc w:val="right"/>
              <w:spacing w:after="0"/>
              <w:rPr>
                <w:sz w:val="20"/>
                <w:szCs w:val="20"/>
                <w:color w:val="auto"/>
              </w:rPr>
            </w:pPr>
            <w:r>
              <w:rPr>
                <w:rFonts w:ascii="Arial" w:cs="Arial" w:eastAsia="Arial" w:hAnsi="Arial"/>
                <w:sz w:val="17"/>
                <w:szCs w:val="17"/>
                <w:color w:val="auto"/>
              </w:rPr>
              <w:t>589</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840</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 (U.S.)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Reserves and other (offshore)</w:t>
            </w: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(U.S.)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Property and equipment (U.S.)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6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Total gross deferred tax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8,090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560" w:type="dxa"/>
            <w:vAlign w:val="bottom"/>
          </w:tcPr>
          <w:p>
            <w:pPr>
              <w:jc w:val="right"/>
              <w:spacing w:after="0"/>
              <w:rPr>
                <w:sz w:val="20"/>
                <w:szCs w:val="20"/>
                <w:color w:val="auto"/>
              </w:rPr>
            </w:pPr>
            <w:r>
              <w:rPr>
                <w:rFonts w:ascii="Arial" w:cs="Arial" w:eastAsia="Arial" w:hAnsi="Arial"/>
                <w:sz w:val="17"/>
                <w:szCs w:val="17"/>
                <w:color w:val="auto"/>
              </w:rPr>
              <w:t>(8,713)</w:t>
            </w:r>
          </w:p>
        </w:tc>
        <w:tc>
          <w:tcPr>
            <w:tcW w:w="6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(6,249)</w:t>
            </w:r>
          </w:p>
        </w:tc>
        <w:tc>
          <w:tcPr>
            <w:tcW w:w="920" w:type="dxa"/>
            <w:vAlign w:val="bottom"/>
            <w:gridSpan w:val="3"/>
          </w:tcPr>
          <w:p>
            <w:pPr>
              <w:jc w:val="right"/>
              <w:ind w:right="60"/>
              <w:spacing w:after="0"/>
              <w:rPr>
                <w:sz w:val="20"/>
                <w:szCs w:val="20"/>
                <w:color w:val="auto"/>
              </w:rPr>
            </w:pPr>
            <w:r>
              <w:rPr>
                <w:rFonts w:ascii="Arial" w:cs="Arial" w:eastAsia="Arial" w:hAnsi="Arial"/>
                <w:sz w:val="17"/>
                <w:szCs w:val="17"/>
                <w:color w:val="auto"/>
              </w:rPr>
              <w:t>(6,148)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6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Translation difference</w:t>
            </w: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7"/>
                <w:szCs w:val="17"/>
                <w:color w:val="auto"/>
              </w:rPr>
              <w:t>Deferred tax assets, net</w:t>
            </w: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6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$1,123</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$ 1,841</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$ 2,432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June 30, 2017 and December 31, 2016 and 2015,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 The valuation allowance in the U.S. increased by approximately $1,811, $264 and $106 during the six months ended June 30, 2017 and the years ended December 31, 2016 and 2015, respectively. The valuation allowance in China increased by approximately $653 and decreased by $163 and $2,469 during six months ended June 30, 2017 and the years ended December 31, 2016 and 2015,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Company did not have any significant temporary differences relating to deferred tax liabilities as of June 30, 2017 or December 31, 2016 or 2015.</w:t>
      </w:r>
    </w:p>
    <w:p>
      <w:pPr>
        <w:spacing w:after="0" w:line="222" w:lineRule="exact"/>
        <w:rPr>
          <w:sz w:val="20"/>
          <w:szCs w:val="20"/>
          <w:color w:val="auto"/>
        </w:rPr>
      </w:pPr>
    </w:p>
    <w:p>
      <w:pPr>
        <w:ind w:right="360" w:firstLine="457"/>
        <w:spacing w:after="0" w:line="271" w:lineRule="auto"/>
        <w:rPr>
          <w:sz w:val="20"/>
          <w:szCs w:val="20"/>
          <w:color w:val="auto"/>
        </w:rPr>
      </w:pPr>
      <w:r>
        <w:rPr>
          <w:rFonts w:ascii="Arial" w:cs="Arial" w:eastAsia="Arial" w:hAnsi="Arial"/>
          <w:sz w:val="17"/>
          <w:szCs w:val="17"/>
          <w:color w:val="auto"/>
        </w:rPr>
        <w:t>As of June 30, 2017 and December 31, 2016, the Company had net operating loss carry-forwards of respectively, $18,886 and $15,037 for U.S federal purposes, $322 for U.S. state purposes and $8,409 and $6,822 for Chinese income tax purposes. Such losses are set to expire in 2019, 2032, and 2017 for U.S. federal, U.S. state and Chinese income tax purposes, respectively.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360"/>
          </w:cols>
          <w:pgMar w:left="240" w:top="448" w:right="29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360" w:firstLine="457"/>
        <w:spacing w:after="0" w:line="320" w:lineRule="auto"/>
        <w:rPr>
          <w:sz w:val="20"/>
          <w:szCs w:val="20"/>
          <w:color w:val="auto"/>
        </w:rPr>
      </w:pPr>
      <w:r>
        <w:rPr>
          <w:rFonts w:ascii="Arial" w:cs="Arial" w:eastAsia="Arial" w:hAnsi="Arial"/>
          <w:sz w:val="16"/>
          <w:szCs w:val="16"/>
          <w:color w:val="auto"/>
        </w:rPr>
        <w:t>As of June 30, 2017 and December 31, 2016, the Company had research credit carry-forwards of $606 for U.S. federal purposes, and $377 for U.S. state purposes. Such credits are set to expire in 2025 for U.S. federal carry-forwards. There is no expiration date for U.S. state carry-forwards.</w:t>
      </w:r>
    </w:p>
    <w:p>
      <w:pPr>
        <w:spacing w:after="0" w:line="135"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 limitation may apply to the use of the U.S. net operating loss and credit carry-forwards, under provisions of the U.S. Internal Revenue Code that would be applicable if ACM experiences an “ownership change.” Should these limitations apply, the carry-forwards would be subject to an annual limitation, resulting in a substantial reduction in the gross deferred tax assets before considering the valuation allowance. As of June 30, 2017 and December 31, 2016, the Company had not performed an analysis to determine if its net operating loss and credit carry-forwards would be subject to such limitations.</w:t>
      </w:r>
    </w:p>
    <w:p>
      <w:pPr>
        <w:spacing w:after="0" w:line="160"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The Company’s effective tax rate differs from statutory rates of 34%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2012 and again in 2016 with an effective period of three years, and the provision for PRC corporate income tax for ACM Shanghai is calculated by applying the income tax rate of 15% for the six months ended June 30, 2017 and 2016 and the years ended December 31, 2016 and 2015.</w:t>
      </w:r>
    </w:p>
    <w:p>
      <w:pPr>
        <w:spacing w:after="0" w:line="16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Income tax (expense) benefit for the six months ended June 30, 2017 and 2016 and years ended December 31, 2016 and 2015 differed from the amounts computed by applying the statutory federal income tax rate of 34% to pretax income (loss) as a result of the following:</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42"/>
              <w:spacing w:after="0" w:line="137"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Effective tax rate reconciliation:</w:t>
            </w:r>
          </w:p>
        </w:tc>
        <w:tc>
          <w:tcPr>
            <w:tcW w:w="1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7"/>
                <w:szCs w:val="17"/>
                <w:color w:val="auto"/>
              </w:rPr>
              <w:t>Income tax provision at statutory rate</w:t>
            </w:r>
          </w:p>
        </w:tc>
        <w:tc>
          <w:tcPr>
            <w:tcW w:w="3280" w:type="dxa"/>
            <w:vAlign w:val="bottom"/>
            <w:gridSpan w:val="3"/>
          </w:tcPr>
          <w:p>
            <w:pPr>
              <w:jc w:val="right"/>
              <w:ind w:right="760"/>
              <w:spacing w:after="0"/>
              <w:rPr>
                <w:sz w:val="20"/>
                <w:szCs w:val="20"/>
                <w:color w:val="auto"/>
              </w:rPr>
            </w:pPr>
            <w:r>
              <w:rPr>
                <w:rFonts w:ascii="Arial" w:cs="Arial" w:eastAsia="Arial" w:hAnsi="Arial"/>
                <w:sz w:val="17"/>
                <w:szCs w:val="17"/>
                <w:color w:val="auto"/>
              </w:rPr>
              <w:t>34.0%</w:t>
            </w:r>
          </w:p>
        </w:tc>
        <w:tc>
          <w:tcPr>
            <w:tcW w:w="1400" w:type="dxa"/>
            <w:vAlign w:val="bottom"/>
            <w:gridSpan w:val="2"/>
          </w:tcPr>
          <w:p>
            <w:pPr>
              <w:jc w:val="right"/>
              <w:ind w:right="540"/>
              <w:spacing w:after="0"/>
              <w:rPr>
                <w:sz w:val="20"/>
                <w:szCs w:val="20"/>
                <w:color w:val="auto"/>
              </w:rPr>
            </w:pPr>
            <w:r>
              <w:rPr>
                <w:rFonts w:ascii="Arial" w:cs="Arial" w:eastAsia="Arial" w:hAnsi="Arial"/>
                <w:sz w:val="17"/>
                <w:szCs w:val="17"/>
                <w:color w:val="auto"/>
              </w:rPr>
              <w:t>34.0%</w:t>
            </w:r>
          </w:p>
        </w:tc>
        <w:tc>
          <w:tcPr>
            <w:tcW w:w="1180" w:type="dxa"/>
            <w:vAlign w:val="bottom"/>
            <w:gridSpan w:val="2"/>
          </w:tcPr>
          <w:p>
            <w:pPr>
              <w:jc w:val="right"/>
              <w:ind w:right="580"/>
              <w:spacing w:after="0"/>
              <w:rPr>
                <w:sz w:val="20"/>
                <w:szCs w:val="20"/>
                <w:color w:val="auto"/>
              </w:rPr>
            </w:pPr>
            <w:r>
              <w:rPr>
                <w:rFonts w:ascii="Arial" w:cs="Arial" w:eastAsia="Arial" w:hAnsi="Arial"/>
                <w:sz w:val="17"/>
                <w:szCs w:val="17"/>
                <w:color w:val="auto"/>
                <w:w w:val="97"/>
              </w:rPr>
              <w:t>(34.0)%</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(34.0)%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 taxes, net of Federal benefit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7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7"/>
                <w:szCs w:val="17"/>
                <w:color w:val="auto"/>
              </w:rPr>
              <w:t>Foreign rate differential</w:t>
            </w:r>
          </w:p>
        </w:tc>
        <w:tc>
          <w:tcPr>
            <w:tcW w:w="238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20.4</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38.7</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permanent difference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9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(32.4)</w:t>
            </w:r>
          </w:p>
        </w:tc>
        <w:tc>
          <w:tcPr>
            <w:tcW w:w="1180" w:type="dxa"/>
            <w:vAlign w:val="bottom"/>
            <w:tcBorders>
              <w:righ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7"/>
                <w:szCs w:val="17"/>
                <w:color w:val="auto"/>
                <w:w w:val="98"/>
              </w:rPr>
              <w:t>(20.9)</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7"/>
                <w:szCs w:val="17"/>
                <w:color w:val="auto"/>
              </w:rPr>
              <w:t>Change in valuation allowance</w:t>
            </w:r>
          </w:p>
        </w:tc>
        <w:tc>
          <w:tcPr>
            <w:tcW w:w="17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7"/>
                <w:szCs w:val="17"/>
                <w:color w:val="auto"/>
              </w:rPr>
              <w:t>(78.0)</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(16.0)</w:t>
            </w:r>
          </w:p>
        </w:tc>
        <w:tc>
          <w:tcPr>
            <w:tcW w:w="1180" w:type="dxa"/>
            <w:vAlign w:val="bottom"/>
            <w:gridSpan w:val="2"/>
          </w:tcPr>
          <w:p>
            <w:pPr>
              <w:jc w:val="right"/>
              <w:ind w:right="720"/>
              <w:spacing w:after="0"/>
              <w:rPr>
                <w:sz w:val="20"/>
                <w:szCs w:val="20"/>
                <w:color w:val="auto"/>
              </w:rPr>
            </w:pPr>
            <w:r>
              <w:rPr>
                <w:rFonts w:ascii="Arial" w:cs="Arial" w:eastAsia="Arial" w:hAnsi="Arial"/>
                <w:sz w:val="17"/>
                <w:szCs w:val="17"/>
                <w:color w:val="auto"/>
              </w:rPr>
              <w:t>(3.8)</w:t>
            </w:r>
          </w:p>
        </w:tc>
        <w:tc>
          <w:tcPr>
            <w:tcW w:w="380" w:type="dxa"/>
            <w:vAlign w:val="bottom"/>
          </w:tcPr>
          <w:p>
            <w:pPr>
              <w:jc w:val="right"/>
              <w:spacing w:after="0"/>
              <w:rPr>
                <w:sz w:val="20"/>
                <w:szCs w:val="20"/>
                <w:color w:val="auto"/>
              </w:rPr>
            </w:pPr>
            <w:r>
              <w:rPr>
                <w:rFonts w:ascii="Arial" w:cs="Arial" w:eastAsia="Arial" w:hAnsi="Arial"/>
                <w:sz w:val="17"/>
                <w:szCs w:val="17"/>
                <w:color w:val="auto"/>
              </w:rPr>
              <w:t>61.6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(expense) benefit</w:t>
            </w:r>
          </w:p>
        </w:tc>
        <w:tc>
          <w:tcPr>
            <w:tcW w:w="1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(33.9)%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6.0%</w:t>
            </w:r>
          </w:p>
        </w:tc>
        <w:tc>
          <w:tcPr>
            <w:tcW w:w="118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97"/>
              </w:rPr>
              <w:t>(20.0)%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80" w:type="dxa"/>
            <w:vAlign w:val="bottom"/>
            <w:gridSpan w:val="3"/>
          </w:tcPr>
          <w:p>
            <w:pPr>
              <w:jc w:val="right"/>
              <w:ind w:right="1880"/>
              <w:spacing w:after="0"/>
              <w:rPr>
                <w:sz w:val="20"/>
                <w:szCs w:val="20"/>
                <w:color w:val="auto"/>
              </w:rPr>
            </w:pPr>
            <w:r>
              <w:rPr>
                <w:rFonts w:ascii="Arial" w:cs="Arial" w:eastAsia="Arial" w:hAnsi="Arial"/>
                <w:sz w:val="17"/>
                <w:szCs w:val="17"/>
                <w:color w:val="auto"/>
              </w:rPr>
              <w:t>F-40</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six months ended June 30, 2017 and the years ended December 31, 2016 and 2015, are as follows: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75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7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16"/>
              <w:spacing w:after="0" w:line="137"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1"/>
                <w:szCs w:val="11"/>
                <w:color w:val="auto"/>
              </w:rPr>
            </w:pPr>
          </w:p>
        </w:tc>
        <w:tc>
          <w:tcPr>
            <w:tcW w:w="34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760" w:type="dxa"/>
            <w:vAlign w:val="bottom"/>
            <w:tcBorders>
              <w:top w:val="single" w:sz="8" w:color="auto"/>
            </w:tcBorders>
            <w:gridSpan w:val="3"/>
          </w:tcPr>
          <w:p>
            <w:pPr>
              <w:jc w:val="center"/>
              <w:ind w:left="322"/>
              <w:spacing w:after="0" w:line="137"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1"/>
                <w:szCs w:val="11"/>
                <w:color w:val="auto"/>
              </w:rPr>
            </w:pPr>
          </w:p>
        </w:tc>
      </w:tr>
      <w:tr>
        <w:trPr>
          <w:trHeight w:val="202"/>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7520" w:type="dxa"/>
            <w:vAlign w:val="bottom"/>
          </w:tcPr>
          <w:p>
            <w:pPr>
              <w:ind w:left="360"/>
              <w:spacing w:after="0"/>
              <w:rPr>
                <w:sz w:val="20"/>
                <w:szCs w:val="20"/>
                <w:color w:val="auto"/>
              </w:rPr>
            </w:pPr>
            <w:r>
              <w:rPr>
                <w:rFonts w:ascii="Arial" w:cs="Arial" w:eastAsia="Arial" w:hAnsi="Arial"/>
                <w:sz w:val="17"/>
                <w:szCs w:val="17"/>
                <w:color w:val="auto"/>
              </w:rPr>
              <w:t>Increase/(Decrease) of unrecognized tax benefits taken in prior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r>
      <w:tr>
        <w:trPr>
          <w:trHeight w:val="209"/>
        </w:trPr>
        <w:tc>
          <w:tcPr>
            <w:tcW w:w="7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Increase/(Decrease) of unrecognized tax benefits related to current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8"/>
                <w:szCs w:val="18"/>
                <w:color w:val="auto"/>
              </w:rPr>
            </w:pPr>
          </w:p>
        </w:tc>
      </w:tr>
      <w:tr>
        <w:trPr>
          <w:trHeight w:val="209"/>
        </w:trPr>
        <w:tc>
          <w:tcPr>
            <w:tcW w:w="7520" w:type="dxa"/>
            <w:vAlign w:val="bottom"/>
          </w:tcPr>
          <w:p>
            <w:pPr>
              <w:ind w:left="360"/>
              <w:spacing w:after="0"/>
              <w:rPr>
                <w:sz w:val="20"/>
                <w:szCs w:val="20"/>
                <w:color w:val="auto"/>
              </w:rPr>
            </w:pPr>
            <w:r>
              <w:rPr>
                <w:rFonts w:ascii="Arial" w:cs="Arial" w:eastAsia="Arial" w:hAnsi="Arial"/>
                <w:sz w:val="17"/>
                <w:szCs w:val="17"/>
                <w:color w:val="auto"/>
              </w:rPr>
              <w:t>Increase/(Decreases) of unrecognized tax benefits related to 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r>
      <w:tr>
        <w:trPr>
          <w:trHeight w:val="209"/>
        </w:trPr>
        <w:tc>
          <w:tcPr>
            <w:tcW w:w="7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Reductions to unrecognized tax benefits related to lapsing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8"/>
                <w:szCs w:val="18"/>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7"/>
                <w:szCs w:val="17"/>
                <w:color w:val="auto"/>
              </w:rPr>
              <w:t>Ending balance</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44</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44</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44</w:t>
            </w:r>
          </w:p>
        </w:tc>
        <w:tc>
          <w:tcPr>
            <w:tcW w:w="6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June 30, 2017.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76"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The Company had $44 of unrecognized tax benefits as of June 30, 2017 and December 31, 2016 and 2015. The Company does not anticipate a significant change to its unrecognized tax benefits in the year ending December 31, 2017.</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As of June 30, 2017 and December 31, 2016 and 2015, the Company had $44 of accrued penalties and $0 of accrued penalties related to uncertain tax positions, none of which has been recognized in the Company’s consolidated statements of operations and comprehensive income for the six months ended June 30, 2017 and the year ended December 31, 2016. There were no ongoing examinations by taxing authorities as of June 30, 2017 and December 31, 2016.</w:t>
      </w:r>
    </w:p>
    <w:p>
      <w:pPr>
        <w:spacing w:after="0" w:line="176"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The Company intends to indefinitely reinvest the PRC earnings outside of the U.S. as of June 30, 2017 and December 31, 2016. Thus, deferred taxes are not provided in the U.S. for unremitted earnings in the PRC.</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COMMITMENTS AND CONTINGENCIES</w:t>
      </w:r>
    </w:p>
    <w:p>
      <w:pPr>
        <w:spacing w:after="0" w:line="123"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The Company leases offices under non-cancelable operating lease agreements. The rental expenses were $336, $342, $675 and $718 for the six months ended June 30, 2017 and the years ended December 31, 2016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420"/>
          </w:cols>
          <w:pgMar w:left="240" w:top="448"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2015, respectively. See note 13 for future minimum lease payments under non-cancelable operating lease agreements with initial terms of one year or more.</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did not have any capital commitments during the reported periods.</w:t>
      </w:r>
    </w:p>
    <w:p>
      <w:pPr>
        <w:spacing w:after="0" w:line="222" w:lineRule="exact"/>
        <w:rPr>
          <w:sz w:val="20"/>
          <w:szCs w:val="20"/>
          <w:color w:val="auto"/>
        </w:rPr>
      </w:pPr>
    </w:p>
    <w:p>
      <w:pPr>
        <w:ind w:right="640" w:firstLine="457"/>
        <w:spacing w:after="0" w:line="287" w:lineRule="auto"/>
        <w:rPr>
          <w:sz w:val="20"/>
          <w:szCs w:val="20"/>
          <w:color w:val="auto"/>
        </w:rPr>
      </w:pPr>
      <w:r>
        <w:rPr>
          <w:rFonts w:ascii="Arial" w:cs="Arial" w:eastAsia="Arial" w:hAnsi="Arial"/>
          <w:sz w:val="17"/>
          <w:szCs w:val="17"/>
          <w:color w:val="auto"/>
        </w:rPr>
        <w:t>From time to time the Company is subject to legal proceedings, including claims in the ordinary course of business and claims with respect to patent infringements.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RESTRICTED NET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accordance with the PRC’s Foreign Enterprise Law, ACM Shanghai and ACM Wuxi are required to make contributions to a statutory surplus reserve (note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9"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As a result of PRC laws and regulations that require annual appropriations of 10% of net after-tax profits to be set aside prior to payment of dividends as general reserve fund or statutory surplus fund, ACM Shanghai is restricted in its ability to transfer a portion of its net assets to ACM (including any assets received as distributions from ACM Wuxi). Amounts restricted included paid-in capital and statutory reserve funds, as determined pursuant to PRC accounting standards and regulations, were $29,927 as of June 30, 2017 and December 31, 2016 and 2015.</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SUBSEQUENT EVENTS</w:t>
      </w:r>
    </w:p>
    <w:p>
      <w:pPr>
        <w:spacing w:after="0" w:line="123"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ACM has entered into the following agreements with minority third-party investors holding a minority, or non-controlling, equity interest in ACM Shanghai, which are reflected as “non-controlling interests” in the Company’s consolidated financial statements:</w:t>
      </w:r>
    </w:p>
    <w:p>
      <w:pPr>
        <w:spacing w:after="0" w:line="67" w:lineRule="exact"/>
        <w:rPr>
          <w:sz w:val="20"/>
          <w:szCs w:val="20"/>
          <w:color w:val="auto"/>
        </w:rPr>
      </w:pPr>
    </w:p>
    <w:p>
      <w:pPr>
        <w:ind w:left="900" w:right="360" w:hanging="335"/>
        <w:spacing w:after="0" w:line="296"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March 2017 ACM entered into a securities purchase agreement with Shanghai Science and Technology Venture Capital Co., Ltd. (“SSTVC”) pursuant to which, effective as of August 31, 2017, ACM acquired SSTVC’s equity interests in ACM Shanghai for a purchase price of $5,800 and issued to SSTVC 4,998,508 shares of Series E convertible preferred stock for a purchase price of $5,800.</w:t>
      </w:r>
    </w:p>
    <w:p>
      <w:pPr>
        <w:spacing w:after="0" w:line="62" w:lineRule="exact"/>
        <w:rPr>
          <w:rFonts w:ascii="Arial" w:cs="Arial" w:eastAsia="Arial" w:hAnsi="Arial"/>
          <w:sz w:val="16"/>
          <w:szCs w:val="16"/>
          <w:color w:val="auto"/>
        </w:rPr>
      </w:pPr>
    </w:p>
    <w:p>
      <w:pPr>
        <w:ind w:left="900" w:right="20" w:hanging="335"/>
        <w:spacing w:after="0" w:line="263"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August 2017 ACM entered into a securities purchase agreement with Shanghai Pudong High-Tech Investment Co., Ltd. (“PDHTI”) and its subsidiary Pudong Science and Technology (Cayman) Co., Ltd. (“PST”), in which ACM agreed to bid, in an auction process mandated by PRC regulations, to purchase PDHTI’s 10.78% equity interests in ACM Shanghai and to sell shares of Class A common stock to PST. On September 8, 2017, ACM issued 1,119,576 shares of Class A common stock to PST for a purchase price of $7.50 per share, representing an aggregate purchase price of $8,397.</w:t>
      </w:r>
    </w:p>
    <w:p>
      <w:pPr>
        <w:spacing w:after="0" w:line="89" w:lineRule="exact"/>
        <w:rPr>
          <w:rFonts w:ascii="Arial" w:cs="Arial" w:eastAsia="Arial" w:hAnsi="Arial"/>
          <w:sz w:val="17"/>
          <w:szCs w:val="17"/>
          <w:color w:val="auto"/>
        </w:rPr>
      </w:pPr>
    </w:p>
    <w:p>
      <w:pPr>
        <w:ind w:left="900" w:right="40" w:hanging="335"/>
        <w:spacing w:after="0" w:line="312" w:lineRule="auto"/>
        <w:tabs>
          <w:tab w:leader="none" w:pos="90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In August 2017 ACM entered into a securities purchase agreement with Shanghai Zhangjiang Science &amp; Technology Venture Capital Co., Ltd. (“ZSTVC”) and its subsidiary Zhangjiang AJ Company Limited (“ZJAJ”), in which ACM agreed to bid, in an auction process mandated by PRC regulations, to purchase ZSTVC’s 7.58% equity interests in ACM Shanghai and to sell shares of Class A common stock to ZJAJ. On September 8, 2017, ACM issued 787,098 shares of Class A common stock to ZJAJ for a purchase price of $7.50 per share, or an aggregate purchase price of $5,903.</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September 6, 2017 ACM and Ninebell Co., Ltd. (“Ninebell”) entered into:</w:t>
      </w:r>
    </w:p>
    <w:p>
      <w:pPr>
        <w:spacing w:after="0" w:line="130" w:lineRule="exact"/>
        <w:rPr>
          <w:sz w:val="20"/>
          <w:szCs w:val="20"/>
          <w:color w:val="auto"/>
        </w:rPr>
      </w:pPr>
    </w:p>
    <w:p>
      <w:pPr>
        <w:ind w:left="900" w:right="360" w:hanging="335"/>
        <w:spacing w:after="0" w:line="287"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 ordinary share purchase agreement, effective as of September 11, 2017, pursuant to which, contemporaneously with signing, Ninebell issued to ACM, for a purchase price of $1,200, ordinary shares representing 20% of Ninebell’s post-closing equity;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420"/>
          </w:cols>
          <w:pgMar w:left="240" w:top="448"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900" w:right="160" w:hanging="335"/>
        <w:spacing w:after="0" w:line="320"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ACM issued 133,334 shares of Class A common stock to Ninebell for a purchase price of $7.50 per share, or an aggregate purchase price of $1,000.</w:t>
      </w:r>
    </w:p>
    <w:p>
      <w:pPr>
        <w:spacing w:after="0" w:line="135"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On September 13, 2017, ACM effected the Reverse Split. Under the terms of the Reverse Split, each share of Class A and Class B common stock, issued and outstanding as of such effective date, was automatically reclassified and changed into one-third of one share of Class A and Class B common stock, as applicable, without any action by the stockholders. Fractional shares were rounded up to the nearest whole share on a holder-by-holder basis. All share and per share amounts have been restated to reflect the Reverse Split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PARENT COMPANY ONLY CONDENSED FINANCIAL INFORMATION</w:t>
      </w:r>
    </w:p>
    <w:p>
      <w:pPr>
        <w:spacing w:after="0" w:line="123"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ACM’s subsidiaries did not pay any dividends to ACM during the periods presented.</w:t>
      </w:r>
    </w:p>
    <w:p>
      <w:pPr>
        <w:spacing w:after="0" w:line="222" w:lineRule="exact"/>
        <w:rPr>
          <w:sz w:val="20"/>
          <w:szCs w:val="20"/>
          <w:color w:val="auto"/>
        </w:rPr>
      </w:pPr>
    </w:p>
    <w:p>
      <w:pPr>
        <w:jc w:val="center"/>
        <w:ind w:right="80"/>
        <w:spacing w:after="0" w:line="463" w:lineRule="auto"/>
        <w:rPr>
          <w:sz w:val="20"/>
          <w:szCs w:val="20"/>
          <w:color w:val="auto"/>
        </w:rPr>
      </w:pPr>
      <w:r>
        <w:rPr>
          <w:rFonts w:ascii="Arial" w:cs="Arial" w:eastAsia="Arial" w:hAnsi="Arial"/>
          <w:sz w:val="17"/>
          <w:szCs w:val="17"/>
          <w:color w:val="auto"/>
        </w:rPr>
        <w:t>ACM did not have significant capital or other commitments, long-term obligations, or guarantees as of June 30, 2017 or December 31, 2016 or 2015. F-43</w:t>
      </w:r>
    </w:p>
    <w:p>
      <w:pPr>
        <w:sectPr>
          <w:pgSz w:w="11900" w:h="16838" w:orient="portrait"/>
          <w:cols w:equalWidth="0" w:num="1">
            <w:col w:w="11380"/>
          </w:cols>
          <w:pgMar w:left="240" w:top="448" w:right="27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represents condensed unconsolidated financial information of ACM only as of and for the years ended December 31, 2016 and 2015:</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96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5"/>
              <w:spacing w:after="0" w:line="137"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4"/>
              <w:spacing w:after="0" w:line="137"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680" w:type="dxa"/>
            <w:vAlign w:val="bottom"/>
            <w:shd w:val="clear" w:color="auto" w:fill="CCEEFF"/>
          </w:tcPr>
          <w:p>
            <w:pPr>
              <w:ind w:left="4900"/>
              <w:spacing w:after="0" w:line="189" w:lineRule="exact"/>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7,264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9"/>
        </w:trPr>
        <w:tc>
          <w:tcPr>
            <w:tcW w:w="9680" w:type="dxa"/>
            <w:vAlign w:val="bottom"/>
          </w:tcPr>
          <w:p>
            <w:pPr>
              <w:ind w:left="360"/>
              <w:spacing w:after="0"/>
              <w:rPr>
                <w:sz w:val="20"/>
                <w:szCs w:val="20"/>
                <w:color w:val="auto"/>
              </w:rPr>
            </w:pPr>
            <w:r>
              <w:rPr>
                <w:rFonts w:ascii="Arial" w:cs="Arial" w:eastAsia="Arial" w:hAnsi="Arial"/>
                <w:sz w:val="17"/>
                <w:szCs w:val="17"/>
                <w:color w:val="auto"/>
              </w:rPr>
              <w:t>Inventory</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1,042</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Due from intercompany</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1,986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9680" w:type="dxa"/>
            <w:vAlign w:val="bottom"/>
          </w:tcPr>
          <w:p>
            <w:pPr>
              <w:ind w:left="360"/>
              <w:spacing w:after="0"/>
              <w:rPr>
                <w:sz w:val="20"/>
                <w:szCs w:val="20"/>
                <w:color w:val="auto"/>
              </w:rPr>
            </w:pPr>
            <w:r>
              <w:rPr>
                <w:rFonts w:ascii="Arial" w:cs="Arial" w:eastAsia="Arial" w:hAnsi="Arial"/>
                <w:sz w:val="17"/>
                <w:szCs w:val="17"/>
                <w:color w:val="auto"/>
              </w:rPr>
              <w:t>Other receivable</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2"/>
              </w:rPr>
              <w:t>10,295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tcPr>
          <w:p>
            <w:pPr>
              <w:spacing w:after="0"/>
              <w:rPr>
                <w:sz w:val="20"/>
                <w:szCs w:val="20"/>
                <w:color w:val="auto"/>
              </w:rPr>
            </w:pPr>
            <w:r>
              <w:rPr>
                <w:rFonts w:ascii="Arial" w:cs="Arial" w:eastAsia="Arial" w:hAnsi="Arial"/>
                <w:sz w:val="17"/>
                <w:szCs w:val="17"/>
                <w:color w:val="auto"/>
              </w:rPr>
              <w:t>Investment in unconsolidated subsidiaries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6,583</w:t>
            </w: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2"/>
              </w:rPr>
              <w:t>16,878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ind w:left="1040"/>
              <w:spacing w:after="0"/>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Accounts payable</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1,176</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Due to intercompany</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Other payable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Income taxes payable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tcPr>
          <w:p>
            <w:pPr>
              <w:ind w:left="360"/>
              <w:spacing w:after="0"/>
              <w:rPr>
                <w:sz w:val="20"/>
                <w:szCs w:val="20"/>
                <w:color w:val="auto"/>
              </w:rPr>
            </w:pPr>
            <w:r>
              <w:rPr>
                <w:rFonts w:ascii="Arial" w:cs="Arial" w:eastAsia="Arial" w:hAnsi="Arial"/>
                <w:sz w:val="17"/>
                <w:szCs w:val="17"/>
                <w:color w:val="auto"/>
              </w:rPr>
              <w:t>Total liabilities</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1,278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redeemable convertible preferred stocks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2"/>
              </w:rPr>
              <w:t>18,034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tcPr>
          <w:p>
            <w:pPr>
              <w:ind w:left="360"/>
              <w:spacing w:after="0"/>
              <w:rPr>
                <w:sz w:val="20"/>
                <w:szCs w:val="20"/>
                <w:color w:val="auto"/>
              </w:rPr>
            </w:pPr>
            <w:r>
              <w:rPr>
                <w:rFonts w:ascii="Arial" w:cs="Arial" w:eastAsia="Arial" w:hAnsi="Arial"/>
                <w:sz w:val="17"/>
                <w:szCs w:val="17"/>
                <w:color w:val="auto"/>
              </w:rPr>
              <w:t>Total stockholders’ deficit</w:t>
            </w:r>
          </w:p>
        </w:tc>
        <w:tc>
          <w:tcPr>
            <w:tcW w:w="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w w:val="96"/>
              </w:rPr>
              <w:t>(2,434)</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(8,236)</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liabilities, redeemable convertible preferred stock and stockholders’ deficit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16,878</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ind w:left="5540"/>
              <w:spacing w:after="0"/>
              <w:rPr>
                <w:sz w:val="20"/>
                <w:szCs w:val="20"/>
                <w:color w:val="auto"/>
              </w:rPr>
            </w:pPr>
            <w:r>
              <w:rPr>
                <w:rFonts w:ascii="Arial" w:cs="Arial" w:eastAsia="Arial" w:hAnsi="Arial"/>
                <w:sz w:val="17"/>
                <w:szCs w:val="17"/>
                <w:color w:val="auto"/>
              </w:rPr>
              <w:t>F-44</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 OF OPERATIONS</w:t>
      </w:r>
    </w:p>
    <w:p>
      <w:pPr>
        <w:spacing w:after="0" w:line="125"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Year Ended</w:t>
      </w:r>
    </w:p>
    <w:p>
      <w:pPr>
        <w:jc w:val="center"/>
        <w:ind w:left="986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99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23"/>
              <w:spacing w:after="0" w:line="137"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9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Revenue</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$ 5,803</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$ 6,787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940" w:type="dxa"/>
            <w:vAlign w:val="bottom"/>
          </w:tcPr>
          <w:p>
            <w:pPr>
              <w:spacing w:after="0"/>
              <w:rPr>
                <w:sz w:val="20"/>
                <w:szCs w:val="20"/>
                <w:color w:val="auto"/>
              </w:rPr>
            </w:pPr>
            <w:r>
              <w:rPr>
                <w:rFonts w:ascii="Arial" w:cs="Arial" w:eastAsia="Arial" w:hAnsi="Arial"/>
                <w:sz w:val="16"/>
                <w:szCs w:val="16"/>
                <w:color w:val="auto"/>
              </w:rPr>
              <w:t>Cost of revenue</w:t>
            </w:r>
          </w:p>
        </w:tc>
        <w:tc>
          <w:tcPr>
            <w:tcW w:w="20" w:type="dxa"/>
            <w:vAlign w:val="bottom"/>
          </w:tcPr>
          <w:p>
            <w:pPr>
              <w:spacing w:after="0"/>
              <w:rPr>
                <w:sz w:val="17"/>
                <w:szCs w:val="17"/>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color w:val="auto"/>
                <w:w w:val="98"/>
              </w:rPr>
              <w:t>(5,346)</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(6,185)</w:t>
            </w: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Gross profit</w:t>
            </w:r>
          </w:p>
        </w:tc>
        <w:tc>
          <w:tcPr>
            <w:tcW w:w="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40" w:type="dxa"/>
            <w:vAlign w:val="bottom"/>
          </w:tcPr>
          <w:p>
            <w:pPr>
              <w:spacing w:after="0"/>
              <w:rPr>
                <w:sz w:val="20"/>
                <w:szCs w:val="20"/>
                <w:color w:val="auto"/>
              </w:rPr>
            </w:pPr>
            <w:r>
              <w:rPr>
                <w:rFonts w:ascii="Arial" w:cs="Arial" w:eastAsia="Arial" w:hAnsi="Arial"/>
                <w:sz w:val="16"/>
                <w:szCs w:val="16"/>
                <w:color w:val="auto"/>
              </w:rPr>
              <w:t>Operating expenses:</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 expenses</w:t>
            </w:r>
          </w:p>
        </w:tc>
        <w:tc>
          <w:tcPr>
            <w:tcW w:w="92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(64)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9940" w:type="dxa"/>
            <w:vAlign w:val="bottom"/>
          </w:tcPr>
          <w:p>
            <w:pPr>
              <w:ind w:left="320"/>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gridSpan w:val="4"/>
          </w:tcPr>
          <w:p>
            <w:pPr>
              <w:jc w:val="right"/>
              <w:ind w:right="380"/>
              <w:spacing w:after="0"/>
              <w:rPr>
                <w:sz w:val="20"/>
                <w:szCs w:val="20"/>
                <w:color w:val="auto"/>
              </w:rPr>
            </w:pPr>
            <w:r>
              <w:rPr>
                <w:rFonts w:ascii="Arial" w:cs="Arial" w:eastAsia="Arial" w:hAnsi="Arial"/>
                <w:sz w:val="16"/>
                <w:szCs w:val="16"/>
                <w:color w:val="auto"/>
              </w:rPr>
              <w:t>(1,202)</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 expenses</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(6)</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color w:val="auto"/>
              </w:rPr>
              <w:t>(815)</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2"/>
        </w:trPr>
        <w:tc>
          <w:tcPr>
            <w:tcW w:w="994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unconsolidated subsidiaries</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3,561</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5,611</w:t>
            </w:r>
          </w:p>
        </w:tc>
        <w:tc>
          <w:tcPr>
            <w:tcW w:w="0" w:type="dxa"/>
            <w:vAlign w:val="bottom"/>
          </w:tcPr>
          <w:p>
            <w:pPr>
              <w:spacing w:after="0"/>
              <w:rPr>
                <w:sz w:val="1"/>
                <w:szCs w:val="1"/>
                <w:color w:val="auto"/>
              </w:rPr>
            </w:pPr>
          </w:p>
        </w:tc>
      </w:tr>
      <w:tr>
        <w:trPr>
          <w:trHeight w:val="196"/>
        </w:trPr>
        <w:tc>
          <w:tcPr>
            <w:tcW w:w="99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20" w:type="dxa"/>
            <w:vAlign w:val="bottom"/>
            <w:gridSpan w:val="4"/>
          </w:tcPr>
          <w:p>
            <w:pPr>
              <w:jc w:val="right"/>
              <w:ind w:right="380"/>
              <w:spacing w:after="0"/>
              <w:rPr>
                <w:sz w:val="20"/>
                <w:szCs w:val="20"/>
                <w:color w:val="auto"/>
              </w:rPr>
            </w:pPr>
            <w:r>
              <w:rPr>
                <w:rFonts w:ascii="Arial" w:cs="Arial" w:eastAsia="Arial" w:hAnsi="Arial"/>
                <w:sz w:val="16"/>
                <w:szCs w:val="16"/>
                <w:color w:val="auto"/>
              </w:rPr>
              <w:t>(1,608)</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(106)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9"/>
        </w:trPr>
        <w:tc>
          <w:tcPr>
            <w:tcW w:w="99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expense</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940" w:type="dxa"/>
            <w:vAlign w:val="bottom"/>
            <w:vMerge w:val="continue"/>
          </w:tcPr>
          <w:p>
            <w:pPr>
              <w:spacing w:after="0"/>
              <w:rPr>
                <w:sz w:val="17"/>
                <w:szCs w:val="17"/>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w w:val="86"/>
              </w:rPr>
              <w:t>$ 1,031</w:t>
            </w:r>
          </w:p>
        </w:tc>
        <w:tc>
          <w:tcPr>
            <w:tcW w:w="42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$ 5,380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 OF CASH FLOWS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66"/>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13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10040" w:type="dxa"/>
            <w:vAlign w:val="bottom"/>
          </w:tcPr>
          <w:p>
            <w:pPr>
              <w:spacing w:after="0"/>
              <w:rPr>
                <w:sz w:val="11"/>
                <w:szCs w:val="11"/>
                <w:color w:val="auto"/>
              </w:rPr>
            </w:pPr>
          </w:p>
        </w:tc>
        <w:tc>
          <w:tcPr>
            <w:tcW w:w="480" w:type="dxa"/>
            <w:vAlign w:val="bottom"/>
            <w:tcBorders>
              <w:top w:val="single" w:sz="8" w:color="auto"/>
            </w:tcBorders>
          </w:tcPr>
          <w:p>
            <w:pPr>
              <w:jc w:val="right"/>
              <w:ind w:right="25"/>
              <w:spacing w:after="0" w:line="137"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100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Net cash (used in) provided by operating activities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$(2,220)</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$ 357</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004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7,089</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4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480" w:type="dxa"/>
            <w:vAlign w:val="bottom"/>
          </w:tcPr>
          <w:p>
            <w:pPr>
              <w:jc w:val="right"/>
              <w:spacing w:after="0"/>
              <w:rPr>
                <w:sz w:val="20"/>
                <w:szCs w:val="20"/>
                <w:color w:val="auto"/>
              </w:rPr>
            </w:pPr>
            <w:r>
              <w:rPr>
                <w:rFonts w:ascii="Arial" w:cs="Arial" w:eastAsia="Arial" w:hAnsi="Arial"/>
                <w:sz w:val="16"/>
                <w:szCs w:val="16"/>
                <w:color w:val="auto"/>
              </w:rPr>
              <w:t>504</w:t>
            </w:r>
          </w:p>
        </w:tc>
        <w:tc>
          <w:tcPr>
            <w:tcW w:w="2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(329)</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r>
      <w:tr>
        <w:trPr>
          <w:trHeight w:val="199"/>
        </w:trPr>
        <w:tc>
          <w:tcPr>
            <w:tcW w:w="10060" w:type="dxa"/>
            <w:vAlign w:val="bottom"/>
            <w:gridSpan w:val="2"/>
          </w:tcPr>
          <w:p>
            <w:pPr>
              <w:spacing w:after="0"/>
              <w:rPr>
                <w:sz w:val="20"/>
                <w:szCs w:val="20"/>
                <w:color w:val="auto"/>
              </w:rPr>
            </w:pPr>
            <w:r>
              <w:rPr>
                <w:rFonts w:ascii="Arial" w:cs="Arial" w:eastAsia="Arial" w:hAnsi="Arial"/>
                <w:sz w:val="16"/>
                <w:szCs w:val="16"/>
                <w:color w:val="auto"/>
              </w:rPr>
              <w:t>Cash and cash equivalents, end of year</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$ 7,264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$ 504</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117"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The condensed financial information has been prepared using the same accounting policies as set out in the Company’s consolidated financial statements except that ACM has used the equity method to account for its investments in subsidiaries.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 in Subsidiaries</w:t>
      </w:r>
    </w:p>
    <w:p>
      <w:pPr>
        <w:spacing w:after="0" w:line="117"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 xml:space="preserve">For the ACM-only condensed financial information, ACM records its investments in its subsidiaries under the equity method of accounting as prescribed in FASB ASC Topic 323, </w:t>
      </w:r>
      <w:r>
        <w:rPr>
          <w:rFonts w:ascii="Arial" w:cs="Arial" w:eastAsia="Arial" w:hAnsi="Arial"/>
          <w:sz w:val="17"/>
          <w:szCs w:val="17"/>
          <w:i w:val="1"/>
          <w:iCs w:val="1"/>
          <w:color w:val="auto"/>
        </w:rPr>
        <w:t>Investment – Equity Method and Joint Ventures</w:t>
      </w:r>
      <w:r>
        <w:rPr>
          <w:rFonts w:ascii="Arial" w:cs="Arial" w:eastAsia="Arial" w:hAnsi="Arial"/>
          <w:sz w:val="17"/>
          <w:szCs w:val="17"/>
          <w:color w:val="auto"/>
        </w:rPr>
        <w:t>. ACM’s investments in subsidiaries are stated at cost plus its equity interest in undistributed earnings of subsidiaries less impairment loss, if any, since inception, and are presented on its condensed balance sheet as “Investments in unconsolidated subsidiaries” and ACM’s share of the subsidiaries’ income or loss as “Equity in earnings of unconsolidated subsidiaries” on ACM’s condensed statement of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420"/>
          </w:cols>
          <w:pgMar w:left="240" w:top="448" w:right="2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251065" cy="247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276225</wp:posOffset>
            </wp:positionV>
            <wp:extent cx="72510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22860</wp:posOffset>
            </wp:positionV>
            <wp:extent cx="951865" cy="5962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51865" cy="59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700405</wp:posOffset>
            </wp:positionV>
            <wp:extent cx="15233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236220</wp:posOffset>
            </wp:positionV>
            <wp:extent cx="15233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Sole Book-Running Manager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Roth Capital Partners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Co-Managers</w:t>
      </w:r>
    </w:p>
    <w:p>
      <w:pPr>
        <w:sectPr>
          <w:pgSz w:w="11900" w:h="16838" w:orient="portrait"/>
          <w:cols w:equalWidth="0" w:num="1">
            <w:col w:w="11420"/>
          </w:cols>
          <w:pgMar w:left="240" w:top="448" w:right="2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Craig-Hallum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716280</wp:posOffset>
            </wp:positionV>
            <wp:extent cx="15233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Benchmark Company</w:t>
      </w:r>
    </w:p>
    <w:p>
      <w:pPr>
        <w:spacing w:after="0" w:line="211" w:lineRule="exact"/>
        <w:rPr>
          <w:sz w:val="20"/>
          <w:szCs w:val="20"/>
          <w:color w:val="auto"/>
        </w:rPr>
      </w:pPr>
    </w:p>
    <w:p>
      <w:pPr>
        <w:sectPr>
          <w:pgSz w:w="11900" w:h="16838" w:orient="portrait"/>
          <w:cols w:equalWidth="0" w:num="2">
            <w:col w:w="7560" w:space="720"/>
            <w:col w:w="3140"/>
          </w:cols>
          <w:pgMar w:left="24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November 2, 2017</w:t>
      </w:r>
    </w:p>
    <w:p>
      <w:pPr>
        <w:spacing w:after="0" w:line="200" w:lineRule="exact"/>
        <w:rPr>
          <w:sz w:val="20"/>
          <w:szCs w:val="20"/>
          <w:color w:val="auto"/>
        </w:rPr>
      </w:pPr>
    </w:p>
    <w:p>
      <w:pPr>
        <w:spacing w:after="0" w:line="341" w:lineRule="exact"/>
        <w:rPr>
          <w:sz w:val="20"/>
          <w:szCs w:val="20"/>
          <w:color w:val="auto"/>
        </w:rPr>
      </w:pPr>
    </w:p>
    <w:p>
      <w:pPr>
        <w:ind w:right="640"/>
        <w:spacing w:after="0" w:line="271" w:lineRule="auto"/>
        <w:rPr>
          <w:sz w:val="20"/>
          <w:szCs w:val="20"/>
          <w:color w:val="auto"/>
        </w:rPr>
      </w:pPr>
      <w:r>
        <w:rPr>
          <w:rFonts w:ascii="Arial" w:cs="Arial" w:eastAsia="Arial" w:hAnsi="Arial"/>
          <w:sz w:val="17"/>
          <w:szCs w:val="17"/>
          <w:color w:val="auto"/>
        </w:rPr>
        <w:t>Through and including November 27, 2017 (the 25th day after the date of this offering),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72510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200025</wp:posOffset>
            </wp:positionV>
            <wp:extent cx="7251065" cy="247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sectPr>
      <w:pgSz w:w="11900" w:h="16838" w:orient="portrait"/>
      <w:cols w:equalWidth="0" w:num="1">
        <w:col w:w="11420"/>
      </w:cols>
      <w:pgMar w:left="240" w:top="44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decimal"/>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1)"/>
      <w:numFmt w:val="decimal"/>
      <w:start w:val="1"/>
    </w:lvl>
  </w:abstractNum>
  <w:abstractNum w:abstractNumId="7">
    <w:nsid w:val="11447B73"/>
    <w:multiLevelType w:val="hybridMultilevel"/>
    <w:lvl w:ilvl="0">
      <w:lvlJc w:val="left"/>
      <w:lvlText w:val="•"/>
      <w:numFmt w:val="bullet"/>
      <w:start w:val="1"/>
    </w:lvl>
    <w:lvl w:ilvl="1">
      <w:lvlJc w:val="left"/>
      <w:lvlText w:val="(%2)"/>
      <w:numFmt w:val="lowerLetter"/>
      <w:start w:val="1"/>
    </w:lvl>
  </w:abstractNum>
  <w:abstractNum w:abstractNumId="8">
    <w:nsid w:val="42963E5A"/>
    <w:multiLevelType w:val="hybridMultilevel"/>
    <w:lvl w:ilvl="0">
      <w:lvlJc w:val="left"/>
      <w:lvlText w:val="(%1)"/>
      <w:numFmt w:val="decimal"/>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
      <w:numFmt w:val="bullet"/>
      <w:start w:val="1"/>
    </w:lvl>
    <w:lvl w:ilvl="1">
      <w:lvlJc w:val="left"/>
      <w:lvlText w:val="•"/>
      <w:numFmt w:val="bullet"/>
      <w:start w:val="1"/>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
      <w:numFmt w:val="bullet"/>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
      <w:numFmt w:val="bullet"/>
      <w:start w:val="1"/>
    </w:lvl>
    <w:lvl w:ilvl="1">
      <w:lvlJc w:val="left"/>
      <w:lvlText w:val="(%2)"/>
      <w:numFmt w:val="lowerLetter"/>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
      <w:numFmt w:val="bullet"/>
      <w:start w:val="1"/>
    </w:lvl>
  </w:abstractNum>
  <w:abstractNum w:abstractNumId="42">
    <w:nsid w:val="26F324BA"/>
    <w:multiLevelType w:val="hybridMultilevel"/>
    <w:lvl w:ilvl="0">
      <w:lvlJc w:val="left"/>
      <w:lvlText w:val="•"/>
      <w:numFmt w:val="bullet"/>
      <w:start w:val="1"/>
    </w:lvl>
  </w:abstractNum>
  <w:abstractNum w:abstractNumId="43">
    <w:nsid w:val="7F01579B"/>
    <w:multiLevelType w:val="hybridMultilevel"/>
    <w:lvl w:ilvl="0">
      <w:lvlJc w:val="left"/>
      <w:lvlText w:val="(%1)"/>
      <w:numFmt w:val="decimal"/>
      <w:start w:val="1"/>
    </w:lvl>
  </w:abstractNum>
  <w:abstractNum w:abstractNumId="44">
    <w:nsid w:val="49DA307D"/>
    <w:multiLevelType w:val="hybridMultilevel"/>
    <w:lvl w:ilvl="0">
      <w:lvlJc w:val="left"/>
      <w:lvlText w:val="(%1)"/>
      <w:numFmt w:val="decimal"/>
      <w:start w:val="1"/>
    </w:lvl>
  </w:abstractNum>
  <w:abstractNum w:abstractNumId="45">
    <w:nsid w:val="7055A5F5"/>
    <w:multiLevelType w:val="hybridMultilevel"/>
    <w:lvl w:ilvl="0">
      <w:lvlJc w:val="left"/>
      <w:lvlText w:val="(%1)"/>
      <w:numFmt w:val="decimal"/>
      <w:start w:val="1"/>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
      <w:numFmt w:val="bullet"/>
      <w:start w:val="1"/>
    </w:lvl>
  </w:abstractNum>
  <w:abstractNum w:abstractNumId="48">
    <w:nsid w:val="488AC1A"/>
    <w:multiLevelType w:val="hybridMultilevel"/>
    <w:lvl w:ilvl="0">
      <w:lvlJc w:val="left"/>
      <w:lvlText w:val="•"/>
      <w:numFmt w:val="bullet"/>
      <w:start w:val="1"/>
    </w:lvl>
  </w:abstractNum>
  <w:abstractNum w:abstractNumId="49">
    <w:nsid w:val="5FB8011C"/>
    <w:multiLevelType w:val="hybridMultilevel"/>
    <w:lvl w:ilvl="0">
      <w:lvlJc w:val="left"/>
      <w:lvlText w:val="•"/>
      <w:numFmt w:val="bullet"/>
      <w:start w:val="1"/>
    </w:lvl>
  </w:abstractNum>
  <w:abstractNum w:abstractNumId="50">
    <w:nsid w:val="6AA78F7F"/>
    <w:multiLevelType w:val="hybridMultilevel"/>
    <w:lvl w:ilvl="0">
      <w:lvlJc w:val="left"/>
      <w:lvlText w:val="•"/>
      <w:numFmt w:val="bullet"/>
      <w:start w:val="1"/>
    </w:lvl>
  </w:abstractNum>
  <w:abstractNum w:abstractNumId="51">
    <w:nsid w:val="7672BD23"/>
    <w:multiLevelType w:val="hybridMultilevel"/>
    <w:lvl w:ilvl="0">
      <w:lvlJc w:val="left"/>
      <w:lvlText w:val="•"/>
      <w:numFmt w:val="bullet"/>
      <w:start w:val="1"/>
    </w:lvl>
  </w:abstractNum>
  <w:abstractNum w:abstractNumId="52">
    <w:nsid w:val="6FC75AF8"/>
    <w:multiLevelType w:val="hybridMultilevel"/>
    <w:lvl w:ilvl="0">
      <w:lvlJc w:val="left"/>
      <w:lvlText w:val="•"/>
      <w:numFmt w:val="bullet"/>
      <w:start w:val="1"/>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
      <w:numFmt w:val="bullet"/>
      <w:start w:val="1"/>
    </w:lvl>
  </w:abstractNum>
  <w:abstractNum w:abstractNumId="55">
    <w:nsid w:val="5F3534A4"/>
    <w:multiLevelType w:val="hybridMultilevel"/>
    <w:lvl w:ilvl="0">
      <w:lvlJc w:val="left"/>
      <w:lvlText w:val="•"/>
      <w:numFmt w:val="bullet"/>
      <w:start w:val="1"/>
    </w:lvl>
  </w:abstractNum>
  <w:abstractNum w:abstractNumId="56">
    <w:nsid w:val="73A1821B"/>
    <w:multiLevelType w:val="hybridMultilevel"/>
    <w:lvl w:ilvl="0">
      <w:lvlJc w:val="left"/>
      <w:lvlText w:val="•"/>
      <w:numFmt w:val="bullet"/>
      <w:start w:val="1"/>
    </w:lvl>
  </w:abstractNum>
  <w:abstractNum w:abstractNumId="57">
    <w:nsid w:val="7DE67713"/>
    <w:multiLevelType w:val="hybridMultilevel"/>
    <w:lvl w:ilvl="0">
      <w:lvlJc w:val="left"/>
      <w:lvlText w:val="•"/>
      <w:numFmt w:val="bullet"/>
      <w:start w:val="1"/>
    </w:lvl>
  </w:abstractNum>
  <w:abstractNum w:abstractNumId="58">
    <w:nsid w:val="555C55B5"/>
    <w:multiLevelType w:val="hybridMultilevel"/>
    <w:lvl w:ilvl="0">
      <w:lvlJc w:val="left"/>
      <w:lvlText w:val="•"/>
      <w:numFmt w:val="bullet"/>
      <w:start w:val="1"/>
    </w:lvl>
  </w:abstractNum>
  <w:abstractNum w:abstractNumId="59">
    <w:nsid w:val="3FA62ACA"/>
    <w:multiLevelType w:val="hybridMultilevel"/>
    <w:lvl w:ilvl="0">
      <w:lvlJc w:val="left"/>
      <w:lvlText w:val="•"/>
      <w:numFmt w:val="bullet"/>
      <w:start w:val="1"/>
    </w:lvl>
  </w:abstractNum>
  <w:abstractNum w:abstractNumId="60">
    <w:nsid w:val="14FCE74E"/>
    <w:multiLevelType w:val="hybridMultilevel"/>
    <w:lvl w:ilvl="0">
      <w:lvlJc w:val="left"/>
      <w:lvlText w:val="•"/>
      <w:numFmt w:val="bullet"/>
      <w:start w:val="1"/>
    </w:lvl>
  </w:abstractNum>
  <w:abstractNum w:abstractNumId="61">
    <w:nsid w:val="6A3DD3E8"/>
    <w:multiLevelType w:val="hybridMultilevel"/>
    <w:lvl w:ilvl="0">
      <w:lvlJc w:val="left"/>
      <w:lvlText w:val="•"/>
      <w:numFmt w:val="bullet"/>
      <w:start w:val="1"/>
    </w:lvl>
  </w:abstractNum>
  <w:abstractNum w:abstractNumId="62">
    <w:nsid w:val="71C91298"/>
    <w:multiLevelType w:val="hybridMultilevel"/>
    <w:lvl w:ilvl="0">
      <w:lvlJc w:val="left"/>
      <w:lvlText w:val="(%1)"/>
      <w:numFmt w:val="lowerLetter"/>
      <w:start w:val="2"/>
    </w:lvl>
  </w:abstractNum>
  <w:abstractNum w:abstractNumId="63">
    <w:nsid w:val="9DAF632"/>
    <w:multiLevelType w:val="hybridMultilevel"/>
    <w:lvl w:ilvl="0">
      <w:lvlJc w:val="left"/>
      <w:lvlText w:val="•"/>
      <w:numFmt w:val="bullet"/>
      <w:start w:val="1"/>
    </w:lvl>
  </w:abstractNum>
  <w:abstractNum w:abstractNumId="64">
    <w:nsid w:val="53299938"/>
    <w:multiLevelType w:val="hybridMultilevel"/>
    <w:lvl w:ilvl="0">
      <w:lvlJc w:val="left"/>
      <w:lvlText w:val="•"/>
      <w:numFmt w:val="bullet"/>
      <w:start w:val="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w:numFmt w:val="bullet"/>
      <w:start w:val="1"/>
    </w:lvl>
  </w:abstractNum>
  <w:abstractNum w:abstractNumId="67">
    <w:nsid w:val="1D545C4D"/>
    <w:multiLevelType w:val="hybridMultilevel"/>
    <w:lvl w:ilvl="0">
      <w:lvlJc w:val="left"/>
      <w:lvlText w:val="•"/>
      <w:numFmt w:val="bullet"/>
      <w:start w:val="1"/>
    </w:lvl>
  </w:abstractNum>
  <w:abstractNum w:abstractNumId="68">
    <w:nsid w:val="59ADEA3D"/>
    <w:multiLevelType w:val="hybridMultilevel"/>
    <w:lvl w:ilvl="0">
      <w:lvlJc w:val="left"/>
      <w:lvlText w:val="•"/>
      <w:numFmt w:val="bullet"/>
      <w:start w:val="1"/>
    </w:lvl>
  </w:abstractNum>
  <w:abstractNum w:abstractNumId="69">
    <w:nsid w:val="288F1A34"/>
    <w:multiLevelType w:val="hybridMultilevel"/>
    <w:lvl w:ilvl="0">
      <w:lvlJc w:val="left"/>
      <w:lvlText w:val="•"/>
      <w:numFmt w:val="bullet"/>
      <w:start w:val="1"/>
    </w:lvl>
  </w:abstractNum>
  <w:abstractNum w:abstractNumId="70">
    <w:nsid w:val="2A155DBC"/>
    <w:multiLevelType w:val="hybridMultilevel"/>
    <w:lvl w:ilvl="0">
      <w:lvlJc w:val="left"/>
      <w:lvlText w:val="(%1)"/>
      <w:numFmt w:val="lowerLetter"/>
      <w:start w:val="1"/>
    </w:lvl>
  </w:abstractNum>
  <w:abstractNum w:abstractNumId="71">
    <w:nsid w:val="1D9F6E5F"/>
    <w:multiLevelType w:val="hybridMultilevel"/>
    <w:lvl w:ilvl="0">
      <w:lvlJc w:val="left"/>
      <w:lvlText w:val="•"/>
      <w:numFmt w:val="bullet"/>
      <w:start w:val="1"/>
    </w:lvl>
  </w:abstractNum>
  <w:abstractNum w:abstractNumId="72">
    <w:nsid w:val="97E1B4E"/>
    <w:multiLevelType w:val="hybridMultilevel"/>
    <w:lvl w:ilvl="0">
      <w:lvlJc w:val="left"/>
      <w:lvlText w:val="$"/>
      <w:numFmt w:val="bullet"/>
      <w:start w:val="1"/>
    </w:lvl>
  </w:abstractNum>
  <w:abstractNum w:abstractNumId="73">
    <w:nsid w:val="51088277"/>
    <w:multiLevelType w:val="hybridMultilevel"/>
    <w:lvl w:ilvl="0">
      <w:lvlJc w:val="left"/>
      <w:lvlText w:val="•"/>
      <w:numFmt w:val="bullet"/>
      <w:start w:val="1"/>
    </w:lvl>
  </w:abstractNum>
  <w:abstractNum w:abstractNumId="74">
    <w:nsid w:val="1CA0C5FA"/>
    <w:multiLevelType w:val="hybridMultilevel"/>
    <w:lvl w:ilvl="0">
      <w:lvlJc w:val="left"/>
      <w:lvlText w:val="•"/>
      <w:numFmt w:val="bullet"/>
      <w:start w:val="1"/>
    </w:lvl>
  </w:abstractNum>
  <w:abstractNum w:abstractNumId="75">
    <w:nsid w:val="53584BCB"/>
    <w:multiLevelType w:val="hybridMultilevel"/>
    <w:lvl w:ilvl="0">
      <w:lvlJc w:val="left"/>
      <w:lvlText w:val="•"/>
      <w:numFmt w:val="bullet"/>
      <w:start w:val="1"/>
    </w:lvl>
  </w:abstractNum>
  <w:abstractNum w:abstractNumId="76">
    <w:nsid w:val="415E286C"/>
    <w:multiLevelType w:val="hybridMultilevel"/>
    <w:lvl w:ilvl="0">
      <w:lvlJc w:val="left"/>
      <w:lvlText w:val="•"/>
      <w:numFmt w:val="bullet"/>
      <w:start w:val="1"/>
    </w:lvl>
  </w:abstractNum>
  <w:abstractNum w:abstractNumId="77">
    <w:nsid w:val="7C58FD05"/>
    <w:multiLevelType w:val="hybridMultilevel"/>
    <w:lvl w:ilvl="0">
      <w:lvlJc w:val="left"/>
      <w:lvlText w:val="•"/>
      <w:numFmt w:val="bullet"/>
      <w:start w:val="1"/>
    </w:lvl>
  </w:abstractNum>
  <w:abstractNum w:abstractNumId="78">
    <w:nsid w:val="23D86AAC"/>
    <w:multiLevelType w:val="hybridMultilevel"/>
    <w:lvl w:ilvl="0">
      <w:lvlJc w:val="left"/>
      <w:lvlText w:val="•"/>
      <w:numFmt w:val="bullet"/>
      <w:start w:val="1"/>
    </w:lvl>
  </w:abstractNum>
  <w:abstractNum w:abstractNumId="79">
    <w:nsid w:val="45E6D486"/>
    <w:multiLevelType w:val="hybridMultilevel"/>
    <w:lvl w:ilvl="0">
      <w:lvlJc w:val="left"/>
      <w:lvlText w:val="•"/>
      <w:numFmt w:val="bullet"/>
      <w:start w:val="1"/>
    </w:lvl>
  </w:abstractNum>
  <w:abstractNum w:abstractNumId="80">
    <w:nsid w:val="5C10FE21"/>
    <w:multiLevelType w:val="hybridMultilevel"/>
    <w:lvl w:ilvl="0">
      <w:lvlJc w:val="left"/>
      <w:lvlText w:val="•"/>
      <w:numFmt w:val="bullet"/>
      <w:start w:val="1"/>
    </w:lvl>
  </w:abstractNum>
  <w:abstractNum w:abstractNumId="81">
    <w:nsid w:val="E7FFA2B"/>
    <w:multiLevelType w:val="hybridMultilevel"/>
    <w:lvl w:ilvl="0">
      <w:lvlJc w:val="left"/>
      <w:lvlText w:val="•"/>
      <w:numFmt w:val="bullet"/>
      <w:start w:val="1"/>
    </w:lvl>
  </w:abstractNum>
  <w:abstractNum w:abstractNumId="82">
    <w:nsid w:val="3C5991AA"/>
    <w:multiLevelType w:val="hybridMultilevel"/>
    <w:lvl w:ilvl="0">
      <w:lvlJc w:val="left"/>
      <w:lvlText w:val="•"/>
      <w:numFmt w:val="bullet"/>
      <w:start w:val="1"/>
    </w:lvl>
  </w:abstractNum>
  <w:abstractNum w:abstractNumId="83">
    <w:nsid w:val="4BD8591A"/>
    <w:multiLevelType w:val="hybridMultilevel"/>
    <w:lvl w:ilvl="0">
      <w:lvlJc w:val="left"/>
      <w:lvlText w:val="•"/>
      <w:numFmt w:val="bullet"/>
      <w:start w:val="1"/>
    </w:lvl>
  </w:abstractNum>
  <w:abstractNum w:abstractNumId="84">
    <w:nsid w:val="78DF6A55"/>
    <w:multiLevelType w:val="hybridMultilevel"/>
    <w:lvl w:ilvl="0">
      <w:lvlJc w:val="left"/>
      <w:lvlText w:val="•"/>
      <w:numFmt w:val="bullet"/>
      <w:start w:val="1"/>
    </w:lvl>
  </w:abstractNum>
  <w:abstractNum w:abstractNumId="85">
    <w:nsid w:val="39B7AAA2"/>
    <w:multiLevelType w:val="hybridMultilevel"/>
    <w:lvl w:ilvl="0">
      <w:lvlJc w:val="left"/>
      <w:lvlText w:val="•"/>
      <w:numFmt w:val="bullet"/>
      <w:start w:val="1"/>
    </w:lvl>
  </w:abstractNum>
  <w:abstractNum w:abstractNumId="86">
    <w:nsid w:val="2B0D8DBE"/>
    <w:multiLevelType w:val="hybridMultilevel"/>
    <w:lvl w:ilvl="0">
      <w:lvlJc w:val="left"/>
      <w:lvlText w:val="•"/>
      <w:numFmt w:val="bullet"/>
      <w:start w:val="1"/>
    </w:lvl>
  </w:abstractNum>
  <w:abstractNum w:abstractNumId="87">
    <w:nsid w:val="6C80EC70"/>
    <w:multiLevelType w:val="hybridMultilevel"/>
    <w:lvl w:ilvl="0">
      <w:lvlJc w:val="left"/>
      <w:lvlText w:val="•"/>
      <w:numFmt w:val="bullet"/>
      <w:start w:val="1"/>
    </w:lvl>
  </w:abstractNum>
  <w:abstractNum w:abstractNumId="88">
    <w:nsid w:val="379E21B5"/>
    <w:multiLevelType w:val="hybridMultilevel"/>
    <w:lvl w:ilvl="0">
      <w:lvlJc w:val="left"/>
      <w:lvlText w:val="•"/>
      <w:numFmt w:val="bullet"/>
      <w:start w:val="1"/>
    </w:lvl>
  </w:abstractNum>
  <w:abstractNum w:abstractNumId="89">
    <w:nsid w:val="69E373"/>
    <w:multiLevelType w:val="hybridMultilevel"/>
    <w:lvl w:ilvl="0">
      <w:lvlJc w:val="left"/>
      <w:lvlText w:val="•"/>
      <w:numFmt w:val="bullet"/>
      <w:start w:val="1"/>
    </w:lvl>
  </w:abstractNum>
  <w:abstractNum w:abstractNumId="90">
    <w:nsid w:val="2C27173B"/>
    <w:multiLevelType w:val="hybridMultilevel"/>
    <w:lvl w:ilvl="0">
      <w:lvlJc w:val="left"/>
      <w:lvlText w:val="•"/>
      <w:numFmt w:val="bullet"/>
      <w:start w:val="1"/>
    </w:lvl>
  </w:abstractNum>
  <w:abstractNum w:abstractNumId="91">
    <w:nsid w:val="4C9B0904"/>
    <w:multiLevelType w:val="hybridMultilevel"/>
    <w:lvl w:ilvl="0">
      <w:lvlJc w:val="left"/>
      <w:lvlText w:val="•"/>
      <w:numFmt w:val="bullet"/>
      <w:start w:val="1"/>
    </w:lvl>
  </w:abstractNum>
  <w:abstractNum w:abstractNumId="92">
    <w:nsid w:val="6AA7B75C"/>
    <w:multiLevelType w:val="hybridMultilevel"/>
    <w:lvl w:ilvl="0">
      <w:lvlJc w:val="left"/>
      <w:lvlText w:val="•"/>
      <w:numFmt w:val="bullet"/>
      <w:start w:val="1"/>
    </w:lvl>
  </w:abstractNum>
  <w:abstractNum w:abstractNumId="93">
    <w:nsid w:val="1DF029D3"/>
    <w:multiLevelType w:val="hybridMultilevel"/>
    <w:lvl w:ilvl="0">
      <w:lvlJc w:val="left"/>
      <w:lvlText w:val="(%1)"/>
      <w:numFmt w:val="decimal"/>
      <w:start w:val="1"/>
    </w:lvl>
  </w:abstractNum>
  <w:abstractNum w:abstractNumId="94">
    <w:nsid w:val="5675FF36"/>
    <w:multiLevelType w:val="hybridMultilevel"/>
    <w:lvl w:ilvl="0">
      <w:lvlJc w:val="left"/>
      <w:lvlText w:val="•"/>
      <w:numFmt w:val="bullet"/>
      <w:start w:val="1"/>
    </w:lvl>
  </w:abstractNum>
  <w:abstractNum w:abstractNumId="95">
    <w:nsid w:val="3DD15094"/>
    <w:multiLevelType w:val="hybridMultilevel"/>
    <w:lvl w:ilvl="0">
      <w:lvlJc w:val="left"/>
      <w:lvlText w:val="•"/>
      <w:numFmt w:val="bullet"/>
      <w:start w:val="1"/>
    </w:lvl>
  </w:abstractNum>
  <w:abstractNum w:abstractNumId="96">
    <w:nsid w:val="3DB012B3"/>
    <w:multiLevelType w:val="hybridMultilevel"/>
    <w:lvl w:ilvl="0">
      <w:lvlJc w:val="left"/>
      <w:lvlText w:val="•"/>
      <w:numFmt w:val="bullet"/>
      <w:start w:val="1"/>
    </w:lvl>
  </w:abstractNum>
  <w:abstractNum w:abstractNumId="97">
    <w:nsid w:val="2708C9AF"/>
    <w:multiLevelType w:val="hybridMultilevel"/>
    <w:lvl w:ilvl="0">
      <w:lvlJc w:val="left"/>
      <w:lvlText w:val="•"/>
      <w:numFmt w:val="bullet"/>
      <w:start w:val="1"/>
    </w:lvl>
  </w:abstractNum>
  <w:abstractNum w:abstractNumId="98">
    <w:nsid w:val="5B25ACE2"/>
    <w:multiLevelType w:val="hybridMultilevel"/>
    <w:lvl w:ilvl="0">
      <w:lvlJc w:val="left"/>
      <w:lvlText w:val="•"/>
      <w:numFmt w:val="bullet"/>
      <w:start w:val="1"/>
    </w:lvl>
  </w:abstractNum>
  <w:abstractNum w:abstractNumId="99">
    <w:nsid w:val="175DFCF0"/>
    <w:multiLevelType w:val="hybridMultilevel"/>
    <w:lvl w:ilvl="0">
      <w:lvlJc w:val="left"/>
      <w:lvlText w:val="•"/>
      <w:numFmt w:val="bullet"/>
      <w:start w:val="1"/>
    </w:lvl>
  </w:abstractNum>
  <w:abstractNum w:abstractNumId="100">
    <w:nsid w:val="4F97E3E4"/>
    <w:multiLevelType w:val="hybridMultilevel"/>
    <w:lvl w:ilvl="0">
      <w:lvlJc w:val="left"/>
      <w:lvlText w:val="(%1)"/>
      <w:numFmt w:val="decimal"/>
      <w:start w:val="1"/>
    </w:lvl>
  </w:abstractNum>
  <w:abstractNum w:abstractNumId="101">
    <w:nsid w:val="53B0A9E"/>
    <w:multiLevelType w:val="hybridMultilevel"/>
    <w:lvl w:ilvl="0">
      <w:lvlJc w:val="left"/>
      <w:lvlText w:val="(%1)"/>
      <w:numFmt w:val="decimal"/>
      <w:start w:val="1"/>
    </w:lvl>
  </w:abstractNum>
  <w:abstractNum w:abstractNumId="102">
    <w:nsid w:val="34FD6B4F"/>
    <w:multiLevelType w:val="hybridMultilevel"/>
    <w:lvl w:ilvl="0">
      <w:lvlJc w:val="left"/>
      <w:lvlText w:val="•"/>
      <w:numFmt w:val="bullet"/>
      <w:start w:val="1"/>
    </w:lvl>
  </w:abstractNum>
  <w:abstractNum w:abstractNumId="103">
    <w:nsid w:val="5915FF32"/>
    <w:multiLevelType w:val="hybridMultilevel"/>
    <w:lvl w:ilvl="0">
      <w:lvlJc w:val="left"/>
      <w:lvlText w:val="•"/>
      <w:numFmt w:val="bullet"/>
      <w:start w:val="1"/>
    </w:lvl>
  </w:abstractNum>
  <w:abstractNum w:abstractNumId="104">
    <w:nsid w:val="56438D15"/>
    <w:multiLevelType w:val="hybridMultilevel"/>
    <w:lvl w:ilvl="0">
      <w:lvlJc w:val="left"/>
      <w:lvlText w:val="•"/>
      <w:numFmt w:val="bullet"/>
      <w:start w:val="1"/>
    </w:lvl>
  </w:abstractNum>
  <w:abstractNum w:abstractNumId="105">
    <w:nsid w:val="519E3149"/>
    <w:multiLevelType w:val="hybridMultilevel"/>
    <w:lvl w:ilvl="0">
      <w:lvlJc w:val="left"/>
      <w:lvlText w:val="•"/>
      <w:numFmt w:val="bullet"/>
      <w:start w:val="1"/>
    </w:lvl>
  </w:abstractNum>
  <w:abstractNum w:abstractNumId="106">
    <w:nsid w:val="2C6E4AFD"/>
    <w:multiLevelType w:val="hybridMultilevel"/>
    <w:lvl w:ilvl="0">
      <w:lvlJc w:val="left"/>
      <w:lvlText w:val="•"/>
      <w:numFmt w:val="bullet"/>
      <w:start w:val="1"/>
    </w:lvl>
  </w:abstractNum>
  <w:abstractNum w:abstractNumId="107">
    <w:nsid w:val="17A1B582"/>
    <w:multiLevelType w:val="hybridMultilevel"/>
    <w:lvl w:ilvl="0">
      <w:lvlJc w:val="left"/>
      <w:lvlText w:val="•"/>
      <w:numFmt w:val="bullet"/>
      <w:start w:val="1"/>
    </w:lvl>
  </w:abstractNum>
  <w:abstractNum w:abstractNumId="108">
    <w:nsid w:val="4DF72E4E"/>
    <w:multiLevelType w:val="hybridMultilevel"/>
    <w:lvl w:ilvl="0">
      <w:lvlJc w:val="left"/>
      <w:lvlText w:val="•"/>
      <w:numFmt w:val="bullet"/>
      <w:start w:val="1"/>
    </w:lvl>
  </w:abstractNum>
  <w:abstractNum w:abstractNumId="109">
    <w:nsid w:val="5046B5A9"/>
    <w:multiLevelType w:val="hybridMultilevel"/>
    <w:lvl w:ilvl="0">
      <w:lvlJc w:val="left"/>
      <w:lvlText w:val="*"/>
      <w:numFmt w:val="bullet"/>
      <w:start w:val="1"/>
    </w:lvl>
  </w:abstractNum>
  <w:abstractNum w:abstractNumId="110">
    <w:nsid w:val="5D888A08"/>
    <w:multiLevelType w:val="hybridMultilevel"/>
    <w:lvl w:ilvl="0">
      <w:lvlJc w:val="left"/>
      <w:lvlText w:val="(%1)"/>
      <w:numFmt w:val="decimal"/>
      <w:start w:val="1"/>
    </w:lvl>
  </w:abstractNum>
  <w:abstractNum w:abstractNumId="111">
    <w:nsid w:val="2A082C70"/>
    <w:multiLevelType w:val="hybridMultilevel"/>
    <w:lvl w:ilvl="0">
      <w:lvlJc w:val="left"/>
      <w:lvlText w:val="•"/>
      <w:numFmt w:val="bullet"/>
      <w:start w:val="1"/>
    </w:lvl>
  </w:abstractNum>
  <w:abstractNum w:abstractNumId="112">
    <w:nsid w:val="5EC6AFD4"/>
    <w:multiLevelType w:val="hybridMultilevel"/>
    <w:lvl w:ilvl="0">
      <w:lvlJc w:val="left"/>
      <w:lvlText w:val="•"/>
      <w:numFmt w:val="bullet"/>
      <w:start w:val="1"/>
    </w:lvl>
  </w:abstractNum>
  <w:abstractNum w:abstractNumId="113">
    <w:nsid w:val="19E21BB2"/>
    <w:multiLevelType w:val="hybridMultilevel"/>
    <w:lvl w:ilvl="0">
      <w:lvlJc w:val="left"/>
      <w:lvlText w:val="•"/>
      <w:numFmt w:val="bullet"/>
      <w:start w:val="1"/>
    </w:lvl>
  </w:abstractNum>
  <w:abstractNum w:abstractNumId="114">
    <w:nsid w:val="75E0858A"/>
    <w:multiLevelType w:val="hybridMultilevel"/>
    <w:lvl w:ilvl="0">
      <w:lvlJc w:val="left"/>
      <w:lvlText w:val="•"/>
      <w:numFmt w:val="bullet"/>
      <w:start w:val="1"/>
    </w:lvl>
  </w:abstractNum>
  <w:abstractNum w:abstractNumId="115">
    <w:nsid w:val="57A61A29"/>
    <w:multiLevelType w:val="hybridMultilevel"/>
    <w:lvl w:ilvl="0">
      <w:lvlJc w:val="left"/>
      <w:lvlText w:val="•"/>
      <w:numFmt w:val="bullet"/>
      <w:start w:val="1"/>
    </w:lvl>
  </w:abstractNum>
  <w:abstractNum w:abstractNumId="116">
    <w:nsid w:val="5399C654"/>
    <w:multiLevelType w:val="hybridMultilevel"/>
    <w:lvl w:ilvl="0">
      <w:lvlJc w:val="left"/>
      <w:lvlText w:val="•"/>
      <w:numFmt w:val="bullet"/>
      <w:start w:val="1"/>
    </w:lvl>
  </w:abstractNum>
  <w:abstractNum w:abstractNumId="117">
    <w:nsid w:val="20EE1348"/>
    <w:multiLevelType w:val="hybridMultilevel"/>
    <w:lvl w:ilvl="0">
      <w:lvlJc w:val="left"/>
      <w:lvlText w:val="•"/>
      <w:numFmt w:val="bullet"/>
      <w:start w:val="1"/>
    </w:lvl>
  </w:abstractNum>
  <w:abstractNum w:abstractNumId="118">
    <w:nsid w:val="4427069A"/>
    <w:multiLevelType w:val="hybridMultilevel"/>
    <w:lvl w:ilvl="0">
      <w:lvlJc w:val="left"/>
      <w:lvlText w:val="•"/>
      <w:numFmt w:val="bullet"/>
      <w:start w:val="1"/>
    </w:lvl>
  </w:abstractNum>
  <w:abstractNum w:abstractNumId="119">
    <w:nsid w:val="B37E80A"/>
    <w:multiLevelType w:val="hybridMultilevel"/>
    <w:lvl w:ilvl="0">
      <w:lvlJc w:val="left"/>
      <w:lvlText w:val="•"/>
      <w:numFmt w:val="bullet"/>
      <w:start w:val="1"/>
    </w:lvl>
  </w:abstractNum>
  <w:abstractNum w:abstractNumId="120">
    <w:nsid w:val="2157F6BC"/>
    <w:multiLevelType w:val="hybridMultilevel"/>
    <w:lvl w:ilvl="0">
      <w:lvlJc w:val="left"/>
      <w:lvlText w:val="•"/>
      <w:numFmt w:val="bullet"/>
      <w:start w:val="1"/>
    </w:lvl>
  </w:abstractNum>
  <w:abstractNum w:abstractNumId="121">
    <w:nsid w:val="704E1DD5"/>
    <w:multiLevelType w:val="hybridMultilevel"/>
    <w:lvl w:ilvl="0">
      <w:lvlJc w:val="left"/>
      <w:lvlText w:val="•"/>
      <w:numFmt w:val="bullet"/>
      <w:start w:val="1"/>
    </w:lvl>
  </w:abstractNum>
  <w:abstractNum w:abstractNumId="122">
    <w:nsid w:val="57D2F10E"/>
    <w:multiLevelType w:val="hybridMultilevel"/>
    <w:lvl w:ilvl="0">
      <w:lvlJc w:val="left"/>
      <w:lvlText w:val="•"/>
      <w:numFmt w:val="bullet"/>
      <w:start w:val="1"/>
    </w:lvl>
  </w:abstractNum>
  <w:abstractNum w:abstractNumId="123">
    <w:nsid w:val="BFFAE18"/>
    <w:multiLevelType w:val="hybridMultilevel"/>
    <w:lvl w:ilvl="0">
      <w:lvlJc w:val="left"/>
      <w:lvlText w:val="•"/>
      <w:numFmt w:val="bullet"/>
      <w:start w:val="1"/>
    </w:lvl>
  </w:abstractNum>
  <w:abstractNum w:abstractNumId="124">
    <w:nsid w:val="E3E47A8"/>
    <w:multiLevelType w:val="hybridMultilevel"/>
    <w:lvl w:ilvl="0">
      <w:lvlJc w:val="left"/>
      <w:lvlText w:val="(%1)"/>
      <w:numFmt w:val="decimal"/>
      <w:start w:val="1"/>
    </w:lvl>
  </w:abstractNum>
  <w:abstractNum w:abstractNumId="125">
    <w:nsid w:val="2E48F044"/>
    <w:multiLevelType w:val="hybridMultilevel"/>
    <w:lvl w:ilvl="0">
      <w:lvlJc w:val="left"/>
      <w:lvlText w:val="(%1)"/>
      <w:numFmt w:val="lowerLetter"/>
      <w:start w:val="2"/>
    </w:lvl>
  </w:abstractNum>
  <w:abstractNum w:abstractNumId="126">
    <w:nsid w:val="49D0FEAC"/>
    <w:multiLevelType w:val="hybridMultilevel"/>
    <w:lvl w:ilvl="0">
      <w:lvlJc w:val="left"/>
      <w:lvlText w:val="•"/>
      <w:numFmt w:val="bullet"/>
      <w:start w:val="1"/>
    </w:lvl>
  </w:abstractNum>
  <w:abstractNum w:abstractNumId="127">
    <w:nsid w:val="4BEE5A5B"/>
    <w:multiLevelType w:val="hybridMultilevel"/>
    <w:lvl w:ilvl="0">
      <w:lvlJc w:val="left"/>
      <w:lvlText w:val="•"/>
      <w:numFmt w:val="bullet"/>
      <w:start w:val="1"/>
    </w:lvl>
  </w:abstractNum>
  <w:abstractNum w:abstractNumId="128">
    <w:nsid w:val="5551B9F3"/>
    <w:multiLevelType w:val="hybridMultilevel"/>
    <w:lvl w:ilvl="0">
      <w:lvlJc w:val="left"/>
      <w:lvlText w:val="•"/>
      <w:numFmt w:val="bullet"/>
      <w:start w:val="1"/>
    </w:lvl>
  </w:abstractNum>
  <w:abstractNum w:abstractNumId="129">
    <w:nsid w:val="24F6AB8E"/>
    <w:multiLevelType w:val="hybridMultilevel"/>
    <w:lvl w:ilvl="0">
      <w:lvlJc w:val="left"/>
      <w:lvlText w:val="•"/>
      <w:numFmt w:val="bullet"/>
      <w:start w:val="1"/>
    </w:lvl>
  </w:abstractNum>
  <w:abstractNum w:abstractNumId="130">
    <w:nsid w:val="634C574C"/>
    <w:multiLevelType w:val="hybridMultilevel"/>
    <w:lvl w:ilvl="0">
      <w:lvlJc w:val="left"/>
      <w:lvlText w:val="•"/>
      <w:numFmt w:val="bullet"/>
      <w:start w:val="1"/>
    </w:lvl>
  </w:abstractNum>
  <w:abstractNum w:abstractNumId="131">
    <w:nsid w:val="24E99DD7"/>
    <w:multiLevelType w:val="hybridMultilevel"/>
    <w:lvl w:ilvl="0">
      <w:lvlJc w:val="left"/>
      <w:lvlText w:val="•"/>
      <w:numFmt w:val="bullet"/>
      <w:start w:val="1"/>
    </w:lvl>
  </w:abstractNum>
  <w:abstractNum w:abstractNumId="132">
    <w:nsid w:val="2A31B62D"/>
    <w:multiLevelType w:val="hybridMultilevel"/>
    <w:lvl w:ilvl="0">
      <w:lvlJc w:val="left"/>
      <w:lvlText w:val="•"/>
      <w:numFmt w:val="bullet"/>
      <w:start w:val="1"/>
    </w:lvl>
  </w:abstractNum>
  <w:abstractNum w:abstractNumId="133">
    <w:nsid w:val="1849C29B"/>
    <w:multiLevelType w:val="hybridMultilevel"/>
    <w:lvl w:ilvl="0">
      <w:lvlJc w:val="left"/>
      <w:lvlText w:val="•"/>
      <w:numFmt w:val="bullet"/>
      <w:start w:val="1"/>
    </w:lvl>
  </w:abstractNum>
  <w:abstractNum w:abstractNumId="134">
    <w:nsid w:val="7DFF9D09"/>
    <w:multiLevelType w:val="hybridMultilevel"/>
    <w:lvl w:ilvl="0">
      <w:lvlJc w:val="left"/>
      <w:lvlText w:val="•"/>
      <w:numFmt w:val="bullet"/>
      <w:start w:val="1"/>
    </w:lvl>
  </w:abstractNum>
  <w:abstractNum w:abstractNumId="135">
    <w:nsid w:val="754342"/>
    <w:multiLevelType w:val="hybridMultilevel"/>
    <w:lvl w:ilvl="0">
      <w:lvlJc w:val="left"/>
      <w:lvlText w:val="(%1)"/>
      <w:numFmt w:val="lowerLetter"/>
      <w:start w:val="1"/>
    </w:lvl>
  </w:abstractNum>
  <w:abstractNum w:abstractNumId="136">
    <w:nsid w:val="69E7F3E5"/>
    <w:multiLevelType w:val="hybridMultilevel"/>
    <w:lvl w:ilvl="0">
      <w:lvlJc w:val="left"/>
      <w:lvlText w:val="*"/>
      <w:numFmt w:val="bullet"/>
      <w:start w:val="1"/>
    </w:lvl>
  </w:abstractNum>
  <w:abstractNum w:abstractNumId="137">
    <w:nsid w:val="2A6DE806"/>
    <w:multiLevelType w:val="hybridMultilevel"/>
    <w:lvl w:ilvl="0">
      <w:lvlJc w:val="left"/>
      <w:lvlText w:val="%1."/>
      <w:numFmt w:val="decimal"/>
      <w:start w:val="718"/>
    </w:lvl>
  </w:abstractNum>
  <w:abstractNum w:abstractNumId="138">
    <w:nsid w:val="1816F8C4"/>
    <w:multiLevelType w:val="hybridMultilevel"/>
    <w:lvl w:ilvl="0">
      <w:lvlJc w:val="left"/>
      <w:lvlText w:val="(%1)"/>
      <w:numFmt w:val="decimal"/>
      <w:start w:val="8"/>
    </w:lvl>
  </w:abstractNum>
  <w:abstractNum w:abstractNumId="139">
    <w:nsid w:val="37DF2233"/>
    <w:multiLevelType w:val="hybridMultilevel"/>
    <w:lvl w:ilvl="0">
      <w:lvlJc w:val="left"/>
      <w:lvlText w:val="(%1)"/>
      <w:numFmt w:val="decimal"/>
      <w:start w:val="1"/>
    </w:lvl>
  </w:abstractNum>
  <w:abstractNum w:abstractNumId="140">
    <w:nsid w:val="7AB49DAF"/>
    <w:multiLevelType w:val="hybridMultilevel"/>
    <w:lvl w:ilvl="0">
      <w:lvlJc w:val="left"/>
      <w:lvlText w:val="(%1)"/>
      <w:numFmt w:val="decimal"/>
      <w:start w:val="1"/>
    </w:lvl>
  </w:abstractNum>
  <w:abstractNum w:abstractNumId="141">
    <w:nsid w:val="759F82CD"/>
    <w:multiLevelType w:val="hybridMultilevel"/>
    <w:lvl w:ilvl="0">
      <w:lvlJc w:val="left"/>
      <w:lvlText w:val="(%1)"/>
      <w:numFmt w:val="decimal"/>
      <w:start w:val="1"/>
    </w:lvl>
  </w:abstractNum>
  <w:abstractNum w:abstractNumId="142">
    <w:nsid w:val="61E74EA3"/>
    <w:multiLevelType w:val="hybridMultilevel"/>
    <w:lvl w:ilvl="0">
      <w:lvlJc w:val="left"/>
      <w:lvlText w:val="(%1)"/>
      <w:numFmt w:val="decimal"/>
      <w:start w:val="2"/>
    </w:lvl>
  </w:abstractNum>
  <w:abstractNum w:abstractNumId="143">
    <w:nsid w:val="597B4D84"/>
    <w:multiLevelType w:val="hybridMultilevel"/>
    <w:lvl w:ilvl="0">
      <w:lvlJc w:val="left"/>
      <w:lvlText w:val="•"/>
      <w:numFmt w:val="bullet"/>
      <w:start w:val="1"/>
    </w:lvl>
  </w:abstractNum>
  <w:abstractNum w:abstractNumId="144">
    <w:nsid w:val="F819E7F"/>
    <w:multiLevelType w:val="hybridMultilevel"/>
    <w:lvl w:ilvl="0">
      <w:lvlJc w:val="left"/>
      <w:lvlText w:val="•"/>
      <w:numFmt w:val="bullet"/>
      <w:start w:val="1"/>
    </w:lvl>
  </w:abstractNum>
  <w:abstractNum w:abstractNumId="145">
    <w:nsid w:val="57C7D42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2019-12-08T07:20:09Z</dcterms:created>
  <dcterms:modified xsi:type="dcterms:W3CDTF">2019-12-08T07:20:09Z</dcterms:modified>
</cp:coreProperties>
</file>