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ACM Research,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00108J109</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30, 2022</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2,723,361</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2,773,504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2,773,504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ACM Research, Inc.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42307 OSGOOD ROAD, SUITE I</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FREMONT CA 94539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Class A Common Stock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00108J109</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882"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30, 2022.*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No.00108J109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690"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08, 2023</w:t>
      </w:r>
    </w:p>
    <w:p>
      <w:pPr>
        <w:spacing w:after="0" w:line="222" w:lineRule="exact"/>
        <w:rPr>
          <w:sz w:val="20"/>
          <w:szCs w:val="20"/>
          <w:color w:val="auto"/>
        </w:rPr>
      </w:pPr>
    </w:p>
    <w:p>
      <w:pPr>
        <w:sectPr>
          <w:pgSz w:w="11900" w:h="16838" w:orient="portrait"/>
          <w:cols w:equalWidth="0" w:num="2">
            <w:col w:w="560" w:space="720"/>
            <w:col w:w="8859"/>
          </w:cols>
          <w:pgMar w:left="32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060" w:space="220"/>
            <w:col w:w="8859"/>
          </w:cols>
          <w:pgMar w:left="320" w:top="69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6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2023-02-08T12:00:58Z</dcterms:created>
  <dcterms:modified xsi:type="dcterms:W3CDTF">2023-02-08T12:00:58Z</dcterms:modified>
</cp:coreProperties>
</file>