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4D4D4F"/>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255"/>
                    </a:xfrm>
                    <a:prstGeom prst="rect">
                      <a:avLst/>
                    </a:prstGeom>
                    <a:noFill/>
                  </pic:spPr>
                </pic:pic>
              </a:graphicData>
            </a:graphic>
          </wp:anchor>
        </w:drawing>
        <w:t>UNITED STATES 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4D4D4F"/>
        </w:rPr>
        <w:t>Washington, D.C. 20549</w:t>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4D4D4F"/>
        </w:rPr>
        <w:t>SCHEDULE 14A</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4D4D4F"/>
        </w:rPr>
        <w:t>Proxy Statement Pursuant to</w:t>
      </w:r>
    </w:p>
    <w:p>
      <w:pPr>
        <w:jc w:val="center"/>
        <w:spacing w:after="0"/>
        <w:rPr>
          <w:sz w:val="20"/>
          <w:szCs w:val="20"/>
          <w:color w:val="auto"/>
        </w:rPr>
      </w:pPr>
      <w:r>
        <w:rPr>
          <w:rFonts w:ascii="Arial" w:cs="Arial" w:eastAsia="Arial" w:hAnsi="Arial"/>
          <w:sz w:val="18"/>
          <w:szCs w:val="18"/>
          <w:b w:val="1"/>
          <w:bCs w:val="1"/>
          <w:color w:val="4D4D4F"/>
        </w:rPr>
        <w:t>Section 14(a) of the Securities Exchange Act of 1934</w:t>
      </w:r>
    </w:p>
    <w:p>
      <w:pPr>
        <w:spacing w:after="0" w:line="273" w:lineRule="exact"/>
        <w:rPr>
          <w:sz w:val="24"/>
          <w:szCs w:val="24"/>
          <w:color w:val="auto"/>
        </w:rPr>
      </w:pPr>
    </w:p>
    <w:p>
      <w:pPr>
        <w:spacing w:after="0" w:line="207" w:lineRule="exact"/>
        <w:tabs>
          <w:tab w:leader="none" w:pos="7920" w:val="left"/>
        </w:tabs>
        <w:rPr>
          <w:sz w:val="20"/>
          <w:szCs w:val="20"/>
          <w:color w:val="auto"/>
        </w:rPr>
      </w:pPr>
      <w:r>
        <w:rPr>
          <w:rFonts w:ascii="Arial" w:cs="Arial" w:eastAsia="Arial" w:hAnsi="Arial"/>
          <w:sz w:val="18"/>
          <w:szCs w:val="18"/>
          <w:color w:val="4D4D4F"/>
        </w:rPr>
        <w:t xml:space="preserve">Filed by the Registrant </w:t>
      </w:r>
      <w:r>
        <w:rPr>
          <w:rFonts w:ascii="MS PGothic" w:cs="MS PGothic" w:eastAsia="MS PGothic" w:hAnsi="MS PGothic"/>
          <w:sz w:val="18"/>
          <w:szCs w:val="18"/>
          <w:color w:val="4D4D4F"/>
        </w:rPr>
        <w:t>☒</w:t>
      </w:r>
      <w:r>
        <w:rPr>
          <w:sz w:val="20"/>
          <w:szCs w:val="20"/>
          <w:color w:val="auto"/>
        </w:rPr>
        <w:tab/>
      </w:r>
      <w:r>
        <w:rPr>
          <w:rFonts w:ascii="Arial" w:cs="Arial" w:eastAsia="Arial" w:hAnsi="Arial"/>
          <w:sz w:val="17"/>
          <w:szCs w:val="17"/>
          <w:color w:val="4D4D4F"/>
        </w:rPr>
        <w:t xml:space="preserve">Filed by a Party other than the Registrant </w:t>
      </w:r>
      <w:r>
        <w:rPr>
          <w:rFonts w:ascii="MS PGothic" w:cs="MS PGothic" w:eastAsia="MS PGothic" w:hAnsi="MS PGothic"/>
          <w:sz w:val="17"/>
          <w:szCs w:val="17"/>
          <w:color w:val="4D4D4F"/>
        </w:rPr>
        <w: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4D4D4F"/>
        </w:rPr>
        <w:t>Check the appropriate box:</w:t>
      </w:r>
    </w:p>
    <w:p>
      <w:pPr>
        <w:ind w:left="340" w:hanging="332"/>
        <w:spacing w:after="0" w:line="235" w:lineRule="auto"/>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4D4D4F"/>
        </w:rPr>
        <w:t>Preliminary Proxy Statement</w:t>
      </w:r>
    </w:p>
    <w:p>
      <w:pPr>
        <w:ind w:left="340" w:hanging="332"/>
        <w:spacing w:after="0" w:line="234" w:lineRule="auto"/>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4D4D4F"/>
        </w:rPr>
        <w:t>Confidential, for Use of the Commission Only (as permitted by Rule 14a-6(e)(2))</w:t>
      </w:r>
    </w:p>
    <w:p>
      <w:pPr>
        <w:spacing w:after="0" w:line="202" w:lineRule="exact"/>
        <w:rPr>
          <w:rFonts w:ascii="MS PGothic" w:cs="MS PGothic" w:eastAsia="MS PGothic" w:hAnsi="MS PGothic"/>
          <w:sz w:val="16"/>
          <w:szCs w:val="16"/>
          <w:color w:val="auto"/>
        </w:rPr>
      </w:pPr>
      <w:r>
        <w:rPr>
          <w:rFonts w:ascii="MS PGothic" w:cs="MS PGothic" w:eastAsia="MS PGothic" w:hAnsi="MS PGothic"/>
          <w:sz w:val="16"/>
          <w:szCs w:val="16"/>
          <w:color w:val="000000"/>
        </w:rPr>
        <w:t>☒</w:t>
      </w:r>
      <w:r>
        <w:rPr>
          <w:rFonts w:ascii="Arial" w:cs="Arial" w:eastAsia="Arial" w:hAnsi="Arial"/>
          <w:sz w:val="18"/>
          <w:szCs w:val="18"/>
          <w:color w:val="4D4D4F"/>
        </w:rPr>
        <w:t xml:space="preserve">  Definitive Proxy Statement</w:t>
      </w:r>
    </w:p>
    <w:p>
      <w:pPr>
        <w:ind w:left="340" w:hanging="332"/>
        <w:spacing w:after="0" w:line="234" w:lineRule="auto"/>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4D4D4F"/>
        </w:rPr>
        <w:t>Definitive Additional Materials</w:t>
      </w: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4D4D4F"/>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3225800</wp:posOffset>
            </wp:positionH>
            <wp:positionV relativeFrom="paragraph">
              <wp:posOffset>151765</wp:posOffset>
            </wp:positionV>
            <wp:extent cx="814070" cy="513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4070" cy="513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4D4D4F"/>
        </w:rPr>
        <w:t>ACM Research,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4D4D4F"/>
        </w:rPr>
        <w:t>(Name of Registrant as Specified In Its Charter)</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4D4D4F"/>
        </w:rPr>
        <w:t>Payment of Filing Fee (Check the appropriate box):</w:t>
      </w:r>
    </w:p>
    <w:p>
      <w:pPr>
        <w:spacing w:after="0" w:line="5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6"/>
          <w:szCs w:val="16"/>
          <w:color w:val="auto"/>
        </w:rPr>
      </w:pPr>
      <w:r>
        <w:rPr>
          <w:rFonts w:ascii="Arial" w:cs="Arial" w:eastAsia="Arial" w:hAnsi="Arial"/>
          <w:sz w:val="18"/>
          <w:szCs w:val="18"/>
          <w:color w:val="4D4D4F"/>
        </w:rPr>
        <w:t>No fee required.</w:t>
      </w:r>
    </w:p>
    <w:p>
      <w:pPr>
        <w:ind w:left="580" w:hanging="572"/>
        <w:spacing w:after="0" w:line="235" w:lineRule="auto"/>
        <w:tabs>
          <w:tab w:leader="none" w:pos="580" w:val="left"/>
        </w:tabs>
        <w:numPr>
          <w:ilvl w:val="0"/>
          <w:numId w:val="3"/>
        </w:numPr>
        <w:rPr>
          <w:rFonts w:ascii="MS PGothic" w:cs="MS PGothic" w:eastAsia="MS PGothic" w:hAnsi="MS PGothic"/>
          <w:sz w:val="16"/>
          <w:szCs w:val="16"/>
          <w:color w:val="auto"/>
        </w:rPr>
      </w:pPr>
      <w:r>
        <w:rPr>
          <w:rFonts w:ascii="Arial" w:cs="Arial" w:eastAsia="Arial" w:hAnsi="Arial"/>
          <w:sz w:val="18"/>
          <w:szCs w:val="18"/>
          <w:color w:val="4D4D4F"/>
        </w:rPr>
        <w:t>Fee computed on table below per Exchange Act Rules 14a-6(i)(1) and 0-11.</w:t>
      </w:r>
    </w:p>
    <w:p>
      <w:pPr>
        <w:ind w:left="1160" w:hanging="572"/>
        <w:spacing w:after="0"/>
        <w:tabs>
          <w:tab w:leader="none" w:pos="116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Title of each class of securities to which transaction applies:</w:t>
      </w:r>
    </w:p>
    <w:p>
      <w:pPr>
        <w:spacing w:after="0" w:line="224" w:lineRule="exact"/>
        <w:rPr>
          <w:rFonts w:ascii="Arial" w:cs="Arial" w:eastAsia="Arial" w:hAnsi="Arial"/>
          <w:sz w:val="18"/>
          <w:szCs w:val="18"/>
          <w:color w:val="4D4D4F"/>
        </w:rPr>
      </w:pPr>
    </w:p>
    <w:p>
      <w:pPr>
        <w:ind w:left="1160" w:hanging="572"/>
        <w:spacing w:after="0"/>
        <w:tabs>
          <w:tab w:leader="none" w:pos="116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Aggregate number of securities to which transaction applies:</w:t>
      </w:r>
    </w:p>
    <w:p>
      <w:pPr>
        <w:spacing w:after="0" w:line="224" w:lineRule="exact"/>
        <w:rPr>
          <w:rFonts w:ascii="Arial" w:cs="Arial" w:eastAsia="Arial" w:hAnsi="Arial"/>
          <w:sz w:val="18"/>
          <w:szCs w:val="18"/>
          <w:color w:val="4D4D4F"/>
        </w:rPr>
      </w:pPr>
    </w:p>
    <w:p>
      <w:pPr>
        <w:ind w:left="1160" w:hanging="572"/>
        <w:spacing w:after="0" w:line="245" w:lineRule="auto"/>
        <w:tabs>
          <w:tab w:leader="none" w:pos="116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Per unit price or other underlying value of transaction computed pursuant to Exchange Act Rule 0-11 (set forth the amount on which the filing fee is calculated and state how it was determined):</w:t>
      </w:r>
    </w:p>
    <w:p>
      <w:pPr>
        <w:spacing w:after="0" w:line="211" w:lineRule="exact"/>
        <w:rPr>
          <w:rFonts w:ascii="Arial" w:cs="Arial" w:eastAsia="Arial" w:hAnsi="Arial"/>
          <w:sz w:val="18"/>
          <w:szCs w:val="18"/>
          <w:color w:val="4D4D4F"/>
        </w:rPr>
      </w:pPr>
    </w:p>
    <w:p>
      <w:pPr>
        <w:ind w:left="1160" w:hanging="572"/>
        <w:spacing w:after="0"/>
        <w:tabs>
          <w:tab w:leader="none" w:pos="116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Proposed maximum aggregate value of transaction:</w:t>
      </w:r>
    </w:p>
    <w:p>
      <w:pPr>
        <w:spacing w:after="0" w:line="224" w:lineRule="exact"/>
        <w:rPr>
          <w:rFonts w:ascii="Arial" w:cs="Arial" w:eastAsia="Arial" w:hAnsi="Arial"/>
          <w:sz w:val="18"/>
          <w:szCs w:val="18"/>
          <w:color w:val="4D4D4F"/>
        </w:rPr>
      </w:pPr>
    </w:p>
    <w:p>
      <w:pPr>
        <w:ind w:left="1160" w:hanging="572"/>
        <w:spacing w:after="0"/>
        <w:tabs>
          <w:tab w:leader="none" w:pos="116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Total fee paid:</w:t>
      </w:r>
    </w:p>
    <w:p>
      <w:pPr>
        <w:spacing w:after="0" w:line="220" w:lineRule="exact"/>
        <w:rPr>
          <w:rFonts w:ascii="Arial" w:cs="Arial" w:eastAsia="Arial" w:hAnsi="Arial"/>
          <w:sz w:val="18"/>
          <w:szCs w:val="18"/>
          <w:color w:val="4D4D4F"/>
        </w:rPr>
      </w:pPr>
    </w:p>
    <w:p>
      <w:pPr>
        <w:ind w:left="580" w:hanging="572"/>
        <w:spacing w:after="0"/>
        <w:tabs>
          <w:tab w:leader="none" w:pos="580" w:val="left"/>
        </w:tabs>
        <w:numPr>
          <w:ilvl w:val="0"/>
          <w:numId w:val="3"/>
        </w:numPr>
        <w:rPr>
          <w:rFonts w:ascii="MS PGothic" w:cs="MS PGothic" w:eastAsia="MS PGothic" w:hAnsi="MS PGothic"/>
          <w:sz w:val="16"/>
          <w:szCs w:val="16"/>
          <w:color w:val="auto"/>
        </w:rPr>
      </w:pPr>
      <w:r>
        <w:rPr>
          <w:rFonts w:ascii="Arial" w:cs="Arial" w:eastAsia="Arial" w:hAnsi="Arial"/>
          <w:sz w:val="18"/>
          <w:szCs w:val="18"/>
          <w:color w:val="4D4D4F"/>
        </w:rPr>
        <w:t>Fee paid previously with preliminary materials.</w:t>
      </w:r>
    </w:p>
    <w:p>
      <w:pPr>
        <w:ind w:left="580" w:hanging="572"/>
        <w:spacing w:after="0" w:line="234" w:lineRule="auto"/>
        <w:tabs>
          <w:tab w:leader="none" w:pos="580" w:val="left"/>
        </w:tabs>
        <w:numPr>
          <w:ilvl w:val="0"/>
          <w:numId w:val="3"/>
        </w:numPr>
        <w:rPr>
          <w:rFonts w:ascii="MS PGothic" w:cs="MS PGothic" w:eastAsia="MS PGothic" w:hAnsi="MS PGothic"/>
          <w:sz w:val="16"/>
          <w:szCs w:val="16"/>
          <w:color w:val="auto"/>
        </w:rPr>
      </w:pPr>
      <w:r>
        <w:rPr>
          <w:rFonts w:ascii="Arial" w:cs="Arial" w:eastAsia="Arial" w:hAnsi="Arial"/>
          <w:sz w:val="18"/>
          <w:szCs w:val="18"/>
          <w:color w:val="4D4D4F"/>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1160" w:hanging="572"/>
        <w:spacing w:after="0"/>
        <w:tabs>
          <w:tab w:leader="none" w:pos="116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Amount Previously Paid:</w:t>
      </w:r>
    </w:p>
    <w:p>
      <w:pPr>
        <w:spacing w:after="0" w:line="200" w:lineRule="exact"/>
        <w:rPr>
          <w:rFonts w:ascii="Arial" w:cs="Arial" w:eastAsia="Arial" w:hAnsi="Arial"/>
          <w:sz w:val="18"/>
          <w:szCs w:val="18"/>
          <w:color w:val="4D4D4F"/>
        </w:rPr>
      </w:pPr>
    </w:p>
    <w:p>
      <w:pPr>
        <w:spacing w:after="0" w:line="213" w:lineRule="exact"/>
        <w:rPr>
          <w:rFonts w:ascii="Arial" w:cs="Arial" w:eastAsia="Arial" w:hAnsi="Arial"/>
          <w:sz w:val="18"/>
          <w:szCs w:val="18"/>
          <w:color w:val="4D4D4F"/>
        </w:rPr>
      </w:pPr>
    </w:p>
    <w:p>
      <w:pPr>
        <w:ind w:left="1160" w:hanging="572"/>
        <w:spacing w:after="0"/>
        <w:tabs>
          <w:tab w:leader="none" w:pos="116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Form, Schedule or Registration Statement No.:</w:t>
      </w:r>
    </w:p>
    <w:p>
      <w:pPr>
        <w:spacing w:after="0" w:line="200" w:lineRule="exact"/>
        <w:rPr>
          <w:rFonts w:ascii="Arial" w:cs="Arial" w:eastAsia="Arial" w:hAnsi="Arial"/>
          <w:sz w:val="18"/>
          <w:szCs w:val="18"/>
          <w:color w:val="4D4D4F"/>
        </w:rPr>
      </w:pPr>
    </w:p>
    <w:p>
      <w:pPr>
        <w:spacing w:after="0" w:line="213" w:lineRule="exact"/>
        <w:rPr>
          <w:rFonts w:ascii="Arial" w:cs="Arial" w:eastAsia="Arial" w:hAnsi="Arial"/>
          <w:sz w:val="18"/>
          <w:szCs w:val="18"/>
          <w:color w:val="4D4D4F"/>
        </w:rPr>
      </w:pPr>
    </w:p>
    <w:p>
      <w:pPr>
        <w:ind w:left="1160" w:hanging="572"/>
        <w:spacing w:after="0"/>
        <w:tabs>
          <w:tab w:leader="none" w:pos="116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Filing Party:</w:t>
      </w:r>
    </w:p>
    <w:p>
      <w:pPr>
        <w:spacing w:after="0" w:line="200" w:lineRule="exact"/>
        <w:rPr>
          <w:rFonts w:ascii="Arial" w:cs="Arial" w:eastAsia="Arial" w:hAnsi="Arial"/>
          <w:sz w:val="18"/>
          <w:szCs w:val="18"/>
          <w:color w:val="4D4D4F"/>
        </w:rPr>
      </w:pPr>
    </w:p>
    <w:p>
      <w:pPr>
        <w:spacing w:after="0" w:line="213" w:lineRule="exact"/>
        <w:rPr>
          <w:rFonts w:ascii="Arial" w:cs="Arial" w:eastAsia="Arial" w:hAnsi="Arial"/>
          <w:sz w:val="18"/>
          <w:szCs w:val="18"/>
          <w:color w:val="4D4D4F"/>
        </w:rPr>
      </w:pPr>
    </w:p>
    <w:p>
      <w:pPr>
        <w:ind w:left="1160" w:hanging="572"/>
        <w:spacing w:after="0"/>
        <w:tabs>
          <w:tab w:leader="none" w:pos="116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733425</wp:posOffset>
            </wp:positionH>
            <wp:positionV relativeFrom="paragraph">
              <wp:posOffset>117475</wp:posOffset>
            </wp:positionV>
            <wp:extent cx="65189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8910" cy="1714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-275590</wp:posOffset>
            </wp:positionV>
            <wp:extent cx="65189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8910" cy="1714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-669925</wp:posOffset>
            </wp:positionV>
            <wp:extent cx="65189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8910" cy="1714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-1063625</wp:posOffset>
            </wp:positionV>
            <wp:extent cx="65189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8910" cy="1714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-1723390</wp:posOffset>
            </wp:positionV>
            <wp:extent cx="65189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8910" cy="1714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-1997710</wp:posOffset>
            </wp:positionV>
            <wp:extent cx="65189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8910" cy="1714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-2272030</wp:posOffset>
            </wp:positionV>
            <wp:extent cx="65189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8910" cy="1714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-2674620</wp:posOffset>
            </wp:positionV>
            <wp:extent cx="65189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8910" cy="1714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-2948305</wp:posOffset>
            </wp:positionV>
            <wp:extent cx="65189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891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2466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605790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50793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07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58"/>
          <w:szCs w:val="58"/>
          <w:color w:val="FFFFFF"/>
        </w:rPr>
        <w:t>NOTICE OF</w:t>
      </w:r>
    </w:p>
    <w:p>
      <w:pPr>
        <w:jc w:val="center"/>
        <w:spacing w:after="0" w:line="237" w:lineRule="auto"/>
        <w:rPr>
          <w:sz w:val="20"/>
          <w:szCs w:val="20"/>
          <w:color w:val="auto"/>
        </w:rPr>
      </w:pPr>
      <w:r>
        <w:rPr>
          <w:rFonts w:ascii="Arial" w:cs="Arial" w:eastAsia="Arial" w:hAnsi="Arial"/>
          <w:sz w:val="58"/>
          <w:szCs w:val="58"/>
          <w:color w:val="FFFFFF"/>
        </w:rPr>
        <w:t>2019 ANNUAL MEETING</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58"/>
          <w:szCs w:val="58"/>
          <w:color w:val="FFFFFF"/>
        </w:rPr>
        <w:t>OF STOCKHOLDERS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32"/>
          <w:szCs w:val="32"/>
          <w:i w:val="1"/>
          <w:iCs w:val="1"/>
          <w:color w:val="FFFFFF"/>
        </w:rPr>
        <w:t>and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50"/>
          <w:szCs w:val="50"/>
          <w:color w:val="FFFFFF"/>
        </w:rPr>
        <w:t>PROXY STATEMENT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402"/>
        </w:trPr>
        <w:tc>
          <w:tcPr>
            <w:tcW w:w="5120" w:type="dxa"/>
            <w:vAlign w:val="bottom"/>
            <w:shd w:val="clear" w:color="auto" w:fill="4D4D4F"/>
          </w:tcPr>
          <w:p>
            <w:pPr>
              <w:ind w:left="340"/>
              <w:spacing w:after="0"/>
              <w:rPr>
                <w:sz w:val="20"/>
                <w:szCs w:val="20"/>
                <w:color w:val="auto"/>
              </w:rPr>
            </w:pPr>
            <w:r>
              <w:rPr>
                <w:rFonts w:ascii="Arial" w:cs="Arial" w:eastAsia="Arial" w:hAnsi="Arial"/>
                <w:sz w:val="29"/>
                <w:szCs w:val="29"/>
                <w:b w:val="1"/>
                <w:bCs w:val="1"/>
                <w:color w:val="FFFFFF"/>
              </w:rPr>
              <w:t>2019 Annual Meeting</w:t>
            </w:r>
          </w:p>
        </w:tc>
        <w:tc>
          <w:tcPr>
            <w:tcW w:w="560" w:type="dxa"/>
            <w:vAlign w:val="bottom"/>
            <w:shd w:val="clear" w:color="auto" w:fill="4D4D4F"/>
          </w:tcPr>
          <w:p>
            <w:pPr>
              <w:spacing w:after="0"/>
              <w:rPr>
                <w:sz w:val="24"/>
                <w:szCs w:val="24"/>
                <w:color w:val="auto"/>
              </w:rPr>
            </w:pPr>
          </w:p>
        </w:tc>
        <w:tc>
          <w:tcPr>
            <w:tcW w:w="5740" w:type="dxa"/>
            <w:vAlign w:val="bottom"/>
            <w:gridSpan w:val="2"/>
            <w:shd w:val="clear" w:color="auto" w:fill="4D4D4F"/>
          </w:tcPr>
          <w:p>
            <w:pPr>
              <w:spacing w:after="0"/>
              <w:rPr>
                <w:sz w:val="20"/>
                <w:szCs w:val="20"/>
                <w:color w:val="auto"/>
              </w:rPr>
            </w:pPr>
            <w:r>
              <w:rPr>
                <w:rFonts w:ascii="Arial" w:cs="Arial" w:eastAsia="Arial" w:hAnsi="Arial"/>
                <w:sz w:val="29"/>
                <w:szCs w:val="29"/>
                <w:b w:val="1"/>
                <w:bCs w:val="1"/>
                <w:color w:val="FFFFFF"/>
              </w:rPr>
              <w:t>Inside</w:t>
            </w:r>
          </w:p>
        </w:tc>
        <w:tc>
          <w:tcPr>
            <w:tcW w:w="0" w:type="dxa"/>
            <w:vAlign w:val="bottom"/>
          </w:tcPr>
          <w:p>
            <w:pPr>
              <w:spacing w:after="0"/>
              <w:rPr>
                <w:sz w:val="1"/>
                <w:szCs w:val="1"/>
                <w:color w:val="auto"/>
              </w:rPr>
            </w:pPr>
          </w:p>
        </w:tc>
      </w:tr>
      <w:tr>
        <w:trPr>
          <w:trHeight w:val="243"/>
        </w:trPr>
        <w:tc>
          <w:tcPr>
            <w:tcW w:w="5120" w:type="dxa"/>
            <w:vAlign w:val="bottom"/>
            <w:shd w:val="clear" w:color="auto" w:fill="4D4D4F"/>
          </w:tcPr>
          <w:p>
            <w:pPr>
              <w:ind w:left="340"/>
              <w:spacing w:after="0" w:line="243" w:lineRule="exact"/>
              <w:rPr>
                <w:sz w:val="20"/>
                <w:szCs w:val="20"/>
                <w:color w:val="auto"/>
              </w:rPr>
            </w:pPr>
            <w:r>
              <w:rPr>
                <w:rFonts w:ascii="Arial" w:cs="Arial" w:eastAsia="Arial" w:hAnsi="Arial"/>
                <w:sz w:val="22"/>
                <w:szCs w:val="22"/>
                <w:color w:val="FFFFFF"/>
              </w:rPr>
              <w:t>June 6, 2019</w:t>
            </w:r>
          </w:p>
        </w:tc>
        <w:tc>
          <w:tcPr>
            <w:tcW w:w="560" w:type="dxa"/>
            <w:vAlign w:val="bottom"/>
            <w:shd w:val="clear" w:color="auto" w:fill="4D4D4F"/>
          </w:tcPr>
          <w:p>
            <w:pPr>
              <w:spacing w:after="0"/>
              <w:rPr>
                <w:sz w:val="21"/>
                <w:szCs w:val="21"/>
                <w:color w:val="auto"/>
              </w:rPr>
            </w:pPr>
          </w:p>
        </w:tc>
        <w:tc>
          <w:tcPr>
            <w:tcW w:w="5740" w:type="dxa"/>
            <w:vAlign w:val="bottom"/>
            <w:gridSpan w:val="2"/>
            <w:vMerge w:val="restart"/>
            <w:shd w:val="clear" w:color="auto" w:fill="4D4D4F"/>
          </w:tcPr>
          <w:p>
            <w:pPr>
              <w:spacing w:after="0"/>
              <w:rPr>
                <w:sz w:val="20"/>
                <w:szCs w:val="20"/>
                <w:color w:val="auto"/>
              </w:rPr>
            </w:pPr>
            <w:r>
              <w:rPr>
                <w:rFonts w:ascii="Arial" w:cs="Arial" w:eastAsia="Arial" w:hAnsi="Arial"/>
                <w:sz w:val="22"/>
                <w:szCs w:val="22"/>
                <w:color w:val="FFFFFF"/>
              </w:rPr>
              <w:t>CEO’s letter to stockholders</w:t>
            </w:r>
          </w:p>
        </w:tc>
        <w:tc>
          <w:tcPr>
            <w:tcW w:w="0" w:type="dxa"/>
            <w:vAlign w:val="bottom"/>
          </w:tcPr>
          <w:p>
            <w:pPr>
              <w:spacing w:after="0"/>
              <w:rPr>
                <w:sz w:val="1"/>
                <w:szCs w:val="1"/>
                <w:color w:val="auto"/>
              </w:rPr>
            </w:pPr>
          </w:p>
        </w:tc>
      </w:tr>
      <w:tr>
        <w:trPr>
          <w:trHeight w:val="84"/>
        </w:trPr>
        <w:tc>
          <w:tcPr>
            <w:tcW w:w="5120" w:type="dxa"/>
            <w:vAlign w:val="bottom"/>
            <w:vMerge w:val="restart"/>
            <w:shd w:val="clear" w:color="auto" w:fill="4D4D4F"/>
          </w:tcPr>
          <w:p>
            <w:pPr>
              <w:ind w:left="340"/>
              <w:spacing w:after="0"/>
              <w:rPr>
                <w:sz w:val="20"/>
                <w:szCs w:val="20"/>
                <w:color w:val="auto"/>
              </w:rPr>
            </w:pPr>
            <w:r>
              <w:rPr>
                <w:rFonts w:ascii="Arial" w:cs="Arial" w:eastAsia="Arial" w:hAnsi="Arial"/>
                <w:sz w:val="22"/>
                <w:szCs w:val="22"/>
                <w:color w:val="FFFFFF"/>
              </w:rPr>
              <w:t>11:00 a.m., Pacific time</w:t>
            </w:r>
          </w:p>
        </w:tc>
        <w:tc>
          <w:tcPr>
            <w:tcW w:w="560" w:type="dxa"/>
            <w:vAlign w:val="bottom"/>
            <w:shd w:val="clear" w:color="auto" w:fill="4D4D4F"/>
          </w:tcPr>
          <w:p>
            <w:pPr>
              <w:spacing w:after="0"/>
              <w:rPr>
                <w:sz w:val="7"/>
                <w:szCs w:val="7"/>
                <w:color w:val="auto"/>
              </w:rPr>
            </w:pPr>
          </w:p>
        </w:tc>
        <w:tc>
          <w:tcPr>
            <w:tcW w:w="5740" w:type="dxa"/>
            <w:vAlign w:val="bottom"/>
            <w:gridSpan w:val="2"/>
            <w:vMerge w:val="continue"/>
            <w:shd w:val="clear" w:color="auto" w:fill="4D4D4F"/>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5120" w:type="dxa"/>
            <w:vAlign w:val="bottom"/>
            <w:vMerge w:val="continue"/>
            <w:shd w:val="clear" w:color="auto" w:fill="4D4D4F"/>
          </w:tcPr>
          <w:p>
            <w:pPr>
              <w:spacing w:after="0"/>
              <w:rPr>
                <w:sz w:val="15"/>
                <w:szCs w:val="15"/>
                <w:color w:val="auto"/>
              </w:rPr>
            </w:pPr>
          </w:p>
        </w:tc>
        <w:tc>
          <w:tcPr>
            <w:tcW w:w="560" w:type="dxa"/>
            <w:vAlign w:val="bottom"/>
            <w:shd w:val="clear" w:color="auto" w:fill="4D4D4F"/>
          </w:tcPr>
          <w:p>
            <w:pPr>
              <w:spacing w:after="0"/>
              <w:rPr>
                <w:sz w:val="15"/>
                <w:szCs w:val="15"/>
                <w:color w:val="auto"/>
              </w:rPr>
            </w:pPr>
          </w:p>
        </w:tc>
        <w:tc>
          <w:tcPr>
            <w:tcW w:w="5740" w:type="dxa"/>
            <w:vAlign w:val="bottom"/>
            <w:gridSpan w:val="2"/>
            <w:vMerge w:val="restart"/>
            <w:shd w:val="clear" w:color="auto" w:fill="4D4D4F"/>
          </w:tcPr>
          <w:p>
            <w:pPr>
              <w:spacing w:after="0"/>
              <w:rPr>
                <w:sz w:val="20"/>
                <w:szCs w:val="20"/>
                <w:color w:val="auto"/>
              </w:rPr>
            </w:pPr>
            <w:r>
              <w:rPr>
                <w:rFonts w:ascii="Arial" w:cs="Arial" w:eastAsia="Arial" w:hAnsi="Arial"/>
                <w:sz w:val="22"/>
                <w:szCs w:val="22"/>
                <w:color w:val="FFFFFF"/>
              </w:rPr>
              <w:t>Information on two voting proposals:</w:t>
            </w:r>
          </w:p>
        </w:tc>
        <w:tc>
          <w:tcPr>
            <w:tcW w:w="0" w:type="dxa"/>
            <w:vAlign w:val="bottom"/>
          </w:tcPr>
          <w:p>
            <w:pPr>
              <w:spacing w:after="0"/>
              <w:rPr>
                <w:sz w:val="1"/>
                <w:szCs w:val="1"/>
                <w:color w:val="auto"/>
              </w:rPr>
            </w:pPr>
          </w:p>
        </w:tc>
      </w:tr>
      <w:tr>
        <w:trPr>
          <w:trHeight w:val="125"/>
        </w:trPr>
        <w:tc>
          <w:tcPr>
            <w:tcW w:w="5120" w:type="dxa"/>
            <w:vAlign w:val="bottom"/>
            <w:shd w:val="clear" w:color="auto" w:fill="4D4D4F"/>
          </w:tcPr>
          <w:p>
            <w:pPr>
              <w:spacing w:after="0"/>
              <w:rPr>
                <w:sz w:val="10"/>
                <w:szCs w:val="10"/>
                <w:color w:val="auto"/>
              </w:rPr>
            </w:pPr>
          </w:p>
        </w:tc>
        <w:tc>
          <w:tcPr>
            <w:tcW w:w="560" w:type="dxa"/>
            <w:vAlign w:val="bottom"/>
            <w:shd w:val="clear" w:color="auto" w:fill="4D4D4F"/>
          </w:tcPr>
          <w:p>
            <w:pPr>
              <w:spacing w:after="0"/>
              <w:rPr>
                <w:sz w:val="10"/>
                <w:szCs w:val="10"/>
                <w:color w:val="auto"/>
              </w:rPr>
            </w:pPr>
          </w:p>
        </w:tc>
        <w:tc>
          <w:tcPr>
            <w:tcW w:w="5740" w:type="dxa"/>
            <w:vAlign w:val="bottom"/>
            <w:gridSpan w:val="2"/>
            <w:vMerge w:val="continue"/>
            <w:shd w:val="clear" w:color="auto" w:fill="4D4D4F"/>
          </w:tcPr>
          <w:p>
            <w:pPr>
              <w:spacing w:after="0"/>
              <w:rPr>
                <w:sz w:val="10"/>
                <w:szCs w:val="10"/>
                <w:color w:val="auto"/>
              </w:rPr>
            </w:pPr>
          </w:p>
        </w:tc>
        <w:tc>
          <w:tcPr>
            <w:tcW w:w="0" w:type="dxa"/>
            <w:vAlign w:val="bottom"/>
          </w:tcPr>
          <w:p>
            <w:pPr>
              <w:spacing w:after="0"/>
              <w:rPr>
                <w:sz w:val="1"/>
                <w:szCs w:val="1"/>
                <w:color w:val="auto"/>
              </w:rPr>
            </w:pPr>
          </w:p>
        </w:tc>
      </w:tr>
      <w:tr>
        <w:trPr>
          <w:trHeight w:val="513"/>
        </w:trPr>
        <w:tc>
          <w:tcPr>
            <w:tcW w:w="5120" w:type="dxa"/>
            <w:vAlign w:val="bottom"/>
            <w:vMerge w:val="restart"/>
            <w:shd w:val="clear" w:color="auto" w:fill="4D4D4F"/>
          </w:tcPr>
          <w:p>
            <w:pPr>
              <w:ind w:left="340"/>
              <w:spacing w:after="0"/>
              <w:rPr>
                <w:sz w:val="20"/>
                <w:szCs w:val="20"/>
                <w:color w:val="auto"/>
              </w:rPr>
            </w:pPr>
            <w:r>
              <w:rPr>
                <w:rFonts w:ascii="Arial" w:cs="Arial" w:eastAsia="Arial" w:hAnsi="Arial"/>
                <w:sz w:val="22"/>
                <w:szCs w:val="22"/>
                <w:color w:val="FFFFFF"/>
              </w:rPr>
              <w:t>Virtual-only meeting</w:t>
            </w:r>
          </w:p>
        </w:tc>
        <w:tc>
          <w:tcPr>
            <w:tcW w:w="560" w:type="dxa"/>
            <w:vAlign w:val="bottom"/>
            <w:shd w:val="clear" w:color="auto" w:fill="4D4D4F"/>
          </w:tcPr>
          <w:p>
            <w:pPr>
              <w:spacing w:after="0"/>
              <w:rPr>
                <w:sz w:val="24"/>
                <w:szCs w:val="24"/>
                <w:color w:val="auto"/>
              </w:rPr>
            </w:pPr>
          </w:p>
        </w:tc>
        <w:tc>
          <w:tcPr>
            <w:tcW w:w="500" w:type="dxa"/>
            <w:vAlign w:val="bottom"/>
            <w:shd w:val="clear" w:color="auto" w:fill="4D4D4F"/>
          </w:tcPr>
          <w:p>
            <w:pPr>
              <w:spacing w:after="0"/>
              <w:rPr>
                <w:sz w:val="24"/>
                <w:szCs w:val="24"/>
                <w:color w:val="auto"/>
              </w:rPr>
            </w:pPr>
          </w:p>
        </w:tc>
        <w:tc>
          <w:tcPr>
            <w:tcW w:w="5240" w:type="dxa"/>
            <w:vAlign w:val="bottom"/>
            <w:shd w:val="clear" w:color="auto" w:fill="4D4D4F"/>
          </w:tcPr>
          <w:p>
            <w:pPr>
              <w:spacing w:after="0"/>
              <w:rPr>
                <w:sz w:val="20"/>
                <w:szCs w:val="20"/>
                <w:color w:val="auto"/>
              </w:rPr>
            </w:pPr>
            <w:r>
              <w:rPr>
                <w:rFonts w:ascii="Arial" w:cs="Arial" w:eastAsia="Arial" w:hAnsi="Arial"/>
                <w:sz w:val="18"/>
                <w:szCs w:val="18"/>
                <w:color w:val="FFFFFF"/>
              </w:rPr>
              <w:t>Election of six directors</w:t>
            </w:r>
          </w:p>
        </w:tc>
        <w:tc>
          <w:tcPr>
            <w:tcW w:w="0" w:type="dxa"/>
            <w:vAlign w:val="bottom"/>
          </w:tcPr>
          <w:p>
            <w:pPr>
              <w:spacing w:after="0"/>
              <w:rPr>
                <w:sz w:val="1"/>
                <w:szCs w:val="1"/>
                <w:color w:val="auto"/>
              </w:rPr>
            </w:pPr>
          </w:p>
        </w:tc>
      </w:tr>
      <w:tr>
        <w:trPr>
          <w:trHeight w:val="101"/>
        </w:trPr>
        <w:tc>
          <w:tcPr>
            <w:tcW w:w="5120" w:type="dxa"/>
            <w:vAlign w:val="bottom"/>
            <w:vMerge w:val="continue"/>
            <w:shd w:val="clear" w:color="auto" w:fill="4D4D4F"/>
          </w:tcPr>
          <w:p>
            <w:pPr>
              <w:spacing w:after="0"/>
              <w:rPr>
                <w:sz w:val="8"/>
                <w:szCs w:val="8"/>
                <w:color w:val="auto"/>
              </w:rPr>
            </w:pPr>
          </w:p>
        </w:tc>
        <w:tc>
          <w:tcPr>
            <w:tcW w:w="560" w:type="dxa"/>
            <w:vAlign w:val="bottom"/>
            <w:shd w:val="clear" w:color="auto" w:fill="4D4D4F"/>
          </w:tcPr>
          <w:p>
            <w:pPr>
              <w:spacing w:after="0"/>
              <w:rPr>
                <w:sz w:val="8"/>
                <w:szCs w:val="8"/>
                <w:color w:val="auto"/>
              </w:rPr>
            </w:pPr>
          </w:p>
        </w:tc>
        <w:tc>
          <w:tcPr>
            <w:tcW w:w="500" w:type="dxa"/>
            <w:vAlign w:val="bottom"/>
            <w:shd w:val="clear" w:color="auto" w:fill="4D4D4F"/>
          </w:tcPr>
          <w:p>
            <w:pPr>
              <w:spacing w:after="0"/>
              <w:rPr>
                <w:sz w:val="8"/>
                <w:szCs w:val="8"/>
                <w:color w:val="auto"/>
              </w:rPr>
            </w:pPr>
          </w:p>
        </w:tc>
        <w:tc>
          <w:tcPr>
            <w:tcW w:w="5240" w:type="dxa"/>
            <w:vAlign w:val="bottom"/>
            <w:shd w:val="clear" w:color="auto" w:fill="4D4D4F"/>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5120" w:type="dxa"/>
            <w:vAlign w:val="bottom"/>
            <w:shd w:val="clear" w:color="auto" w:fill="4D4D4F"/>
          </w:tcPr>
          <w:p>
            <w:pPr>
              <w:ind w:left="340"/>
              <w:spacing w:after="0" w:line="221" w:lineRule="exact"/>
              <w:rPr>
                <w:sz w:val="20"/>
                <w:szCs w:val="20"/>
                <w:color w:val="auto"/>
              </w:rPr>
            </w:pPr>
            <w:r>
              <w:rPr>
                <w:rFonts w:ascii="Arial" w:cs="Arial" w:eastAsia="Arial" w:hAnsi="Arial"/>
                <w:sz w:val="22"/>
                <w:szCs w:val="22"/>
                <w:color w:val="FFFFFF"/>
              </w:rPr>
              <w:t>Webcast access at</w:t>
            </w:r>
          </w:p>
        </w:tc>
        <w:tc>
          <w:tcPr>
            <w:tcW w:w="560" w:type="dxa"/>
            <w:vAlign w:val="bottom"/>
            <w:shd w:val="clear" w:color="auto" w:fill="4D4D4F"/>
          </w:tcPr>
          <w:p>
            <w:pPr>
              <w:spacing w:after="0"/>
              <w:rPr>
                <w:sz w:val="19"/>
                <w:szCs w:val="19"/>
                <w:color w:val="auto"/>
              </w:rPr>
            </w:pPr>
          </w:p>
        </w:tc>
        <w:tc>
          <w:tcPr>
            <w:tcW w:w="500" w:type="dxa"/>
            <w:vAlign w:val="bottom"/>
            <w:shd w:val="clear" w:color="auto" w:fill="4D4D4F"/>
          </w:tcPr>
          <w:p>
            <w:pPr>
              <w:spacing w:after="0"/>
              <w:rPr>
                <w:sz w:val="19"/>
                <w:szCs w:val="19"/>
                <w:color w:val="auto"/>
              </w:rPr>
            </w:pPr>
          </w:p>
        </w:tc>
        <w:tc>
          <w:tcPr>
            <w:tcW w:w="5240" w:type="dxa"/>
            <w:vAlign w:val="bottom"/>
            <w:vMerge w:val="restart"/>
            <w:shd w:val="clear" w:color="auto" w:fill="4D4D4F"/>
          </w:tcPr>
          <w:p>
            <w:pPr>
              <w:spacing w:after="0"/>
              <w:rPr>
                <w:sz w:val="20"/>
                <w:szCs w:val="20"/>
                <w:color w:val="auto"/>
              </w:rPr>
            </w:pPr>
            <w:r>
              <w:rPr>
                <w:rFonts w:ascii="Arial" w:cs="Arial" w:eastAsia="Arial" w:hAnsi="Arial"/>
                <w:sz w:val="18"/>
                <w:szCs w:val="18"/>
                <w:color w:val="FFFFFF"/>
              </w:rPr>
              <w:t>Ratification of appointment of</w:t>
            </w:r>
          </w:p>
        </w:tc>
        <w:tc>
          <w:tcPr>
            <w:tcW w:w="0" w:type="dxa"/>
            <w:vAlign w:val="bottom"/>
          </w:tcPr>
          <w:p>
            <w:pPr>
              <w:spacing w:after="0"/>
              <w:rPr>
                <w:sz w:val="1"/>
                <w:szCs w:val="1"/>
                <w:color w:val="auto"/>
              </w:rPr>
            </w:pPr>
          </w:p>
        </w:tc>
      </w:tr>
      <w:tr>
        <w:trPr>
          <w:trHeight w:val="122"/>
        </w:trPr>
        <w:tc>
          <w:tcPr>
            <w:tcW w:w="5120" w:type="dxa"/>
            <w:vAlign w:val="bottom"/>
            <w:vMerge w:val="restart"/>
            <w:shd w:val="clear" w:color="auto" w:fill="4D4D4F"/>
          </w:tcPr>
          <w:p>
            <w:pPr>
              <w:ind w:left="340"/>
              <w:spacing w:after="0"/>
              <w:rPr>
                <w:sz w:val="20"/>
                <w:szCs w:val="20"/>
                <w:color w:val="auto"/>
              </w:rPr>
            </w:pPr>
            <w:r>
              <w:rPr>
                <w:rFonts w:ascii="Arial" w:cs="Arial" w:eastAsia="Arial" w:hAnsi="Arial"/>
                <w:sz w:val="22"/>
                <w:szCs w:val="22"/>
                <w:i w:val="1"/>
                <w:iCs w:val="1"/>
                <w:color w:val="FFFFFF"/>
              </w:rPr>
              <w:t>www.virtualshareholdermeeting.com/ACMR2019</w:t>
            </w:r>
          </w:p>
        </w:tc>
        <w:tc>
          <w:tcPr>
            <w:tcW w:w="560" w:type="dxa"/>
            <w:vAlign w:val="bottom"/>
            <w:shd w:val="clear" w:color="auto" w:fill="4D4D4F"/>
          </w:tcPr>
          <w:p>
            <w:pPr>
              <w:spacing w:after="0"/>
              <w:rPr>
                <w:sz w:val="10"/>
                <w:szCs w:val="10"/>
                <w:color w:val="auto"/>
              </w:rPr>
            </w:pPr>
          </w:p>
        </w:tc>
        <w:tc>
          <w:tcPr>
            <w:tcW w:w="500" w:type="dxa"/>
            <w:vAlign w:val="bottom"/>
            <w:shd w:val="clear" w:color="auto" w:fill="4D4D4F"/>
          </w:tcPr>
          <w:p>
            <w:pPr>
              <w:spacing w:after="0"/>
              <w:rPr>
                <w:sz w:val="10"/>
                <w:szCs w:val="10"/>
                <w:color w:val="auto"/>
              </w:rPr>
            </w:pPr>
          </w:p>
        </w:tc>
        <w:tc>
          <w:tcPr>
            <w:tcW w:w="5240" w:type="dxa"/>
            <w:vAlign w:val="bottom"/>
            <w:vMerge w:val="continue"/>
            <w:shd w:val="clear" w:color="auto" w:fill="4D4D4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5120" w:type="dxa"/>
            <w:vAlign w:val="bottom"/>
            <w:vMerge w:val="continue"/>
            <w:shd w:val="clear" w:color="auto" w:fill="4D4D4F"/>
          </w:tcPr>
          <w:p>
            <w:pPr>
              <w:spacing w:after="0"/>
              <w:rPr>
                <w:sz w:val="13"/>
                <w:szCs w:val="13"/>
                <w:color w:val="auto"/>
              </w:rPr>
            </w:pPr>
          </w:p>
        </w:tc>
        <w:tc>
          <w:tcPr>
            <w:tcW w:w="560" w:type="dxa"/>
            <w:vAlign w:val="bottom"/>
            <w:shd w:val="clear" w:color="auto" w:fill="4D4D4F"/>
          </w:tcPr>
          <w:p>
            <w:pPr>
              <w:spacing w:after="0"/>
              <w:rPr>
                <w:sz w:val="13"/>
                <w:szCs w:val="13"/>
                <w:color w:val="auto"/>
              </w:rPr>
            </w:pPr>
          </w:p>
        </w:tc>
        <w:tc>
          <w:tcPr>
            <w:tcW w:w="500" w:type="dxa"/>
            <w:vAlign w:val="bottom"/>
            <w:shd w:val="clear" w:color="auto" w:fill="4D4D4F"/>
          </w:tcPr>
          <w:p>
            <w:pPr>
              <w:spacing w:after="0"/>
              <w:rPr>
                <w:sz w:val="13"/>
                <w:szCs w:val="13"/>
                <w:color w:val="auto"/>
              </w:rPr>
            </w:pPr>
          </w:p>
        </w:tc>
        <w:tc>
          <w:tcPr>
            <w:tcW w:w="5240" w:type="dxa"/>
            <w:vAlign w:val="bottom"/>
            <w:vMerge w:val="restart"/>
            <w:shd w:val="clear" w:color="auto" w:fill="4D4D4F"/>
          </w:tcPr>
          <w:p>
            <w:pPr>
              <w:spacing w:after="0"/>
              <w:rPr>
                <w:sz w:val="20"/>
                <w:szCs w:val="20"/>
                <w:color w:val="auto"/>
              </w:rPr>
            </w:pPr>
            <w:r>
              <w:rPr>
                <w:rFonts w:ascii="Arial" w:cs="Arial" w:eastAsia="Arial" w:hAnsi="Arial"/>
                <w:sz w:val="18"/>
                <w:szCs w:val="18"/>
                <w:color w:val="FFFFFF"/>
              </w:rPr>
              <w:t>independent auditor for 2019</w:t>
            </w:r>
          </w:p>
        </w:tc>
        <w:tc>
          <w:tcPr>
            <w:tcW w:w="0" w:type="dxa"/>
            <w:vAlign w:val="bottom"/>
          </w:tcPr>
          <w:p>
            <w:pPr>
              <w:spacing w:after="0"/>
              <w:rPr>
                <w:sz w:val="1"/>
                <w:szCs w:val="1"/>
                <w:color w:val="auto"/>
              </w:rPr>
            </w:pPr>
          </w:p>
        </w:tc>
      </w:tr>
      <w:tr>
        <w:trPr>
          <w:trHeight w:val="57"/>
        </w:trPr>
        <w:tc>
          <w:tcPr>
            <w:tcW w:w="5120" w:type="dxa"/>
            <w:vAlign w:val="bottom"/>
            <w:shd w:val="clear" w:color="auto" w:fill="4D4D4F"/>
          </w:tcPr>
          <w:p>
            <w:pPr>
              <w:spacing w:after="0"/>
              <w:rPr>
                <w:sz w:val="4"/>
                <w:szCs w:val="4"/>
                <w:color w:val="auto"/>
              </w:rPr>
            </w:pPr>
          </w:p>
        </w:tc>
        <w:tc>
          <w:tcPr>
            <w:tcW w:w="560" w:type="dxa"/>
            <w:vAlign w:val="bottom"/>
            <w:shd w:val="clear" w:color="auto" w:fill="4D4D4F"/>
          </w:tcPr>
          <w:p>
            <w:pPr>
              <w:spacing w:after="0"/>
              <w:rPr>
                <w:sz w:val="4"/>
                <w:szCs w:val="4"/>
                <w:color w:val="auto"/>
              </w:rPr>
            </w:pPr>
          </w:p>
        </w:tc>
        <w:tc>
          <w:tcPr>
            <w:tcW w:w="500" w:type="dxa"/>
            <w:vAlign w:val="bottom"/>
            <w:shd w:val="clear" w:color="auto" w:fill="4D4D4F"/>
          </w:tcPr>
          <w:p>
            <w:pPr>
              <w:spacing w:after="0"/>
              <w:rPr>
                <w:sz w:val="4"/>
                <w:szCs w:val="4"/>
                <w:color w:val="auto"/>
              </w:rPr>
            </w:pPr>
          </w:p>
        </w:tc>
        <w:tc>
          <w:tcPr>
            <w:tcW w:w="5240" w:type="dxa"/>
            <w:vAlign w:val="bottom"/>
            <w:vMerge w:val="continue"/>
            <w:shd w:val="clear" w:color="auto" w:fill="4D4D4F"/>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5120" w:type="dxa"/>
            <w:vAlign w:val="bottom"/>
            <w:shd w:val="clear" w:color="auto" w:fill="4D4D4F"/>
          </w:tcPr>
          <w:p>
            <w:pPr>
              <w:spacing w:after="0"/>
              <w:rPr>
                <w:sz w:val="10"/>
                <w:szCs w:val="10"/>
                <w:color w:val="auto"/>
              </w:rPr>
            </w:pPr>
          </w:p>
        </w:tc>
        <w:tc>
          <w:tcPr>
            <w:tcW w:w="560" w:type="dxa"/>
            <w:vAlign w:val="bottom"/>
            <w:shd w:val="clear" w:color="auto" w:fill="4D4D4F"/>
          </w:tcPr>
          <w:p>
            <w:pPr>
              <w:spacing w:after="0"/>
              <w:rPr>
                <w:sz w:val="10"/>
                <w:szCs w:val="10"/>
                <w:color w:val="auto"/>
              </w:rPr>
            </w:pPr>
          </w:p>
        </w:tc>
        <w:tc>
          <w:tcPr>
            <w:tcW w:w="500" w:type="dxa"/>
            <w:vAlign w:val="bottom"/>
            <w:shd w:val="clear" w:color="auto" w:fill="4D4D4F"/>
          </w:tcPr>
          <w:p>
            <w:pPr>
              <w:spacing w:after="0"/>
              <w:rPr>
                <w:sz w:val="10"/>
                <w:szCs w:val="10"/>
                <w:color w:val="auto"/>
              </w:rPr>
            </w:pPr>
          </w:p>
        </w:tc>
        <w:tc>
          <w:tcPr>
            <w:tcW w:w="5240" w:type="dxa"/>
            <w:vAlign w:val="bottom"/>
            <w:shd w:val="clear" w:color="auto" w:fill="4D4D4F"/>
          </w:tcPr>
          <w:p>
            <w:pPr>
              <w:spacing w:after="0"/>
              <w:rPr>
                <w:sz w:val="10"/>
                <w:szCs w:val="10"/>
                <w:color w:val="auto"/>
              </w:rPr>
            </w:pPr>
          </w:p>
        </w:tc>
        <w:tc>
          <w:tcPr>
            <w:tcW w:w="0" w:type="dxa"/>
            <w:vAlign w:val="bottom"/>
          </w:tcPr>
          <w:p>
            <w:pPr>
              <w:spacing w:after="0"/>
              <w:rPr>
                <w:sz w:val="1"/>
                <w:szCs w:val="1"/>
                <w:color w:val="auto"/>
              </w:rPr>
            </w:pPr>
          </w:p>
        </w:tc>
      </w:tr>
      <w:tr>
        <w:trPr>
          <w:trHeight w:val="425"/>
        </w:trPr>
        <w:tc>
          <w:tcPr>
            <w:tcW w:w="5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-1575435</wp:posOffset>
            </wp:positionV>
            <wp:extent cx="18173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17370" cy="17145"/>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-1532890</wp:posOffset>
            </wp:positionV>
            <wp:extent cx="52768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7685" cy="17145"/>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-984250</wp:posOffset>
            </wp:positionV>
            <wp:extent cx="316865" cy="668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6865" cy="6680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4D4D4F"/>
        </w:rPr>
        <w:drawing>
          <wp:anchor simplePos="0" relativeHeight="251657728" behindDoc="1" locked="0" layoutInCell="0" allowOverlap="1">
            <wp:simplePos x="0" y="0"/>
            <wp:positionH relativeFrom="page">
              <wp:posOffset>157480</wp:posOffset>
            </wp:positionH>
            <wp:positionV relativeFrom="page">
              <wp:posOffset>88900</wp:posOffset>
            </wp:positionV>
            <wp:extent cx="1216660" cy="7626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16660" cy="762635"/>
                    </a:xfrm>
                    <a:prstGeom prst="rect">
                      <a:avLst/>
                    </a:prstGeom>
                    <a:noFill/>
                  </pic:spPr>
                </pic:pic>
              </a:graphicData>
            </a:graphic>
          </wp:anchor>
        </w:drawing>
        <w:t>42307 Osgood Rd, Suite I</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4D4D4F"/>
        </w:rPr>
        <w:t>Fremont, California 94539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4D4D4F"/>
        </w:rPr>
        <w:t>April 30, 2019</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4D4D4F"/>
        </w:rPr>
        <w:t>Dear Fellow Stockholder:</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 xml:space="preserve">It is my pleasure to invite you to attend the Annual Meeting of Stockholders of ACM Research, Inc. to be held on June 6, 2019, at 11:00 a.m., Pacific time. This year’s Annual Meeting will again be a “virtual meeting” conducted via live audio webcast. Each holder of Class A or Class B common stock as of 5 p.m. EDST on the record date of April 24, 2019, will be able to participate in the Annual Meeting by accessing a live webcast at </w:t>
      </w:r>
      <w:r>
        <w:rPr>
          <w:rFonts w:ascii="Arial" w:cs="Arial" w:eastAsia="Arial" w:hAnsi="Arial"/>
          <w:sz w:val="18"/>
          <w:szCs w:val="18"/>
          <w:i w:val="1"/>
          <w:iCs w:val="1"/>
          <w:color w:val="4D4D4F"/>
        </w:rPr>
        <w:t>virtualshareholdermeeting.com/ACMR2019</w:t>
      </w:r>
      <w:r>
        <w:rPr>
          <w:rFonts w:ascii="Arial" w:cs="Arial" w:eastAsia="Arial" w:hAnsi="Arial"/>
          <w:sz w:val="18"/>
          <w:szCs w:val="18"/>
          <w:color w:val="4D4D4F"/>
        </w:rPr>
        <w:t xml:space="preserve"> and entering the control number included on the stockholder’s proxy card. Stockholders will also be able to vote their shares and submit questions via the Internet during the meeting by participating in the webcast.</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During the Annual Meeting, stockholders will be asked to elect the entire board of directors and to ratify the appointment of BDO China Shu Lun Pan Certified Public Accountants LLP as our independent auditor for 2019. Each of these matters is important, and we urge you to vote in favor of the election of each of the director nominees and the ratification of the appointment of our independent auditor.</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We are sending to each of our stockholders a copy of the Proxy Statement, a proxy card and the 2018 Annual Report by mail. It is important that you vote your shares of Class A and Class B common stock virtually or by proxy, regardless of the number of shares you own. You will find the instructions for voting on your proxy card. We appreciate your prompt attention.</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The board invites you to participate in the Annual Meeting so that management can listen to your suggestions, answer your questions, and discuss business developments and trends with you. Thank you for your support, and we look forward to joining you at ACM’s 2019 Annual Meeting.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4D4D4F"/>
        </w:rPr>
        <w:t>Sincerely,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4D4D4F"/>
        </w:rPr>
        <w:t>David H. Wang</w:t>
      </w:r>
    </w:p>
    <w:p>
      <w:pPr>
        <w:spacing w:after="0"/>
        <w:rPr>
          <w:sz w:val="20"/>
          <w:szCs w:val="20"/>
          <w:color w:val="auto"/>
        </w:rPr>
      </w:pPr>
      <w:r>
        <w:rPr>
          <w:rFonts w:ascii="Arial" w:cs="Arial" w:eastAsia="Arial" w:hAnsi="Arial"/>
          <w:sz w:val="18"/>
          <w:szCs w:val="18"/>
          <w:i w:val="1"/>
          <w:iCs w:val="1"/>
          <w:color w:val="4D4D4F"/>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2"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i w:val="1"/>
          <w:iCs w:val="1"/>
          <w:color w:val="4D4D4F"/>
        </w:rPr>
        <w:drawing>
          <wp:anchor simplePos="0" relativeHeight="251657728" behindDoc="1" locked="0" layoutInCell="0" allowOverlap="1">
            <wp:simplePos x="0" y="0"/>
            <wp:positionH relativeFrom="page">
              <wp:posOffset>157480</wp:posOffset>
            </wp:positionH>
            <wp:positionV relativeFrom="page">
              <wp:posOffset>88900</wp:posOffset>
            </wp:positionV>
            <wp:extent cx="1216660" cy="736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16660" cy="736600"/>
                    </a:xfrm>
                    <a:prstGeom prst="rect">
                      <a:avLst/>
                    </a:prstGeom>
                    <a:noFill/>
                  </pic:spPr>
                </pic:pic>
              </a:graphicData>
            </a:graphic>
          </wp:anchor>
        </w:drawing>
        <w:t>NOTICE OF</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4D4D4F"/>
        </w:rPr>
        <w:t>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85" w:right="239" w:bottom="1440" w:gutter="0" w:footer="0" w:header="0"/>
        </w:sect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To Stockholders of ACM Research, Inc.:</w:t>
      </w:r>
    </w:p>
    <w:p>
      <w:pPr>
        <w:spacing w:after="0" w:line="8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The board of directors is soliciting proxies for use at the ACM Research, Inc. 2019 Annual Meeting. You are receiving the enclosed proxy statement because you were a holder of Class A or Class B common stock as of 5 p.m. EDST on the record date of April 24, 2019 and therefore are entitled to vote at the Annual Meeting. You may participate in the Annual Meeting, including casting votes and submitting questions, by accessing a live webcast at:</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4D4D4F"/>
        </w:rPr>
        <w:t>virtualshareholdermeeting.com/ACMR2019</w:t>
      </w:r>
    </w:p>
    <w:p>
      <w:pPr>
        <w:spacing w:after="0" w:line="8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4D4D4F"/>
        </w:rPr>
        <w:t>and then using the 16-digit control number provided on the proxy card being delivered to the stockholder.</w:t>
      </w:r>
    </w:p>
    <w:p>
      <w:pPr>
        <w:spacing w:after="0" w:line="5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Online check-in to the Annual Meeting will begin at 10:45 a.m., Pacific time, and stockholders are encouraged to allow ample time to log in to the meeting webcast and test their computer audio system. There will be no physical location for the Annual Meeting. The Annual Meeting will be held to consider and vote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3477895" cy="4451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77895" cy="445135"/>
                    </a:xfrm>
                    <a:prstGeom prst="rect">
                      <a:avLst/>
                    </a:prstGeom>
                    <a:noFill/>
                  </pic:spPr>
                </pic:pic>
              </a:graphicData>
            </a:graphic>
          </wp:anchor>
        </w:drawing>
      </w:r>
    </w:p>
    <w:p>
      <w:pPr>
        <w:spacing w:after="0" w:line="357"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FFFFFF"/>
        </w:rPr>
        <w:t>Election of six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003E64"/>
        </w:rPr>
        <w:t>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-207645</wp:posOffset>
            </wp:positionV>
            <wp:extent cx="3477895" cy="13449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77895" cy="134493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003E64"/>
        </w:rPr>
        <w:t>June 6, 2019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003E64"/>
        </w:rPr>
        <w:t>11:00 a.m., Pacific time</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003E64"/>
        </w:rPr>
        <w:t>Where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003E64"/>
        </w:rPr>
        <w:t>Webcast only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003E64"/>
        </w:rPr>
        <w:t xml:space="preserve">Access at </w:t>
      </w:r>
      <w:r>
        <w:rPr>
          <w:rFonts w:ascii="Arial" w:cs="Arial" w:eastAsia="Arial" w:hAnsi="Arial"/>
          <w:sz w:val="18"/>
          <w:szCs w:val="18"/>
          <w:i w:val="1"/>
          <w:iCs w:val="1"/>
          <w:color w:val="003E64"/>
        </w:rPr>
        <w:t>virtualshareholdermeeting.com/ACMR2019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77470</wp:posOffset>
            </wp:positionV>
            <wp:extent cx="3477895" cy="14903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77895" cy="1490345"/>
                    </a:xfrm>
                    <a:prstGeom prst="rect">
                      <a:avLst/>
                    </a:prstGeom>
                    <a:noFill/>
                  </pic:spPr>
                </pic:pic>
              </a:graphicData>
            </a:graphic>
          </wp:anchor>
        </w:drawing>
      </w:r>
    </w:p>
    <w:p>
      <w:pPr>
        <w:spacing w:after="0" w:line="18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color w:val="FFFFFF"/>
        </w:rPr>
        <w:t>IMPORTANT NOTICE REGARDING THE AVAILABILITY OF PROXY MATERIALS FOR THE ANNUAL MEETING OF STOCKHOLDERS TO BE HELD ON JUNE 6, 2019:</w:t>
      </w:r>
    </w:p>
    <w:p>
      <w:pPr>
        <w:spacing w:after="0" w:line="222"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b w:val="1"/>
          <w:bCs w:val="1"/>
          <w:color w:val="FFFFFF"/>
        </w:rPr>
        <w:t>The Notice of 2019 Annual Meeting of Stockholders, the Proxy Statement, the 2018 Annual Report to Stockholders and instructions for voting via the Internet can be accessed at:</w:t>
      </w:r>
    </w:p>
    <w:p>
      <w:pPr>
        <w:spacing w:after="0" w:line="128" w:lineRule="exact"/>
        <w:rPr>
          <w:sz w:val="20"/>
          <w:szCs w:val="20"/>
          <w:color w:val="auto"/>
        </w:rPr>
      </w:pPr>
    </w:p>
    <w:p>
      <w:pPr>
        <w:ind w:left="2040"/>
        <w:spacing w:after="0"/>
        <w:rPr>
          <w:sz w:val="20"/>
          <w:szCs w:val="20"/>
          <w:color w:val="auto"/>
        </w:rPr>
      </w:pPr>
      <w:r>
        <w:rPr>
          <w:rFonts w:ascii="Arial" w:cs="Arial" w:eastAsia="Arial" w:hAnsi="Arial"/>
          <w:sz w:val="18"/>
          <w:szCs w:val="18"/>
          <w:b w:val="1"/>
          <w:bCs w:val="1"/>
          <w:i w:val="1"/>
          <w:iCs w:val="1"/>
          <w:color w:val="FFFFFF"/>
        </w:rPr>
        <w:t>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251460</wp:posOffset>
            </wp:positionV>
            <wp:extent cx="3486150" cy="257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86150" cy="257810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5480" w:space="540"/>
            <w:col w:w="5400"/>
          </w:cols>
          <w:pgMar w:left="240" w:top="785" w:right="239" w:bottom="1440" w:gutter="0" w:footer="0" w:header="0"/>
          <w:type w:val="continuous"/>
        </w:sectPr>
      </w:pPr>
    </w:p>
    <w:p>
      <w:pPr>
        <w:spacing w:after="0" w:line="200" w:lineRule="exact"/>
        <w:rPr>
          <w:sz w:val="20"/>
          <w:szCs w:val="20"/>
          <w:color w:val="auto"/>
        </w:rPr>
      </w:pPr>
    </w:p>
    <w:p>
      <w:pPr>
        <w:spacing w:after="0" w:line="333"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FFFFFF"/>
        </w:rPr>
        <w:t>Ratification of appointment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3477895" cy="4711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77895" cy="471170"/>
                    </a:xfrm>
                    <a:prstGeom prst="rect">
                      <a:avLst/>
                    </a:prstGeom>
                    <a:noFill/>
                  </pic:spPr>
                </pic:pic>
              </a:graphicData>
            </a:graphic>
          </wp:anchor>
        </w:drawing>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FFFFFF"/>
        </w:rPr>
        <w:t>independent auditor for 2019</w:t>
      </w:r>
    </w:p>
    <w:p>
      <w:pPr>
        <w:spacing w:after="0" w:line="200" w:lineRule="exact"/>
        <w:rPr>
          <w:sz w:val="20"/>
          <w:szCs w:val="20"/>
          <w:color w:val="auto"/>
        </w:rPr>
      </w:pPr>
    </w:p>
    <w:p>
      <w:pPr>
        <w:spacing w:after="0" w:line="30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In addition, any other business properly presented may be acted upon at the Annual Meeting. Each share of Class A common stock is entitled to one vote, and each share of Class B common stock is entitled to twenty votes, for each director position and other proposal.</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We are mailing to stockholders, commencing on or about April 30, 2019, a copy of the Proxy Statement, a proxy card and the 2018 Annual Report to Stockholders by mail.</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4D4D4F"/>
        </w:rPr>
        <w:t>By Order of the Board,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4D4D4F"/>
        </w:rPr>
        <w:t>Robert Arthur</w:t>
      </w:r>
    </w:p>
    <w:p>
      <w:pPr>
        <w:spacing w:after="0"/>
        <w:tabs>
          <w:tab w:leader="none" w:pos="4360" w:val="left"/>
        </w:tabs>
        <w:rPr>
          <w:sz w:val="20"/>
          <w:szCs w:val="20"/>
          <w:color w:val="auto"/>
        </w:rPr>
      </w:pPr>
      <w:r>
        <w:rPr>
          <w:rFonts w:ascii="Arial" w:cs="Arial" w:eastAsia="Arial" w:hAnsi="Arial"/>
          <w:sz w:val="17"/>
          <w:szCs w:val="17"/>
          <w:color w:val="4D4D4F"/>
        </w:rPr>
        <w:t>Secretary</w:t>
      </w:r>
      <w:r>
        <w:rPr>
          <w:sz w:val="20"/>
          <w:szCs w:val="20"/>
          <w:color w:val="auto"/>
        </w:rPr>
        <w:tab/>
      </w:r>
      <w:r>
        <w:rPr>
          <w:rFonts w:ascii="Arial" w:cs="Arial" w:eastAsia="Arial" w:hAnsi="Arial"/>
          <w:sz w:val="17"/>
          <w:szCs w:val="17"/>
          <w:color w:val="4D4D4F"/>
        </w:rPr>
        <w:t>April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How to Vote in Advance</w:t>
      </w:r>
    </w:p>
    <w:p>
      <w:pPr>
        <w:spacing w:after="0" w:line="75" w:lineRule="exact"/>
        <w:rPr>
          <w:sz w:val="20"/>
          <w:szCs w:val="20"/>
          <w:color w:val="auto"/>
        </w:rPr>
      </w:pPr>
    </w:p>
    <w:p>
      <w:pPr>
        <w:jc w:val="both"/>
        <w:ind w:right="920"/>
        <w:spacing w:after="0"/>
        <w:rPr>
          <w:sz w:val="20"/>
          <w:szCs w:val="20"/>
          <w:color w:val="auto"/>
        </w:rPr>
      </w:pPr>
      <w:r>
        <w:rPr>
          <w:rFonts w:ascii="Arial" w:cs="Arial" w:eastAsia="Arial" w:hAnsi="Arial"/>
          <w:sz w:val="18"/>
          <w:szCs w:val="18"/>
          <w:color w:val="FFFFFF"/>
        </w:rPr>
        <w:t>Your vote is important. Please vote as soon as possible by one of the methods shown below. Your proxy card or voting instruction form should be readily available.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FFFFFF"/>
        </w:rPr>
        <w:t>Via Internet (Any Web-Enabled Device)</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3E64"/>
        </w:rPr>
        <w:t xml:space="preserve">Vote online at </w:t>
      </w:r>
      <w:r>
        <w:rPr>
          <w:rFonts w:ascii="Arial" w:cs="Arial" w:eastAsia="Arial" w:hAnsi="Arial"/>
          <w:sz w:val="16"/>
          <w:szCs w:val="16"/>
          <w:b w:val="1"/>
          <w:bCs w:val="1"/>
          <w:i w:val="1"/>
          <w:iCs w:val="1"/>
          <w:color w:val="003E64"/>
        </w:rPr>
        <w:t>proxyvote.com</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i w:val="1"/>
          <w:iCs w:val="1"/>
          <w:color w:val="FFFFFF"/>
        </w:rPr>
        <w:t>By Telephone (U.S. or Canada only)</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3E64"/>
        </w:rPr>
        <w:t>Vote toll-free by calling +1.800.690.6903</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i w:val="1"/>
          <w:iCs w:val="1"/>
          <w:color w:val="FFFFFF"/>
        </w:rPr>
        <w:t>By Mail (Pur</w:t>
      </w:r>
      <w:r>
        <w:rPr>
          <w:rFonts w:ascii="Arial" w:cs="Arial" w:eastAsia="Arial" w:hAnsi="Arial"/>
          <w:sz w:val="18"/>
          <w:szCs w:val="18"/>
          <w:color w:val="FFFFFF"/>
        </w:rPr>
        <w:t>s</w:t>
      </w:r>
      <w:r>
        <w:rPr>
          <w:rFonts w:ascii="Arial" w:cs="Arial" w:eastAsia="Arial" w:hAnsi="Arial"/>
          <w:sz w:val="18"/>
          <w:szCs w:val="18"/>
          <w:i w:val="1"/>
          <w:iCs w:val="1"/>
          <w:color w:val="FFFFFF"/>
        </w:rPr>
        <w:t>uant to Printed Materials)</w:t>
      </w:r>
    </w:p>
    <w:p>
      <w:pPr>
        <w:spacing w:after="0" w:line="77" w:lineRule="exact"/>
        <w:rPr>
          <w:sz w:val="20"/>
          <w:szCs w:val="20"/>
          <w:color w:val="auto"/>
        </w:rPr>
      </w:pPr>
    </w:p>
    <w:p>
      <w:pPr>
        <w:ind w:left="40" w:right="2080"/>
        <w:spacing w:after="0" w:line="286" w:lineRule="auto"/>
        <w:rPr>
          <w:sz w:val="20"/>
          <w:szCs w:val="20"/>
          <w:color w:val="auto"/>
        </w:rPr>
      </w:pPr>
      <w:r>
        <w:rPr>
          <w:rFonts w:ascii="Arial" w:cs="Arial" w:eastAsia="Arial" w:hAnsi="Arial"/>
          <w:sz w:val="16"/>
          <w:szCs w:val="16"/>
          <w:b w:val="1"/>
          <w:bCs w:val="1"/>
          <w:color w:val="003E64"/>
        </w:rPr>
        <w:t>Vote by mailing a signed, completed proxy card in the pre-addressed envelope</w:t>
      </w:r>
    </w:p>
    <w:p>
      <w:pPr>
        <w:sectPr>
          <w:pgSz w:w="11900" w:h="16838" w:orient="portrait"/>
          <w:cols w:equalWidth="0" w:num="2">
            <w:col w:w="5480" w:space="540"/>
            <w:col w:w="5400"/>
          </w:cols>
          <w:pgMar w:left="240" w:top="785" w:right="23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22"/>
          <w:szCs w:val="22"/>
          <w:b w:val="1"/>
          <w:bCs w:val="1"/>
          <w:color w:val="4D4D4F"/>
        </w:rPr>
        <w:drawing>
          <wp:anchor simplePos="0" relativeHeight="251657728" behindDoc="1" locked="0" layoutInCell="0" allowOverlap="1">
            <wp:simplePos x="0" y="0"/>
            <wp:positionH relativeFrom="page">
              <wp:posOffset>157480</wp:posOffset>
            </wp:positionH>
            <wp:positionV relativeFrom="page">
              <wp:posOffset>88900</wp:posOffset>
            </wp:positionV>
            <wp:extent cx="1216660" cy="7626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216660" cy="762635"/>
                    </a:xfrm>
                    <a:prstGeom prst="rect">
                      <a:avLst/>
                    </a:prstGeom>
                    <a:noFill/>
                  </pic:spPr>
                </pic:pic>
              </a:graphicData>
            </a:graphic>
          </wp:anchor>
        </w:drawing>
        <w:t>42307 Osgood Rd, Suite I</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4D4D4F"/>
        </w:rPr>
        <w:t>Fremont, California 94539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500"/>
        <w:spacing w:after="0"/>
        <w:rPr>
          <w:sz w:val="20"/>
          <w:szCs w:val="20"/>
          <w:color w:val="auto"/>
        </w:rPr>
      </w:pPr>
      <w:r>
        <w:rPr>
          <w:rFonts w:ascii="Arial" w:cs="Arial" w:eastAsia="Arial" w:hAnsi="Arial"/>
          <w:sz w:val="25"/>
          <w:szCs w:val="25"/>
          <w:b w:val="1"/>
          <w:bCs w:val="1"/>
          <w:color w:val="003E64"/>
        </w:rPr>
        <w:t>Proxy Statement dated April 30, 2019</w:t>
      </w:r>
    </w:p>
    <w:p>
      <w:pPr>
        <w:spacing w:after="0" w:line="117" w:lineRule="exact"/>
        <w:rPr>
          <w:sz w:val="20"/>
          <w:szCs w:val="20"/>
          <w:color w:val="auto"/>
        </w:rPr>
      </w:pPr>
    </w:p>
    <w:p>
      <w:pPr>
        <w:ind w:left="3480"/>
        <w:spacing w:after="0"/>
        <w:rPr>
          <w:sz w:val="20"/>
          <w:szCs w:val="20"/>
          <w:color w:val="auto"/>
        </w:rPr>
      </w:pPr>
      <w:r>
        <w:rPr>
          <w:rFonts w:ascii="Arial" w:cs="Arial" w:eastAsia="Arial" w:hAnsi="Arial"/>
          <w:sz w:val="25"/>
          <w:szCs w:val="25"/>
          <w:b w:val="1"/>
          <w:bCs w:val="1"/>
          <w:color w:val="003E64"/>
        </w:rPr>
        <w:t>2019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4D4D4F"/>
        </w:rPr>
        <w:t>ACM Research, Inc., a Delaware corporation, is furnishing this Proxy Statement and related proxy materials in connection with the solicitation by its board of directors of proxies to be voted at its 2019 Annual Meeting of Stockholders and any adjournments. ACM Research, Inc. is providing these materials to the holders of record of its Class A common stock, $0.0001 par value per share, and Class B common stock, $0.0001 par value per share, as of 5 p.m., Eastern time, on the record date of April 24, 2019 and is first mailing the materials on or about April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3E64"/>
        </w:rPr>
        <w:t>The Annual Meeting is scheduled to be held exclusively by webcast as follows:</w:t>
      </w:r>
    </w:p>
    <w:p>
      <w:pPr>
        <w:spacing w:after="0" w:line="233" w:lineRule="exact"/>
        <w:rPr>
          <w:sz w:val="20"/>
          <w:szCs w:val="20"/>
          <w:color w:val="auto"/>
        </w:rPr>
      </w:pPr>
    </w:p>
    <w:p>
      <w:pPr>
        <w:ind w:left="2020"/>
        <w:spacing w:after="0"/>
        <w:tabs>
          <w:tab w:leader="none" w:pos="4980" w:val="left"/>
        </w:tabs>
        <w:rPr>
          <w:sz w:val="20"/>
          <w:szCs w:val="20"/>
          <w:color w:val="auto"/>
        </w:rPr>
      </w:pPr>
      <w:r>
        <w:rPr>
          <w:rFonts w:ascii="Arial" w:cs="Arial" w:eastAsia="Arial" w:hAnsi="Arial"/>
          <w:sz w:val="22"/>
          <w:szCs w:val="22"/>
          <w:b w:val="1"/>
          <w:bCs w:val="1"/>
          <w:color w:val="003E64"/>
        </w:rPr>
        <w:t>Date</w:t>
      </w:r>
      <w:r>
        <w:rPr>
          <w:sz w:val="20"/>
          <w:szCs w:val="20"/>
          <w:color w:val="auto"/>
        </w:rPr>
        <w:tab/>
      </w:r>
      <w:r>
        <w:rPr>
          <w:rFonts w:ascii="Arial" w:cs="Arial" w:eastAsia="Arial" w:hAnsi="Arial"/>
          <w:sz w:val="22"/>
          <w:szCs w:val="22"/>
          <w:b w:val="1"/>
          <w:bCs w:val="1"/>
          <w:color w:val="0079C0"/>
        </w:rPr>
        <w:t>June 6, 2019</w:t>
      </w:r>
    </w:p>
    <w:p>
      <w:pPr>
        <w:spacing w:after="0" w:line="179" w:lineRule="exact"/>
        <w:rPr>
          <w:sz w:val="20"/>
          <w:szCs w:val="20"/>
          <w:color w:val="auto"/>
        </w:rPr>
      </w:pPr>
    </w:p>
    <w:p>
      <w:pPr>
        <w:ind w:left="2020"/>
        <w:spacing w:after="0"/>
        <w:tabs>
          <w:tab w:leader="none" w:pos="4980" w:val="left"/>
        </w:tabs>
        <w:rPr>
          <w:sz w:val="20"/>
          <w:szCs w:val="20"/>
          <w:color w:val="auto"/>
        </w:rPr>
      </w:pPr>
      <w:r>
        <w:rPr>
          <w:rFonts w:ascii="Arial" w:cs="Arial" w:eastAsia="Arial" w:hAnsi="Arial"/>
          <w:sz w:val="22"/>
          <w:szCs w:val="22"/>
          <w:b w:val="1"/>
          <w:bCs w:val="1"/>
          <w:color w:val="003E64"/>
        </w:rPr>
        <w:t>Time</w:t>
      </w:r>
      <w:r>
        <w:rPr>
          <w:sz w:val="20"/>
          <w:szCs w:val="20"/>
          <w:color w:val="auto"/>
        </w:rPr>
        <w:tab/>
      </w:r>
      <w:r>
        <w:rPr>
          <w:rFonts w:ascii="Arial" w:cs="Arial" w:eastAsia="Arial" w:hAnsi="Arial"/>
          <w:sz w:val="22"/>
          <w:szCs w:val="22"/>
          <w:b w:val="1"/>
          <w:bCs w:val="1"/>
          <w:color w:val="0079C0"/>
        </w:rPr>
        <w:t>11:00 a.m., Pacific time</w:t>
      </w:r>
    </w:p>
    <w:p>
      <w:pPr>
        <w:spacing w:after="0" w:line="179" w:lineRule="exact"/>
        <w:rPr>
          <w:sz w:val="20"/>
          <w:szCs w:val="20"/>
          <w:color w:val="auto"/>
        </w:rPr>
      </w:pPr>
    </w:p>
    <w:p>
      <w:pPr>
        <w:ind w:left="2020"/>
        <w:spacing w:after="0"/>
        <w:tabs>
          <w:tab w:leader="none" w:pos="4980" w:val="left"/>
        </w:tabs>
        <w:rPr>
          <w:sz w:val="20"/>
          <w:szCs w:val="20"/>
          <w:color w:val="auto"/>
        </w:rPr>
      </w:pPr>
      <w:r>
        <w:rPr>
          <w:rFonts w:ascii="Arial" w:cs="Arial" w:eastAsia="Arial" w:hAnsi="Arial"/>
          <w:sz w:val="22"/>
          <w:szCs w:val="22"/>
          <w:b w:val="1"/>
          <w:bCs w:val="1"/>
          <w:color w:val="003E64"/>
        </w:rPr>
        <w:t>Meeting Webcast Address</w:t>
      </w:r>
      <w:r>
        <w:rPr>
          <w:sz w:val="20"/>
          <w:szCs w:val="20"/>
          <w:color w:val="auto"/>
        </w:rPr>
        <w:tab/>
      </w:r>
      <w:r>
        <w:rPr>
          <w:rFonts w:ascii="Arial" w:cs="Arial" w:eastAsia="Arial" w:hAnsi="Arial"/>
          <w:sz w:val="21"/>
          <w:szCs w:val="21"/>
          <w:b w:val="1"/>
          <w:bCs w:val="1"/>
          <w:i w:val="1"/>
          <w:iCs w:val="1"/>
          <w:color w:val="0079C0"/>
        </w:rPr>
        <w:t>virtualshareholdermeeting.com/ACMR2019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D4D4F"/>
        </w:rPr>
        <w:t>Your vote is important.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color w:val="4D4D4F"/>
        </w:rPr>
        <w:t>Please see the detailed information that follows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336"/>
        </w:trPr>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gridSpan w:val="3"/>
          </w:tcPr>
          <w:p>
            <w:pPr>
              <w:ind w:left="100"/>
              <w:spacing w:after="0"/>
              <w:rPr>
                <w:sz w:val="20"/>
                <w:szCs w:val="20"/>
                <w:color w:val="auto"/>
              </w:rPr>
            </w:pPr>
            <w:r>
              <w:rPr>
                <w:rFonts w:ascii="Arial" w:cs="Arial" w:eastAsia="Arial" w:hAnsi="Arial"/>
                <w:sz w:val="25"/>
                <w:szCs w:val="25"/>
                <w:b w:val="1"/>
                <w:bCs w:val="1"/>
                <w:color w:val="003E64"/>
              </w:rPr>
              <w:t>Contents</w:t>
            </w:r>
          </w:p>
        </w:tc>
        <w:tc>
          <w:tcPr>
            <w:tcW w:w="2800" w:type="dxa"/>
            <w:vAlign w:val="bottom"/>
          </w:tcPr>
          <w:p>
            <w:pPr>
              <w:spacing w:after="0"/>
              <w:rPr>
                <w:sz w:val="24"/>
                <w:szCs w:val="24"/>
                <w:color w:val="auto"/>
              </w:rPr>
            </w:pPr>
          </w:p>
        </w:tc>
      </w:tr>
      <w:tr>
        <w:trPr>
          <w:trHeight w:val="544"/>
        </w:trPr>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4D4D4F"/>
              </w:rPr>
              <w:t>Page</w:t>
            </w:r>
          </w:p>
        </w:tc>
      </w:tr>
      <w:tr>
        <w:trPr>
          <w:trHeight w:val="176"/>
        </w:trPr>
        <w:tc>
          <w:tcPr>
            <w:tcW w:w="1740" w:type="dxa"/>
            <w:vAlign w:val="bottom"/>
            <w:tcBorders>
              <w:bottom w:val="single" w:sz="8" w:color="0000EE"/>
            </w:tcBorders>
            <w:gridSpan w:val="6"/>
          </w:tcPr>
          <w:p>
            <w:pPr>
              <w:spacing w:after="0" w:line="17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2019 Proxy Summary</w:t>
              </w:r>
            </w:hyperlink>
          </w:p>
        </w:tc>
        <w:tc>
          <w:tcPr>
            <w:tcW w:w="6880" w:type="dxa"/>
            <w:vAlign w:val="bottom"/>
            <w:gridSpan w:val="33"/>
          </w:tcPr>
          <w:p>
            <w:pPr>
              <w:spacing w:after="0"/>
              <w:rPr>
                <w:sz w:val="15"/>
                <w:szCs w:val="15"/>
                <w:color w:val="auto"/>
              </w:rPr>
            </w:pPr>
          </w:p>
        </w:tc>
        <w:tc>
          <w:tcPr>
            <w:tcW w:w="2800" w:type="dxa"/>
            <w:vAlign w:val="bottom"/>
          </w:tcPr>
          <w:p>
            <w:pPr>
              <w:jc w:val="right"/>
              <w:spacing w:after="0" w:line="176" w:lineRule="exact"/>
              <w:rPr>
                <w:sz w:val="20"/>
                <w:szCs w:val="20"/>
                <w:color w:val="auto"/>
              </w:rPr>
            </w:pPr>
            <w:r>
              <w:rPr>
                <w:rFonts w:ascii="Arial" w:cs="Arial" w:eastAsia="Arial" w:hAnsi="Arial"/>
                <w:sz w:val="18"/>
                <w:szCs w:val="18"/>
                <w:color w:val="4D4D4F"/>
              </w:rPr>
              <w:t>1</w:t>
            </w:r>
          </w:p>
        </w:tc>
      </w:tr>
      <w:tr>
        <w:trPr>
          <w:trHeight w:val="182"/>
        </w:trPr>
        <w:tc>
          <w:tcPr>
            <w:tcW w:w="8620" w:type="dxa"/>
            <w:vAlign w:val="bottom"/>
            <w:gridSpan w:val="39"/>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Questions and Answers about the Annual Meeting</w:t>
              </w:r>
            </w:hyperlink>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5</w:t>
            </w:r>
          </w:p>
        </w:tc>
      </w:tr>
      <w:tr>
        <w:trPr>
          <w:trHeight w:val="182"/>
        </w:trPr>
        <w:tc>
          <w:tcPr>
            <w:tcW w:w="400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Vote Required for Election or Approval</w:t>
              </w:r>
            </w:hyperlink>
          </w:p>
        </w:tc>
        <w:tc>
          <w:tcPr>
            <w:tcW w:w="4620" w:type="dxa"/>
            <w:vAlign w:val="bottom"/>
            <w:gridSpan w:val="13"/>
          </w:tcPr>
          <w:p>
            <w:pPr>
              <w:spacing w:after="0"/>
              <w:rPr>
                <w:sz w:val="15"/>
                <w:szCs w:val="15"/>
                <w:color w:val="auto"/>
              </w:rPr>
            </w:pPr>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10</w:t>
            </w:r>
          </w:p>
        </w:tc>
      </w:tr>
      <w:tr>
        <w:trPr>
          <w:trHeight w:val="182"/>
        </w:trPr>
        <w:tc>
          <w:tcPr>
            <w:tcW w:w="184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w:anchor="page17">
              <w:r>
                <w:rPr>
                  <w:rFonts w:ascii="Arial" w:cs="Arial" w:eastAsia="Arial" w:hAnsi="Arial"/>
                  <w:sz w:val="18"/>
                  <w:szCs w:val="18"/>
                  <w:color w:val="0000EE"/>
                  <w:w w:val="99"/>
                </w:rPr>
                <w:t>Corporate Governance</w:t>
              </w:r>
            </w:hyperlink>
          </w:p>
        </w:tc>
        <w:tc>
          <w:tcPr>
            <w:tcW w:w="1220" w:type="dxa"/>
            <w:vAlign w:val="bottom"/>
            <w:tcBorders>
              <w:top w:val="single" w:sz="8" w:color="0000EE"/>
            </w:tcBorders>
            <w:gridSpan w:val="12"/>
          </w:tcPr>
          <w:p>
            <w:pPr>
              <w:spacing w:after="0"/>
              <w:rPr>
                <w:sz w:val="15"/>
                <w:szCs w:val="15"/>
                <w:color w:val="auto"/>
              </w:rPr>
            </w:pPr>
          </w:p>
        </w:tc>
        <w:tc>
          <w:tcPr>
            <w:tcW w:w="5560" w:type="dxa"/>
            <w:vAlign w:val="bottom"/>
            <w:gridSpan w:val="20"/>
          </w:tcPr>
          <w:p>
            <w:pPr>
              <w:spacing w:after="0"/>
              <w:rPr>
                <w:sz w:val="15"/>
                <w:szCs w:val="15"/>
                <w:color w:val="auto"/>
              </w:rPr>
            </w:pPr>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11</w:t>
            </w:r>
          </w:p>
        </w:tc>
      </w:tr>
      <w:tr>
        <w:trPr>
          <w:trHeight w:val="182"/>
        </w:trPr>
        <w:tc>
          <w:tcPr>
            <w:tcW w:w="340" w:type="dxa"/>
            <w:vAlign w:val="bottom"/>
          </w:tcPr>
          <w:p>
            <w:pPr>
              <w:spacing w:after="0"/>
              <w:rPr>
                <w:sz w:val="15"/>
                <w:szCs w:val="15"/>
                <w:color w:val="auto"/>
              </w:rPr>
            </w:pPr>
          </w:p>
        </w:tc>
        <w:tc>
          <w:tcPr>
            <w:tcW w:w="2240" w:type="dxa"/>
            <w:vAlign w:val="bottom"/>
            <w:tcBorders>
              <w:bottom w:val="single" w:sz="8" w:color="0000EE"/>
            </w:tcBorders>
            <w:gridSpan w:val="15"/>
          </w:tcPr>
          <w:p>
            <w:pPr>
              <w:spacing w:after="0" w:line="182" w:lineRule="exact"/>
              <w:rPr>
                <w:rFonts w:ascii="Arial" w:cs="Arial" w:eastAsia="Arial" w:hAnsi="Arial"/>
                <w:sz w:val="18"/>
                <w:szCs w:val="18"/>
                <w:color w:val="0000EE"/>
                <w:w w:val="98"/>
              </w:rPr>
            </w:pPr>
            <w:hyperlink w:anchor="page17">
              <w:r>
                <w:rPr>
                  <w:rFonts w:ascii="Arial" w:cs="Arial" w:eastAsia="Arial" w:hAnsi="Arial"/>
                  <w:sz w:val="18"/>
                  <w:szCs w:val="18"/>
                  <w:color w:val="0000EE"/>
                  <w:w w:val="98"/>
                </w:rPr>
                <w:t>Board of Directors Overview</w:t>
              </w:r>
            </w:hyperlink>
          </w:p>
        </w:tc>
        <w:tc>
          <w:tcPr>
            <w:tcW w:w="6040" w:type="dxa"/>
            <w:vAlign w:val="bottom"/>
            <w:gridSpan w:val="23"/>
          </w:tcPr>
          <w:p>
            <w:pPr>
              <w:spacing w:after="0"/>
              <w:rPr>
                <w:sz w:val="15"/>
                <w:szCs w:val="15"/>
                <w:color w:val="auto"/>
              </w:rPr>
            </w:pPr>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11</w:t>
            </w:r>
          </w:p>
        </w:tc>
      </w:tr>
      <w:tr>
        <w:trPr>
          <w:trHeight w:val="182"/>
        </w:trPr>
        <w:tc>
          <w:tcPr>
            <w:tcW w:w="340" w:type="dxa"/>
            <w:vAlign w:val="bottom"/>
          </w:tcPr>
          <w:p>
            <w:pPr>
              <w:spacing w:after="0"/>
              <w:rPr>
                <w:sz w:val="15"/>
                <w:szCs w:val="15"/>
                <w:color w:val="auto"/>
              </w:rPr>
            </w:pPr>
          </w:p>
        </w:tc>
        <w:tc>
          <w:tcPr>
            <w:tcW w:w="8280" w:type="dxa"/>
            <w:vAlign w:val="bottom"/>
            <w:gridSpan w:val="38"/>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Independence of Directors</w:t>
              </w:r>
            </w:hyperlink>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12</w:t>
            </w:r>
          </w:p>
        </w:tc>
      </w:tr>
      <w:tr>
        <w:trPr>
          <w:trHeight w:val="20"/>
        </w:trPr>
        <w:tc>
          <w:tcPr>
            <w:tcW w:w="3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216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18">
              <w:r>
                <w:rPr>
                  <w:rFonts w:ascii="Arial" w:cs="Arial" w:eastAsia="Arial" w:hAnsi="Arial"/>
                  <w:sz w:val="18"/>
                  <w:szCs w:val="18"/>
                  <w:color w:val="0000EE"/>
                  <w:w w:val="99"/>
                </w:rPr>
                <w:t>Director Nomination Rights</w:t>
              </w:r>
            </w:hyperlink>
          </w:p>
        </w:tc>
        <w:tc>
          <w:tcPr>
            <w:tcW w:w="6120" w:type="dxa"/>
            <w:vAlign w:val="bottom"/>
            <w:gridSpan w:val="25"/>
          </w:tcPr>
          <w:p>
            <w:pPr>
              <w:spacing w:after="0"/>
              <w:rPr>
                <w:sz w:val="15"/>
                <w:szCs w:val="15"/>
                <w:color w:val="auto"/>
              </w:rPr>
            </w:pPr>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12</w:t>
            </w:r>
          </w:p>
        </w:tc>
      </w:tr>
      <w:tr>
        <w:trPr>
          <w:trHeight w:val="182"/>
        </w:trPr>
        <w:tc>
          <w:tcPr>
            <w:tcW w:w="340" w:type="dxa"/>
            <w:vAlign w:val="bottom"/>
          </w:tcPr>
          <w:p>
            <w:pPr>
              <w:spacing w:after="0"/>
              <w:rPr>
                <w:sz w:val="15"/>
                <w:szCs w:val="15"/>
                <w:color w:val="auto"/>
              </w:rPr>
            </w:pPr>
          </w:p>
        </w:tc>
        <w:tc>
          <w:tcPr>
            <w:tcW w:w="214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Code of Business Conduct</w:t>
              </w:r>
            </w:hyperlink>
          </w:p>
        </w:tc>
        <w:tc>
          <w:tcPr>
            <w:tcW w:w="6140" w:type="dxa"/>
            <w:vAlign w:val="bottom"/>
            <w:gridSpan w:val="26"/>
          </w:tcPr>
          <w:p>
            <w:pPr>
              <w:spacing w:after="0"/>
              <w:rPr>
                <w:sz w:val="15"/>
                <w:szCs w:val="15"/>
                <w:color w:val="auto"/>
              </w:rPr>
            </w:pPr>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13</w:t>
            </w:r>
          </w:p>
        </w:tc>
      </w:tr>
      <w:tr>
        <w:trPr>
          <w:trHeight w:val="182"/>
        </w:trPr>
        <w:tc>
          <w:tcPr>
            <w:tcW w:w="340" w:type="dxa"/>
            <w:vAlign w:val="bottom"/>
          </w:tcPr>
          <w:p>
            <w:pPr>
              <w:spacing w:after="0"/>
              <w:rPr>
                <w:sz w:val="15"/>
                <w:szCs w:val="15"/>
                <w:color w:val="auto"/>
              </w:rPr>
            </w:pPr>
          </w:p>
        </w:tc>
        <w:tc>
          <w:tcPr>
            <w:tcW w:w="1900" w:type="dxa"/>
            <w:vAlign w:val="bottom"/>
            <w:tcBorders>
              <w:bottom w:val="single" w:sz="8" w:color="0000EE"/>
            </w:tcBorders>
            <w:gridSpan w:val="9"/>
          </w:tcPr>
          <w:p>
            <w:pPr>
              <w:spacing w:after="0" w:line="182" w:lineRule="exact"/>
              <w:rPr>
                <w:rFonts w:ascii="Arial" w:cs="Arial" w:eastAsia="Arial" w:hAnsi="Arial"/>
                <w:sz w:val="18"/>
                <w:szCs w:val="18"/>
                <w:color w:val="0000EE"/>
                <w:w w:val="98"/>
              </w:rPr>
            </w:pPr>
            <w:hyperlink w:anchor="page19">
              <w:r>
                <w:rPr>
                  <w:rFonts w:ascii="Arial" w:cs="Arial" w:eastAsia="Arial" w:hAnsi="Arial"/>
                  <w:sz w:val="18"/>
                  <w:szCs w:val="18"/>
                  <w:color w:val="0000EE"/>
                  <w:w w:val="98"/>
                </w:rPr>
                <w:t>Board Oversight of Risk</w:t>
              </w:r>
            </w:hyperlink>
          </w:p>
        </w:tc>
        <w:tc>
          <w:tcPr>
            <w:tcW w:w="6380" w:type="dxa"/>
            <w:vAlign w:val="bottom"/>
            <w:gridSpan w:val="29"/>
          </w:tcPr>
          <w:p>
            <w:pPr>
              <w:spacing w:after="0"/>
              <w:rPr>
                <w:sz w:val="15"/>
                <w:szCs w:val="15"/>
                <w:color w:val="auto"/>
              </w:rPr>
            </w:pPr>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13</w:t>
            </w:r>
          </w:p>
        </w:tc>
      </w:tr>
      <w:tr>
        <w:trPr>
          <w:trHeight w:val="182"/>
        </w:trPr>
        <w:tc>
          <w:tcPr>
            <w:tcW w:w="340" w:type="dxa"/>
            <w:vAlign w:val="bottom"/>
          </w:tcPr>
          <w:p>
            <w:pPr>
              <w:spacing w:after="0"/>
              <w:rPr>
                <w:sz w:val="15"/>
                <w:szCs w:val="15"/>
                <w:color w:val="auto"/>
              </w:rPr>
            </w:pPr>
          </w:p>
        </w:tc>
        <w:tc>
          <w:tcPr>
            <w:tcW w:w="220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20">
              <w:r>
                <w:rPr>
                  <w:rFonts w:ascii="Arial" w:cs="Arial" w:eastAsia="Arial" w:hAnsi="Arial"/>
                  <w:sz w:val="18"/>
                  <w:szCs w:val="18"/>
                  <w:color w:val="0000EE"/>
                  <w:w w:val="99"/>
                </w:rPr>
                <w:t>Board Leadership Structure</w:t>
              </w:r>
            </w:hyperlink>
          </w:p>
        </w:tc>
        <w:tc>
          <w:tcPr>
            <w:tcW w:w="6080" w:type="dxa"/>
            <w:vAlign w:val="bottom"/>
            <w:gridSpan w:val="24"/>
          </w:tcPr>
          <w:p>
            <w:pPr>
              <w:spacing w:after="0"/>
              <w:rPr>
                <w:sz w:val="15"/>
                <w:szCs w:val="15"/>
                <w:color w:val="auto"/>
              </w:rPr>
            </w:pPr>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14</w:t>
            </w:r>
          </w:p>
        </w:tc>
      </w:tr>
      <w:tr>
        <w:trPr>
          <w:trHeight w:val="182"/>
        </w:trPr>
        <w:tc>
          <w:tcPr>
            <w:tcW w:w="340" w:type="dxa"/>
            <w:vAlign w:val="bottom"/>
          </w:tcPr>
          <w:p>
            <w:pPr>
              <w:spacing w:after="0"/>
              <w:rPr>
                <w:sz w:val="15"/>
                <w:szCs w:val="15"/>
                <w:color w:val="auto"/>
              </w:rPr>
            </w:pPr>
          </w:p>
        </w:tc>
        <w:tc>
          <w:tcPr>
            <w:tcW w:w="8280" w:type="dxa"/>
            <w:vAlign w:val="bottom"/>
            <w:gridSpan w:val="38"/>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Audit Committee</w:t>
              </w:r>
            </w:hyperlink>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14</w:t>
            </w:r>
          </w:p>
        </w:tc>
      </w:tr>
      <w:tr>
        <w:trPr>
          <w:trHeight w:val="20"/>
        </w:trPr>
        <w:tc>
          <w:tcPr>
            <w:tcW w:w="3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320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Nominating and Governance Committee</w:t>
              </w:r>
            </w:hyperlink>
          </w:p>
        </w:tc>
        <w:tc>
          <w:tcPr>
            <w:tcW w:w="5080" w:type="dxa"/>
            <w:vAlign w:val="bottom"/>
            <w:gridSpan w:val="16"/>
          </w:tcPr>
          <w:p>
            <w:pPr>
              <w:spacing w:after="0"/>
              <w:rPr>
                <w:sz w:val="15"/>
                <w:szCs w:val="15"/>
                <w:color w:val="auto"/>
              </w:rPr>
            </w:pPr>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15</w:t>
            </w:r>
          </w:p>
        </w:tc>
      </w:tr>
      <w:tr>
        <w:trPr>
          <w:trHeight w:val="182"/>
        </w:trPr>
        <w:tc>
          <w:tcPr>
            <w:tcW w:w="340" w:type="dxa"/>
            <w:vAlign w:val="bottom"/>
          </w:tcPr>
          <w:p>
            <w:pPr>
              <w:spacing w:after="0"/>
              <w:rPr>
                <w:sz w:val="15"/>
                <w:szCs w:val="15"/>
                <w:color w:val="auto"/>
              </w:rPr>
            </w:pPr>
          </w:p>
        </w:tc>
        <w:tc>
          <w:tcPr>
            <w:tcW w:w="2100" w:type="dxa"/>
            <w:vAlign w:val="bottom"/>
            <w:tcBorders>
              <w:bottom w:val="single" w:sz="8" w:color="0000EE"/>
            </w:tcBorders>
            <w:gridSpan w:val="10"/>
          </w:tcPr>
          <w:p>
            <w:pPr>
              <w:spacing w:after="0" w:line="182" w:lineRule="exact"/>
              <w:rPr>
                <w:rFonts w:ascii="Arial" w:cs="Arial" w:eastAsia="Arial" w:hAnsi="Arial"/>
                <w:sz w:val="18"/>
                <w:szCs w:val="18"/>
                <w:color w:val="0000EE"/>
                <w:w w:val="98"/>
              </w:rPr>
            </w:pPr>
            <w:hyperlink w:anchor="page21">
              <w:r>
                <w:rPr>
                  <w:rFonts w:ascii="Arial" w:cs="Arial" w:eastAsia="Arial" w:hAnsi="Arial"/>
                  <w:sz w:val="18"/>
                  <w:szCs w:val="18"/>
                  <w:color w:val="0000EE"/>
                  <w:w w:val="98"/>
                </w:rPr>
                <w:t>Compensation Committee</w:t>
              </w:r>
            </w:hyperlink>
          </w:p>
        </w:tc>
        <w:tc>
          <w:tcPr>
            <w:tcW w:w="6180" w:type="dxa"/>
            <w:vAlign w:val="bottom"/>
            <w:gridSpan w:val="28"/>
          </w:tcPr>
          <w:p>
            <w:pPr>
              <w:spacing w:after="0"/>
              <w:rPr>
                <w:sz w:val="15"/>
                <w:szCs w:val="15"/>
                <w:color w:val="auto"/>
              </w:rPr>
            </w:pPr>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15</w:t>
            </w:r>
          </w:p>
        </w:tc>
      </w:tr>
      <w:tr>
        <w:trPr>
          <w:trHeight w:val="182"/>
        </w:trPr>
        <w:tc>
          <w:tcPr>
            <w:tcW w:w="340" w:type="dxa"/>
            <w:vAlign w:val="bottom"/>
          </w:tcPr>
          <w:p>
            <w:pPr>
              <w:spacing w:after="0"/>
              <w:rPr>
                <w:sz w:val="15"/>
                <w:szCs w:val="15"/>
                <w:color w:val="auto"/>
              </w:rPr>
            </w:pPr>
          </w:p>
        </w:tc>
        <w:tc>
          <w:tcPr>
            <w:tcW w:w="8280" w:type="dxa"/>
            <w:vAlign w:val="bottom"/>
            <w:gridSpan w:val="38"/>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Compensation Committee Interlocks and Insider Participation</w:t>
              </w:r>
            </w:hyperlink>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16</w:t>
            </w:r>
          </w:p>
        </w:tc>
      </w:tr>
      <w:tr>
        <w:trPr>
          <w:trHeight w:val="20"/>
        </w:trPr>
        <w:tc>
          <w:tcPr>
            <w:tcW w:w="3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82"/>
        </w:trPr>
        <w:tc>
          <w:tcPr>
            <w:tcW w:w="4440" w:type="dxa"/>
            <w:vAlign w:val="bottom"/>
            <w:tcBorders>
              <w:bottom w:val="single" w:sz="8" w:color="0000EE"/>
            </w:tcBorders>
            <w:gridSpan w:val="30"/>
          </w:tcPr>
          <w:p>
            <w:pPr>
              <w:spacing w:after="0" w:line="182" w:lineRule="exact"/>
              <w:rPr>
                <w:rFonts w:ascii="Arial" w:cs="Arial" w:eastAsia="Arial" w:hAnsi="Arial"/>
                <w:sz w:val="18"/>
                <w:szCs w:val="18"/>
                <w:color w:val="0000EE"/>
                <w:w w:val="99"/>
              </w:rPr>
            </w:pPr>
            <w:hyperlink w:anchor="page23">
              <w:r>
                <w:rPr>
                  <w:rFonts w:ascii="Arial" w:cs="Arial" w:eastAsia="Arial" w:hAnsi="Arial"/>
                  <w:sz w:val="18"/>
                  <w:szCs w:val="18"/>
                  <w:color w:val="0000EE"/>
                  <w:w w:val="99"/>
                </w:rPr>
                <w:t>Certain Relationships and Related-Person Transactions</w:t>
              </w:r>
            </w:hyperlink>
          </w:p>
        </w:tc>
        <w:tc>
          <w:tcPr>
            <w:tcW w:w="4180" w:type="dxa"/>
            <w:vAlign w:val="bottom"/>
            <w:gridSpan w:val="9"/>
          </w:tcPr>
          <w:p>
            <w:pPr>
              <w:spacing w:after="0"/>
              <w:rPr>
                <w:sz w:val="15"/>
                <w:szCs w:val="15"/>
                <w:color w:val="auto"/>
              </w:rPr>
            </w:pPr>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17</w:t>
            </w:r>
          </w:p>
        </w:tc>
      </w:tr>
      <w:tr>
        <w:trPr>
          <w:trHeight w:val="182"/>
        </w:trPr>
        <w:tc>
          <w:tcPr>
            <w:tcW w:w="8620" w:type="dxa"/>
            <w:vAlign w:val="bottom"/>
            <w:gridSpan w:val="39"/>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Director Compensation</w:t>
              </w:r>
            </w:hyperlink>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19</w:t>
            </w: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82"/>
        </w:trPr>
        <w:tc>
          <w:tcPr>
            <w:tcW w:w="2760" w:type="dxa"/>
            <w:vAlign w:val="bottom"/>
            <w:tcBorders>
              <w:bottom w:val="single" w:sz="8" w:color="0000EE"/>
            </w:tcBorders>
            <w:gridSpan w:val="17"/>
          </w:tcPr>
          <w:p>
            <w:pPr>
              <w:spacing w:after="0" w:line="182" w:lineRule="exact"/>
              <w:rPr>
                <w:sz w:val="20"/>
                <w:szCs w:val="20"/>
                <w:color w:val="auto"/>
              </w:rPr>
            </w:pPr>
            <w:r>
              <w:rPr>
                <w:rFonts w:ascii="Arial" w:cs="Arial" w:eastAsia="Arial" w:hAnsi="Arial"/>
                <w:sz w:val="18"/>
                <w:szCs w:val="18"/>
                <w:color w:val="0000EE"/>
                <w:w w:val="99"/>
              </w:rPr>
              <w:t>Proposal 1 — Election of Directors</w:t>
            </w:r>
          </w:p>
        </w:tc>
        <w:tc>
          <w:tcPr>
            <w:tcW w:w="5860" w:type="dxa"/>
            <w:vAlign w:val="bottom"/>
            <w:gridSpan w:val="22"/>
          </w:tcPr>
          <w:p>
            <w:pPr>
              <w:spacing w:after="0"/>
              <w:rPr>
                <w:sz w:val="15"/>
                <w:szCs w:val="15"/>
                <w:color w:val="auto"/>
              </w:rPr>
            </w:pPr>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21</w:t>
            </w:r>
          </w:p>
        </w:tc>
      </w:tr>
      <w:tr>
        <w:trPr>
          <w:trHeight w:val="182"/>
        </w:trPr>
        <w:tc>
          <w:tcPr>
            <w:tcW w:w="340" w:type="dxa"/>
            <w:vAlign w:val="bottom"/>
          </w:tcPr>
          <w:p>
            <w:pPr>
              <w:spacing w:after="0"/>
              <w:rPr>
                <w:sz w:val="15"/>
                <w:szCs w:val="15"/>
                <w:color w:val="auto"/>
              </w:rPr>
            </w:pPr>
          </w:p>
        </w:tc>
        <w:tc>
          <w:tcPr>
            <w:tcW w:w="1760" w:type="dxa"/>
            <w:vAlign w:val="bottom"/>
            <w:tcBorders>
              <w:bottom w:val="single" w:sz="8" w:color="0000EE"/>
            </w:tcBorders>
            <w:gridSpan w:val="8"/>
          </w:tcPr>
          <w:p>
            <w:pPr>
              <w:spacing w:after="0" w:line="182" w:lineRule="exact"/>
              <w:rPr>
                <w:rFonts w:ascii="Arial" w:cs="Arial" w:eastAsia="Arial" w:hAnsi="Arial"/>
                <w:sz w:val="18"/>
                <w:szCs w:val="18"/>
                <w:color w:val="0000EE"/>
                <w:w w:val="98"/>
              </w:rPr>
            </w:pPr>
            <w:hyperlink w:anchor="page27">
              <w:r>
                <w:rPr>
                  <w:rFonts w:ascii="Arial" w:cs="Arial" w:eastAsia="Arial" w:hAnsi="Arial"/>
                  <w:sz w:val="18"/>
                  <w:szCs w:val="18"/>
                  <w:color w:val="0000EE"/>
                  <w:w w:val="98"/>
                </w:rPr>
                <w:t>Director Qualifications</w:t>
              </w:r>
            </w:hyperlink>
          </w:p>
        </w:tc>
        <w:tc>
          <w:tcPr>
            <w:tcW w:w="6520" w:type="dxa"/>
            <w:vAlign w:val="bottom"/>
            <w:gridSpan w:val="30"/>
          </w:tcPr>
          <w:p>
            <w:pPr>
              <w:spacing w:after="0"/>
              <w:rPr>
                <w:sz w:val="15"/>
                <w:szCs w:val="15"/>
                <w:color w:val="auto"/>
              </w:rPr>
            </w:pPr>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21</w:t>
            </w:r>
          </w:p>
        </w:tc>
      </w:tr>
      <w:tr>
        <w:trPr>
          <w:trHeight w:val="182"/>
        </w:trPr>
        <w:tc>
          <w:tcPr>
            <w:tcW w:w="340" w:type="dxa"/>
            <w:vAlign w:val="bottom"/>
          </w:tcPr>
          <w:p>
            <w:pPr>
              <w:spacing w:after="0"/>
              <w:rPr>
                <w:sz w:val="15"/>
                <w:szCs w:val="15"/>
                <w:color w:val="auto"/>
              </w:rPr>
            </w:pPr>
          </w:p>
        </w:tc>
        <w:tc>
          <w:tcPr>
            <w:tcW w:w="3940" w:type="dxa"/>
            <w:vAlign w:val="bottom"/>
            <w:tcBorders>
              <w:bottom w:val="single" w:sz="8" w:color="0000EE"/>
            </w:tcBorders>
            <w:gridSpan w:val="26"/>
          </w:tcPr>
          <w:p>
            <w:pPr>
              <w:spacing w:after="0" w:line="182"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Identifying and Evaluating Nominees for Directors</w:t>
              </w:r>
            </w:hyperlink>
          </w:p>
        </w:tc>
        <w:tc>
          <w:tcPr>
            <w:tcW w:w="4340" w:type="dxa"/>
            <w:vAlign w:val="bottom"/>
            <w:gridSpan w:val="12"/>
          </w:tcPr>
          <w:p>
            <w:pPr>
              <w:spacing w:after="0"/>
              <w:rPr>
                <w:sz w:val="15"/>
                <w:szCs w:val="15"/>
                <w:color w:val="auto"/>
              </w:rPr>
            </w:pPr>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21</w:t>
            </w:r>
          </w:p>
        </w:tc>
      </w:tr>
      <w:tr>
        <w:trPr>
          <w:trHeight w:val="182"/>
        </w:trPr>
        <w:tc>
          <w:tcPr>
            <w:tcW w:w="340" w:type="dxa"/>
            <w:vAlign w:val="bottom"/>
          </w:tcPr>
          <w:p>
            <w:pPr>
              <w:spacing w:after="0"/>
              <w:rPr>
                <w:sz w:val="15"/>
                <w:szCs w:val="15"/>
                <w:color w:val="auto"/>
              </w:rPr>
            </w:pPr>
          </w:p>
        </w:tc>
        <w:tc>
          <w:tcPr>
            <w:tcW w:w="4700" w:type="dxa"/>
            <w:vAlign w:val="bottom"/>
            <w:tcBorders>
              <w:bottom w:val="single" w:sz="8" w:color="0000EE"/>
            </w:tcBorders>
            <w:gridSpan w:val="34"/>
          </w:tcPr>
          <w:p>
            <w:pPr>
              <w:spacing w:after="0" w:line="182" w:lineRule="exact"/>
              <w:rPr>
                <w:rFonts w:ascii="Arial" w:cs="Arial" w:eastAsia="Arial" w:hAnsi="Arial"/>
                <w:sz w:val="18"/>
                <w:szCs w:val="18"/>
                <w:color w:val="0000EE"/>
                <w:w w:val="99"/>
              </w:rPr>
            </w:pPr>
            <w:hyperlink w:anchor="page28">
              <w:r>
                <w:rPr>
                  <w:rFonts w:ascii="Arial" w:cs="Arial" w:eastAsia="Arial" w:hAnsi="Arial"/>
                  <w:sz w:val="18"/>
                  <w:szCs w:val="18"/>
                  <w:color w:val="0000EE"/>
                  <w:w w:val="99"/>
                </w:rPr>
                <w:t>Information Concerning Nominees for Election as Directors</w:t>
              </w:r>
            </w:hyperlink>
          </w:p>
        </w:tc>
        <w:tc>
          <w:tcPr>
            <w:tcW w:w="3580" w:type="dxa"/>
            <w:vAlign w:val="bottom"/>
            <w:gridSpan w:val="4"/>
          </w:tcPr>
          <w:p>
            <w:pPr>
              <w:spacing w:after="0"/>
              <w:rPr>
                <w:sz w:val="15"/>
                <w:szCs w:val="15"/>
                <w:color w:val="auto"/>
              </w:rPr>
            </w:pPr>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22</w:t>
            </w:r>
          </w:p>
        </w:tc>
      </w:tr>
      <w:tr>
        <w:trPr>
          <w:trHeight w:val="182"/>
        </w:trPr>
        <w:tc>
          <w:tcPr>
            <w:tcW w:w="318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w:anchor="page31">
              <w:r>
                <w:rPr>
                  <w:rFonts w:ascii="Arial" w:cs="Arial" w:eastAsia="Arial" w:hAnsi="Arial"/>
                  <w:sz w:val="18"/>
                  <w:szCs w:val="18"/>
                  <w:color w:val="0000EE"/>
                  <w:w w:val="99"/>
                </w:rPr>
                <w:t>Beneficial Ownership of Common Stock</w:t>
              </w:r>
            </w:hyperlink>
          </w:p>
        </w:tc>
        <w:tc>
          <w:tcPr>
            <w:tcW w:w="5440" w:type="dxa"/>
            <w:vAlign w:val="bottom"/>
            <w:gridSpan w:val="18"/>
          </w:tcPr>
          <w:p>
            <w:pPr>
              <w:spacing w:after="0"/>
              <w:rPr>
                <w:sz w:val="15"/>
                <w:szCs w:val="15"/>
                <w:color w:val="auto"/>
              </w:rPr>
            </w:pPr>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25</w:t>
            </w:r>
          </w:p>
        </w:tc>
      </w:tr>
      <w:tr>
        <w:trPr>
          <w:trHeight w:val="182"/>
        </w:trPr>
        <w:tc>
          <w:tcPr>
            <w:tcW w:w="8620" w:type="dxa"/>
            <w:vAlign w:val="bottom"/>
            <w:gridSpan w:val="39"/>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Section 16(a) Beneficial Ownership Reporting Compliance</w:t>
              </w:r>
            </w:hyperlink>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26</w:t>
            </w:r>
          </w:p>
        </w:tc>
      </w:tr>
      <w:tr>
        <w:trPr>
          <w:trHeight w:val="182"/>
        </w:trPr>
        <w:tc>
          <w:tcPr>
            <w:tcW w:w="146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w:anchor="page33">
              <w:r>
                <w:rPr>
                  <w:rFonts w:ascii="Arial" w:cs="Arial" w:eastAsia="Arial" w:hAnsi="Arial"/>
                  <w:sz w:val="18"/>
                  <w:szCs w:val="18"/>
                  <w:color w:val="0000EE"/>
                  <w:w w:val="99"/>
                </w:rPr>
                <w:t>Executive Officers</w:t>
              </w:r>
            </w:hyperlink>
          </w:p>
        </w:tc>
        <w:tc>
          <w:tcPr>
            <w:tcW w:w="3180" w:type="dxa"/>
            <w:vAlign w:val="bottom"/>
            <w:tcBorders>
              <w:top w:val="single" w:sz="8" w:color="0000EE"/>
            </w:tcBorders>
            <w:gridSpan w:val="28"/>
          </w:tcPr>
          <w:p>
            <w:pPr>
              <w:spacing w:after="0"/>
              <w:rPr>
                <w:sz w:val="15"/>
                <w:szCs w:val="15"/>
                <w:color w:val="auto"/>
              </w:rPr>
            </w:pPr>
          </w:p>
        </w:tc>
        <w:tc>
          <w:tcPr>
            <w:tcW w:w="3980" w:type="dxa"/>
            <w:vAlign w:val="bottom"/>
            <w:gridSpan w:val="8"/>
          </w:tcPr>
          <w:p>
            <w:pPr>
              <w:spacing w:after="0"/>
              <w:rPr>
                <w:sz w:val="15"/>
                <w:szCs w:val="15"/>
                <w:color w:val="auto"/>
              </w:rPr>
            </w:pPr>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27</w:t>
            </w:r>
          </w:p>
        </w:tc>
      </w:tr>
      <w:tr>
        <w:trPr>
          <w:trHeight w:val="182"/>
        </w:trPr>
        <w:tc>
          <w:tcPr>
            <w:tcW w:w="200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34">
              <w:r>
                <w:rPr>
                  <w:rFonts w:ascii="Arial" w:cs="Arial" w:eastAsia="Arial" w:hAnsi="Arial"/>
                  <w:sz w:val="18"/>
                  <w:szCs w:val="18"/>
                  <w:color w:val="0000EE"/>
                  <w:w w:val="99"/>
                </w:rPr>
                <w:t>Executive Compensation</w:t>
              </w:r>
            </w:hyperlink>
          </w:p>
        </w:tc>
        <w:tc>
          <w:tcPr>
            <w:tcW w:w="6620" w:type="dxa"/>
            <w:vAlign w:val="bottom"/>
            <w:gridSpan w:val="31"/>
          </w:tcPr>
          <w:p>
            <w:pPr>
              <w:spacing w:after="0"/>
              <w:rPr>
                <w:sz w:val="15"/>
                <w:szCs w:val="15"/>
                <w:color w:val="auto"/>
              </w:rPr>
            </w:pPr>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28</w:t>
            </w:r>
          </w:p>
        </w:tc>
      </w:tr>
      <w:tr>
        <w:trPr>
          <w:trHeight w:val="182"/>
        </w:trPr>
        <w:tc>
          <w:tcPr>
            <w:tcW w:w="340" w:type="dxa"/>
            <w:vAlign w:val="bottom"/>
          </w:tcPr>
          <w:p>
            <w:pPr>
              <w:spacing w:after="0"/>
              <w:rPr>
                <w:sz w:val="15"/>
                <w:szCs w:val="15"/>
                <w:color w:val="auto"/>
              </w:rPr>
            </w:pPr>
          </w:p>
        </w:tc>
        <w:tc>
          <w:tcPr>
            <w:tcW w:w="2460" w:type="dxa"/>
            <w:vAlign w:val="bottom"/>
            <w:tcBorders>
              <w:bottom w:val="single" w:sz="8" w:color="0000EE"/>
            </w:tcBorders>
            <w:gridSpan w:val="17"/>
          </w:tcPr>
          <w:p>
            <w:pPr>
              <w:spacing w:after="0" w:line="182" w:lineRule="exact"/>
              <w:rPr>
                <w:rFonts w:ascii="Arial" w:cs="Arial" w:eastAsia="Arial" w:hAnsi="Arial"/>
                <w:sz w:val="18"/>
                <w:szCs w:val="18"/>
                <w:color w:val="0000EE"/>
                <w:w w:val="98"/>
              </w:rPr>
            </w:pPr>
            <w:hyperlink w:anchor="page34">
              <w:r>
                <w:rPr>
                  <w:rFonts w:ascii="Arial" w:cs="Arial" w:eastAsia="Arial" w:hAnsi="Arial"/>
                  <w:sz w:val="18"/>
                  <w:szCs w:val="18"/>
                  <w:color w:val="0000EE"/>
                  <w:w w:val="98"/>
                </w:rPr>
                <w:t>Summary Compensation Table</w:t>
              </w:r>
            </w:hyperlink>
          </w:p>
        </w:tc>
        <w:tc>
          <w:tcPr>
            <w:tcW w:w="5820" w:type="dxa"/>
            <w:vAlign w:val="bottom"/>
            <w:gridSpan w:val="21"/>
          </w:tcPr>
          <w:p>
            <w:pPr>
              <w:spacing w:after="0"/>
              <w:rPr>
                <w:sz w:val="15"/>
                <w:szCs w:val="15"/>
                <w:color w:val="auto"/>
              </w:rPr>
            </w:pPr>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28</w:t>
            </w:r>
          </w:p>
        </w:tc>
      </w:tr>
      <w:tr>
        <w:trPr>
          <w:trHeight w:val="182"/>
        </w:trPr>
        <w:tc>
          <w:tcPr>
            <w:tcW w:w="340" w:type="dxa"/>
            <w:vAlign w:val="bottom"/>
          </w:tcPr>
          <w:p>
            <w:pPr>
              <w:spacing w:after="0"/>
              <w:rPr>
                <w:sz w:val="15"/>
                <w:szCs w:val="15"/>
                <w:color w:val="auto"/>
              </w:rPr>
            </w:pPr>
          </w:p>
        </w:tc>
        <w:tc>
          <w:tcPr>
            <w:tcW w:w="4720" w:type="dxa"/>
            <w:vAlign w:val="bottom"/>
            <w:tcBorders>
              <w:bottom w:val="single" w:sz="8" w:color="0000EE"/>
            </w:tcBorders>
            <w:gridSpan w:val="35"/>
          </w:tcPr>
          <w:p>
            <w:pPr>
              <w:spacing w:after="0" w:line="182" w:lineRule="exact"/>
              <w:rPr>
                <w:rFonts w:ascii="Arial" w:cs="Arial" w:eastAsia="Arial" w:hAnsi="Arial"/>
                <w:sz w:val="18"/>
                <w:szCs w:val="18"/>
                <w:color w:val="0000EE"/>
                <w:w w:val="98"/>
              </w:rPr>
            </w:pPr>
            <w:hyperlink w:anchor="page34">
              <w:r>
                <w:rPr>
                  <w:rFonts w:ascii="Arial" w:cs="Arial" w:eastAsia="Arial" w:hAnsi="Arial"/>
                  <w:sz w:val="18"/>
                  <w:szCs w:val="18"/>
                  <w:color w:val="0000EE"/>
                  <w:w w:val="98"/>
                </w:rPr>
                <w:t>Narrative Explanation of the Summary Compensation Table</w:t>
              </w:r>
            </w:hyperlink>
          </w:p>
        </w:tc>
        <w:tc>
          <w:tcPr>
            <w:tcW w:w="3560" w:type="dxa"/>
            <w:vAlign w:val="bottom"/>
            <w:gridSpan w:val="3"/>
          </w:tcPr>
          <w:p>
            <w:pPr>
              <w:spacing w:after="0"/>
              <w:rPr>
                <w:sz w:val="15"/>
                <w:szCs w:val="15"/>
                <w:color w:val="auto"/>
              </w:rPr>
            </w:pPr>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28</w:t>
            </w:r>
          </w:p>
        </w:tc>
      </w:tr>
      <w:tr>
        <w:trPr>
          <w:trHeight w:val="182"/>
        </w:trPr>
        <w:tc>
          <w:tcPr>
            <w:tcW w:w="340" w:type="dxa"/>
            <w:vAlign w:val="bottom"/>
          </w:tcPr>
          <w:p>
            <w:pPr>
              <w:spacing w:after="0"/>
              <w:rPr>
                <w:sz w:val="15"/>
                <w:szCs w:val="15"/>
                <w:color w:val="auto"/>
              </w:rPr>
            </w:pPr>
          </w:p>
        </w:tc>
        <w:tc>
          <w:tcPr>
            <w:tcW w:w="8280" w:type="dxa"/>
            <w:vAlign w:val="bottom"/>
            <w:gridSpan w:val="38"/>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Outstanding Equity Awards at December 31, 2018</w:t>
              </w:r>
            </w:hyperlink>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29</w:t>
            </w:r>
          </w:p>
        </w:tc>
      </w:tr>
      <w:tr>
        <w:trPr>
          <w:trHeight w:val="182"/>
        </w:trPr>
        <w:tc>
          <w:tcPr>
            <w:tcW w:w="340" w:type="dxa"/>
            <w:vAlign w:val="bottom"/>
          </w:tcPr>
          <w:p>
            <w:pPr>
              <w:spacing w:after="0"/>
              <w:rPr>
                <w:sz w:val="15"/>
                <w:szCs w:val="15"/>
                <w:color w:val="auto"/>
              </w:rPr>
            </w:pPr>
          </w:p>
        </w:tc>
        <w:tc>
          <w:tcPr>
            <w:tcW w:w="3960" w:type="dxa"/>
            <w:vAlign w:val="bottom"/>
            <w:tcBorders>
              <w:top w:val="single" w:sz="8" w:color="0000EE"/>
              <w:bottom w:val="single" w:sz="8" w:color="0000EE"/>
            </w:tcBorders>
            <w:gridSpan w:val="27"/>
          </w:tcPr>
          <w:p>
            <w:pPr>
              <w:spacing w:after="0" w:line="182" w:lineRule="exact"/>
              <w:rPr>
                <w:rFonts w:ascii="Arial" w:cs="Arial" w:eastAsia="Arial" w:hAnsi="Arial"/>
                <w:sz w:val="18"/>
                <w:szCs w:val="18"/>
                <w:color w:val="0000EE"/>
                <w:w w:val="98"/>
              </w:rPr>
            </w:pPr>
            <w:hyperlink w:anchor="page35">
              <w:r>
                <w:rPr>
                  <w:rFonts w:ascii="Arial" w:cs="Arial" w:eastAsia="Arial" w:hAnsi="Arial"/>
                  <w:sz w:val="18"/>
                  <w:szCs w:val="18"/>
                  <w:color w:val="0000EE"/>
                  <w:w w:val="98"/>
                </w:rPr>
                <w:t>Payments Upon Termination or Change in Control</w:t>
              </w:r>
            </w:hyperlink>
          </w:p>
        </w:tc>
        <w:tc>
          <w:tcPr>
            <w:tcW w:w="20" w:type="dxa"/>
            <w:vAlign w:val="bottom"/>
            <w:tcBorders>
              <w:top w:val="single" w:sz="8" w:color="0000EE"/>
            </w:tcBorders>
          </w:tcPr>
          <w:p>
            <w:pPr>
              <w:spacing w:after="0"/>
              <w:rPr>
                <w:sz w:val="15"/>
                <w:szCs w:val="15"/>
                <w:color w:val="auto"/>
              </w:rPr>
            </w:pPr>
          </w:p>
        </w:tc>
        <w:tc>
          <w:tcPr>
            <w:tcW w:w="4300" w:type="dxa"/>
            <w:vAlign w:val="bottom"/>
            <w:gridSpan w:val="10"/>
          </w:tcPr>
          <w:p>
            <w:pPr>
              <w:spacing w:after="0"/>
              <w:rPr>
                <w:sz w:val="15"/>
                <w:szCs w:val="15"/>
                <w:color w:val="auto"/>
              </w:rPr>
            </w:pPr>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29</w:t>
            </w:r>
          </w:p>
        </w:tc>
      </w:tr>
      <w:tr>
        <w:trPr>
          <w:trHeight w:val="182"/>
        </w:trPr>
        <w:tc>
          <w:tcPr>
            <w:tcW w:w="340" w:type="dxa"/>
            <w:vAlign w:val="bottom"/>
          </w:tcPr>
          <w:p>
            <w:pPr>
              <w:spacing w:after="0"/>
              <w:rPr>
                <w:sz w:val="15"/>
                <w:szCs w:val="15"/>
                <w:color w:val="auto"/>
              </w:rPr>
            </w:pPr>
          </w:p>
        </w:tc>
        <w:tc>
          <w:tcPr>
            <w:tcW w:w="2460" w:type="dxa"/>
            <w:vAlign w:val="bottom"/>
            <w:tcBorders>
              <w:bottom w:val="single" w:sz="8" w:color="0000EE"/>
            </w:tcBorders>
            <w:gridSpan w:val="17"/>
          </w:tcPr>
          <w:p>
            <w:pPr>
              <w:spacing w:after="0" w:line="182" w:lineRule="exact"/>
              <w:rPr>
                <w:rFonts w:ascii="Arial" w:cs="Arial" w:eastAsia="Arial" w:hAnsi="Arial"/>
                <w:sz w:val="18"/>
                <w:szCs w:val="18"/>
                <w:color w:val="0000EE"/>
                <w:w w:val="98"/>
              </w:rPr>
            </w:pPr>
            <w:hyperlink w:anchor="page35">
              <w:r>
                <w:rPr>
                  <w:rFonts w:ascii="Arial" w:cs="Arial" w:eastAsia="Arial" w:hAnsi="Arial"/>
                  <w:sz w:val="18"/>
                  <w:szCs w:val="18"/>
                  <w:color w:val="0000EE"/>
                  <w:w w:val="98"/>
                </w:rPr>
                <w:t>Section 162(m) Considerations</w:t>
              </w:r>
            </w:hyperlink>
          </w:p>
        </w:tc>
        <w:tc>
          <w:tcPr>
            <w:tcW w:w="5820" w:type="dxa"/>
            <w:vAlign w:val="bottom"/>
            <w:gridSpan w:val="21"/>
          </w:tcPr>
          <w:p>
            <w:pPr>
              <w:spacing w:after="0"/>
              <w:rPr>
                <w:sz w:val="15"/>
                <w:szCs w:val="15"/>
                <w:color w:val="auto"/>
              </w:rPr>
            </w:pPr>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29</w:t>
            </w:r>
          </w:p>
        </w:tc>
      </w:tr>
      <w:tr>
        <w:trPr>
          <w:trHeight w:val="182"/>
        </w:trPr>
        <w:tc>
          <w:tcPr>
            <w:tcW w:w="340" w:type="dxa"/>
            <w:vAlign w:val="bottom"/>
          </w:tcPr>
          <w:p>
            <w:pPr>
              <w:spacing w:after="0"/>
              <w:rPr>
                <w:sz w:val="15"/>
                <w:szCs w:val="15"/>
                <w:color w:val="auto"/>
              </w:rPr>
            </w:pPr>
          </w:p>
        </w:tc>
        <w:tc>
          <w:tcPr>
            <w:tcW w:w="3060" w:type="dxa"/>
            <w:vAlign w:val="bottom"/>
            <w:tcBorders>
              <w:bottom w:val="single" w:sz="8" w:color="0000EE"/>
            </w:tcBorders>
            <w:gridSpan w:val="21"/>
          </w:tcPr>
          <w:p>
            <w:pPr>
              <w:spacing w:after="0" w:line="182" w:lineRule="exact"/>
              <w:rPr>
                <w:rFonts w:ascii="Arial" w:cs="Arial" w:eastAsia="Arial" w:hAnsi="Arial"/>
                <w:sz w:val="18"/>
                <w:szCs w:val="18"/>
                <w:color w:val="0000EE"/>
                <w:w w:val="98"/>
              </w:rPr>
            </w:pPr>
            <w:hyperlink w:anchor="page36">
              <w:r>
                <w:rPr>
                  <w:rFonts w:ascii="Arial" w:cs="Arial" w:eastAsia="Arial" w:hAnsi="Arial"/>
                  <w:sz w:val="18"/>
                  <w:szCs w:val="18"/>
                  <w:color w:val="0000EE"/>
                  <w:w w:val="98"/>
                </w:rPr>
                <w:t>Equity Compensation Plan Information</w:t>
              </w:r>
            </w:hyperlink>
          </w:p>
        </w:tc>
        <w:tc>
          <w:tcPr>
            <w:tcW w:w="5220" w:type="dxa"/>
            <w:vAlign w:val="bottom"/>
            <w:gridSpan w:val="17"/>
          </w:tcPr>
          <w:p>
            <w:pPr>
              <w:spacing w:after="0"/>
              <w:rPr>
                <w:sz w:val="15"/>
                <w:szCs w:val="15"/>
                <w:color w:val="auto"/>
              </w:rPr>
            </w:pPr>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30</w:t>
            </w:r>
          </w:p>
        </w:tc>
      </w:tr>
      <w:tr>
        <w:trPr>
          <w:trHeight w:val="182"/>
        </w:trPr>
        <w:tc>
          <w:tcPr>
            <w:tcW w:w="5880" w:type="dxa"/>
            <w:vAlign w:val="bottom"/>
            <w:tcBorders>
              <w:bottom w:val="single" w:sz="8" w:color="0000EE"/>
            </w:tcBorders>
            <w:gridSpan w:val="38"/>
          </w:tcPr>
          <w:p>
            <w:pPr>
              <w:spacing w:after="0" w:line="182" w:lineRule="exact"/>
              <w:rPr>
                <w:sz w:val="20"/>
                <w:szCs w:val="20"/>
                <w:color w:val="auto"/>
              </w:rPr>
            </w:pPr>
            <w:r>
              <w:rPr>
                <w:rFonts w:ascii="Arial" w:cs="Arial" w:eastAsia="Arial" w:hAnsi="Arial"/>
                <w:sz w:val="18"/>
                <w:szCs w:val="18"/>
                <w:color w:val="0000EE"/>
                <w:w w:val="99"/>
              </w:rPr>
              <w:t>Proposal 2 — Ratification of Appointment of Independent Auditor for 2019</w:t>
            </w:r>
          </w:p>
        </w:tc>
        <w:tc>
          <w:tcPr>
            <w:tcW w:w="2740" w:type="dxa"/>
            <w:vAlign w:val="bottom"/>
          </w:tcPr>
          <w:p>
            <w:pPr>
              <w:spacing w:after="0"/>
              <w:rPr>
                <w:sz w:val="15"/>
                <w:szCs w:val="15"/>
                <w:color w:val="auto"/>
              </w:rPr>
            </w:pPr>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31</w:t>
            </w:r>
          </w:p>
        </w:tc>
      </w:tr>
      <w:tr>
        <w:trPr>
          <w:trHeight w:val="182"/>
        </w:trPr>
        <w:tc>
          <w:tcPr>
            <w:tcW w:w="340" w:type="dxa"/>
            <w:vAlign w:val="bottom"/>
          </w:tcPr>
          <w:p>
            <w:pPr>
              <w:spacing w:after="0"/>
              <w:rPr>
                <w:sz w:val="15"/>
                <w:szCs w:val="15"/>
                <w:color w:val="auto"/>
              </w:rPr>
            </w:pPr>
          </w:p>
        </w:tc>
        <w:tc>
          <w:tcPr>
            <w:tcW w:w="8280" w:type="dxa"/>
            <w:vAlign w:val="bottom"/>
            <w:gridSpan w:val="38"/>
          </w:tcPr>
          <w:p>
            <w:pPr>
              <w:spacing w:after="0" w:line="182" w:lineRule="exact"/>
              <w:rPr>
                <w:sz w:val="20"/>
                <w:szCs w:val="20"/>
                <w:color w:val="auto"/>
              </w:rPr>
            </w:pPr>
            <w:r>
              <w:rPr>
                <w:rFonts w:ascii="Arial" w:cs="Arial" w:eastAsia="Arial" w:hAnsi="Arial"/>
                <w:sz w:val="18"/>
                <w:szCs w:val="18"/>
                <w:color w:val="0000EE"/>
              </w:rPr>
              <w:t>Appointment of Independent Auditor by Audit Committee</w:t>
            </w:r>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31</w:t>
            </w:r>
          </w:p>
        </w:tc>
      </w:tr>
      <w:tr>
        <w:trPr>
          <w:trHeight w:val="182"/>
        </w:trPr>
        <w:tc>
          <w:tcPr>
            <w:tcW w:w="340" w:type="dxa"/>
            <w:vAlign w:val="bottom"/>
          </w:tcPr>
          <w:p>
            <w:pPr>
              <w:spacing w:after="0"/>
              <w:rPr>
                <w:sz w:val="15"/>
                <w:szCs w:val="15"/>
                <w:color w:val="auto"/>
              </w:rPr>
            </w:pPr>
          </w:p>
        </w:tc>
        <w:tc>
          <w:tcPr>
            <w:tcW w:w="448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Proposed Ratification of Independent Auditor</w:t>
              </w:r>
            </w:hyperlink>
          </w:p>
        </w:tc>
        <w:tc>
          <w:tcPr>
            <w:tcW w:w="3800" w:type="dxa"/>
            <w:vAlign w:val="bottom"/>
            <w:gridSpan w:val="6"/>
          </w:tcPr>
          <w:p>
            <w:pPr>
              <w:spacing w:after="0"/>
              <w:rPr>
                <w:sz w:val="15"/>
                <w:szCs w:val="15"/>
                <w:color w:val="auto"/>
              </w:rPr>
            </w:pPr>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31</w:t>
            </w:r>
          </w:p>
        </w:tc>
      </w:tr>
      <w:tr>
        <w:trPr>
          <w:trHeight w:val="20"/>
        </w:trPr>
        <w:tc>
          <w:tcPr>
            <w:tcW w:w="3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20" w:type="dxa"/>
            <w:vAlign w:val="bottom"/>
            <w:gridSpan w:val="8"/>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82"/>
        </w:trPr>
        <w:tc>
          <w:tcPr>
            <w:tcW w:w="8620" w:type="dxa"/>
            <w:vAlign w:val="bottom"/>
            <w:gridSpan w:val="39"/>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Accounting Matters</w:t>
              </w:r>
            </w:hyperlink>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32</w:t>
            </w:r>
          </w:p>
        </w:tc>
      </w:tr>
      <w:tr>
        <w:trPr>
          <w:trHeight w:val="20"/>
        </w:trPr>
        <w:tc>
          <w:tcPr>
            <w:tcW w:w="3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8280" w:type="dxa"/>
            <w:vAlign w:val="bottom"/>
            <w:gridSpan w:val="38"/>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Principal Independent Auditor Fees</w:t>
              </w:r>
            </w:hyperlink>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32</w:t>
            </w:r>
          </w:p>
        </w:tc>
      </w:tr>
      <w:tr>
        <w:trPr>
          <w:trHeight w:val="20"/>
        </w:trPr>
        <w:tc>
          <w:tcPr>
            <w:tcW w:w="3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60" w:type="dxa"/>
            <w:vAlign w:val="bottom"/>
            <w:gridSpan w:val="10"/>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8280" w:type="dxa"/>
            <w:vAlign w:val="bottom"/>
            <w:gridSpan w:val="38"/>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Audit Committee Pre-Approval Policies and Procedures</w:t>
              </w:r>
            </w:hyperlink>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32</w:t>
            </w:r>
          </w:p>
        </w:tc>
      </w:tr>
      <w:tr>
        <w:trPr>
          <w:trHeight w:val="182"/>
        </w:trPr>
        <w:tc>
          <w:tcPr>
            <w:tcW w:w="340" w:type="dxa"/>
            <w:vAlign w:val="bottom"/>
          </w:tcPr>
          <w:p>
            <w:pPr>
              <w:spacing w:after="0"/>
              <w:rPr>
                <w:sz w:val="15"/>
                <w:szCs w:val="15"/>
                <w:color w:val="auto"/>
              </w:rPr>
            </w:pPr>
          </w:p>
        </w:tc>
        <w:tc>
          <w:tcPr>
            <w:tcW w:w="212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8"/>
              </w:rPr>
            </w:pPr>
            <w:hyperlink w:anchor="page38">
              <w:r>
                <w:rPr>
                  <w:rFonts w:ascii="Arial" w:cs="Arial" w:eastAsia="Arial" w:hAnsi="Arial"/>
                  <w:sz w:val="18"/>
                  <w:szCs w:val="18"/>
                  <w:color w:val="0000EE"/>
                  <w:w w:val="98"/>
                </w:rPr>
                <w:t>Report of Audit Committee</w:t>
              </w:r>
            </w:hyperlink>
          </w:p>
        </w:tc>
        <w:tc>
          <w:tcPr>
            <w:tcW w:w="2280" w:type="dxa"/>
            <w:vAlign w:val="bottom"/>
            <w:tcBorders>
              <w:top w:val="single" w:sz="8" w:color="0000EE"/>
            </w:tcBorders>
            <w:gridSpan w:val="20"/>
          </w:tcPr>
          <w:p>
            <w:pPr>
              <w:spacing w:after="0"/>
              <w:rPr>
                <w:sz w:val="15"/>
                <w:szCs w:val="15"/>
                <w:color w:val="auto"/>
              </w:rPr>
            </w:pPr>
          </w:p>
        </w:tc>
        <w:tc>
          <w:tcPr>
            <w:tcW w:w="3880" w:type="dxa"/>
            <w:vAlign w:val="bottom"/>
            <w:gridSpan w:val="7"/>
          </w:tcPr>
          <w:p>
            <w:pPr>
              <w:spacing w:after="0"/>
              <w:rPr>
                <w:sz w:val="15"/>
                <w:szCs w:val="15"/>
                <w:color w:val="auto"/>
              </w:rPr>
            </w:pPr>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32</w:t>
            </w:r>
          </w:p>
        </w:tc>
      </w:tr>
      <w:tr>
        <w:trPr>
          <w:trHeight w:val="182"/>
        </w:trPr>
        <w:tc>
          <w:tcPr>
            <w:tcW w:w="3820" w:type="dxa"/>
            <w:vAlign w:val="bottom"/>
            <w:tcBorders>
              <w:bottom w:val="single" w:sz="8" w:color="0000EE"/>
            </w:tcBorders>
            <w:gridSpan w:val="24"/>
          </w:tcPr>
          <w:p>
            <w:pPr>
              <w:spacing w:after="0" w:line="182" w:lineRule="exact"/>
              <w:rPr>
                <w:rFonts w:ascii="Arial" w:cs="Arial" w:eastAsia="Arial" w:hAnsi="Arial"/>
                <w:sz w:val="18"/>
                <w:szCs w:val="18"/>
                <w:color w:val="0000EE"/>
                <w:w w:val="99"/>
              </w:rPr>
            </w:pPr>
            <w:hyperlink w:anchor="page40">
              <w:r>
                <w:rPr>
                  <w:rFonts w:ascii="Arial" w:cs="Arial" w:eastAsia="Arial" w:hAnsi="Arial"/>
                  <w:sz w:val="18"/>
                  <w:szCs w:val="18"/>
                  <w:color w:val="0000EE"/>
                  <w:w w:val="99"/>
                </w:rPr>
                <w:t>Stockholder Proposals for 2020 Annual Meeting</w:t>
              </w:r>
            </w:hyperlink>
          </w:p>
        </w:tc>
        <w:tc>
          <w:tcPr>
            <w:tcW w:w="4800" w:type="dxa"/>
            <w:vAlign w:val="bottom"/>
            <w:gridSpan w:val="15"/>
          </w:tcPr>
          <w:p>
            <w:pPr>
              <w:spacing w:after="0"/>
              <w:rPr>
                <w:sz w:val="15"/>
                <w:szCs w:val="15"/>
                <w:color w:val="auto"/>
              </w:rPr>
            </w:pPr>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34</w:t>
            </w:r>
          </w:p>
        </w:tc>
      </w:tr>
      <w:tr>
        <w:trPr>
          <w:trHeight w:val="182"/>
        </w:trPr>
        <w:tc>
          <w:tcPr>
            <w:tcW w:w="5020" w:type="dxa"/>
            <w:vAlign w:val="bottom"/>
            <w:tcBorders>
              <w:bottom w:val="single" w:sz="8" w:color="0000EE"/>
            </w:tcBorders>
            <w:gridSpan w:val="34"/>
          </w:tcPr>
          <w:p>
            <w:pPr>
              <w:spacing w:after="0" w:line="182" w:lineRule="exact"/>
              <w:rPr>
                <w:rFonts w:ascii="Arial" w:cs="Arial" w:eastAsia="Arial" w:hAnsi="Arial"/>
                <w:sz w:val="18"/>
                <w:szCs w:val="18"/>
                <w:color w:val="0000EE"/>
                <w:w w:val="99"/>
              </w:rPr>
            </w:pPr>
            <w:hyperlink w:anchor="page40">
              <w:r>
                <w:rPr>
                  <w:rFonts w:ascii="Arial" w:cs="Arial" w:eastAsia="Arial" w:hAnsi="Arial"/>
                  <w:sz w:val="18"/>
                  <w:szCs w:val="18"/>
                  <w:color w:val="0000EE"/>
                  <w:w w:val="99"/>
                </w:rPr>
                <w:t>Delivery of Documents to Security Holders Sharing an Address</w:t>
              </w:r>
            </w:hyperlink>
          </w:p>
        </w:tc>
        <w:tc>
          <w:tcPr>
            <w:tcW w:w="3600" w:type="dxa"/>
            <w:vAlign w:val="bottom"/>
            <w:gridSpan w:val="5"/>
          </w:tcPr>
          <w:p>
            <w:pPr>
              <w:spacing w:after="0"/>
              <w:rPr>
                <w:sz w:val="15"/>
                <w:szCs w:val="15"/>
                <w:color w:val="auto"/>
              </w:rPr>
            </w:pPr>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34</w:t>
            </w:r>
          </w:p>
        </w:tc>
      </w:tr>
      <w:tr>
        <w:trPr>
          <w:trHeight w:val="182"/>
        </w:trPr>
        <w:tc>
          <w:tcPr>
            <w:tcW w:w="8620" w:type="dxa"/>
            <w:vAlign w:val="bottom"/>
            <w:gridSpan w:val="39"/>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Other Matters</w:t>
              </w:r>
            </w:hyperlink>
          </w:p>
        </w:tc>
        <w:tc>
          <w:tcPr>
            <w:tcW w:w="2800" w:type="dxa"/>
            <w:vAlign w:val="bottom"/>
          </w:tcPr>
          <w:p>
            <w:pPr>
              <w:jc w:val="right"/>
              <w:spacing w:after="0" w:line="182" w:lineRule="exact"/>
              <w:rPr>
                <w:sz w:val="20"/>
                <w:szCs w:val="20"/>
                <w:color w:val="auto"/>
              </w:rPr>
            </w:pPr>
            <w:r>
              <w:rPr>
                <w:rFonts w:ascii="Arial" w:cs="Arial" w:eastAsia="Arial" w:hAnsi="Arial"/>
                <w:sz w:val="18"/>
                <w:szCs w:val="18"/>
                <w:color w:val="4D4D4F"/>
              </w:rPr>
              <w:t>34</w:t>
            </w:r>
          </w:p>
        </w:tc>
      </w:tr>
      <w:tr>
        <w:trPr>
          <w:trHeight w:val="432"/>
        </w:trPr>
        <w:tc>
          <w:tcPr>
            <w:tcW w:w="340" w:type="dxa"/>
            <w:vAlign w:val="bottom"/>
            <w:tcBorders>
              <w:top w:val="single" w:sz="8" w:color="0000EE"/>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09"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116840</wp:posOffset>
            </wp:positionV>
            <wp:extent cx="7225030" cy="54432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5030" cy="5443220"/>
                    </a:xfrm>
                    <a:prstGeom prst="rect">
                      <a:avLst/>
                    </a:prstGeom>
                    <a:noFill/>
                  </pic:spPr>
                </pic:pic>
              </a:graphicData>
            </a:graphic>
          </wp:anchor>
        </w:drawing>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003E64"/>
        </w:rPr>
        <w:t>2019 Proxy Summary</w:t>
      </w:r>
    </w:p>
    <w:p>
      <w:pPr>
        <w:spacing w:after="0" w:line="291" w:lineRule="exact"/>
        <w:rPr>
          <w:sz w:val="20"/>
          <w:szCs w:val="20"/>
          <w:color w:val="auto"/>
        </w:rPr>
      </w:pPr>
    </w:p>
    <w:p>
      <w:pPr>
        <w:jc w:val="both"/>
        <w:ind w:left="220"/>
        <w:spacing w:after="0" w:line="250" w:lineRule="auto"/>
        <w:rPr>
          <w:sz w:val="20"/>
          <w:szCs w:val="20"/>
          <w:color w:val="auto"/>
        </w:rPr>
      </w:pPr>
      <w:r>
        <w:rPr>
          <w:rFonts w:ascii="Arial" w:cs="Arial" w:eastAsia="Arial" w:hAnsi="Arial"/>
          <w:sz w:val="18"/>
          <w:szCs w:val="18"/>
          <w:i w:val="1"/>
          <w:iCs w:val="1"/>
          <w:color w:val="4D4D4F"/>
        </w:rPr>
        <w:t>This summary highlights information contained elsewhere in this Proxy Statement. This summary does not contain all of the information that you should consider, and you should read the entire Proxy Statement carefully before voting. References in this Proxy Statement to “ACM,” “ACM Research” and to “we,” “us,” “our” and similar terms, refer to ACM Research, Inc.</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0079C0"/>
        </w:rPr>
        <w:t>Annual Meeting of Stockholders</w:t>
      </w:r>
    </w:p>
    <w:p>
      <w:pPr>
        <w:sectPr>
          <w:pgSz w:w="11900" w:h="16838" w:orient="portrait"/>
          <w:cols w:equalWidth="0" w:num="1">
            <w:col w:w="11320"/>
          </w:cols>
          <w:pgMar w:left="240" w:top="122" w:right="339" w:bottom="1440" w:gutter="0" w:footer="0" w:header="0"/>
        </w:sectPr>
      </w:pPr>
    </w:p>
    <w:p>
      <w:pPr>
        <w:spacing w:after="0" w:line="237" w:lineRule="exact"/>
        <w:rPr>
          <w:sz w:val="20"/>
          <w:szCs w:val="20"/>
          <w:color w:val="auto"/>
        </w:rPr>
      </w:pPr>
    </w:p>
    <w:p>
      <w:pPr>
        <w:ind w:left="220"/>
        <w:spacing w:after="0"/>
        <w:rPr>
          <w:sz w:val="20"/>
          <w:szCs w:val="20"/>
          <w:color w:val="auto"/>
        </w:rPr>
      </w:pPr>
      <w:r>
        <w:rPr>
          <w:rFonts w:ascii="Arial" w:cs="Arial" w:eastAsia="Arial" w:hAnsi="Arial"/>
          <w:sz w:val="17"/>
          <w:szCs w:val="17"/>
          <w:color w:val="4D4D4F"/>
        </w:rPr>
        <w:t>Time and Date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4D4D4F"/>
        </w:rPr>
        <w:t>11:00 a.m., Pacific time, on June 6, 2019.</w:t>
      </w:r>
    </w:p>
    <w:p>
      <w:pPr>
        <w:spacing w:after="0" w:line="70" w:lineRule="exact"/>
        <w:rPr>
          <w:sz w:val="20"/>
          <w:szCs w:val="20"/>
          <w:color w:val="auto"/>
        </w:rPr>
      </w:pPr>
    </w:p>
    <w:p>
      <w:pPr>
        <w:sectPr>
          <w:pgSz w:w="11900" w:h="16838" w:orient="portrait"/>
          <w:cols w:equalWidth="0" w:num="2">
            <w:col w:w="2820" w:space="720"/>
            <w:col w:w="7780"/>
          </w:cols>
          <w:pgMar w:left="240" w:top="122" w:right="339" w:bottom="1440" w:gutter="0" w:footer="0" w:header="0"/>
          <w:type w:val="continuous"/>
        </w:sectPr>
      </w:pPr>
    </w:p>
    <w:p>
      <w:pPr>
        <w:spacing w:after="0" w:line="18" w:lineRule="exact"/>
        <w:rPr>
          <w:sz w:val="20"/>
          <w:szCs w:val="20"/>
          <w:color w:val="auto"/>
        </w:rPr>
      </w:pPr>
    </w:p>
    <w:p>
      <w:pPr>
        <w:ind w:left="220"/>
        <w:spacing w:after="0"/>
        <w:rPr>
          <w:sz w:val="20"/>
          <w:szCs w:val="20"/>
          <w:color w:val="auto"/>
        </w:rPr>
      </w:pPr>
      <w:r>
        <w:rPr>
          <w:rFonts w:ascii="Arial" w:cs="Arial" w:eastAsia="Arial" w:hAnsi="Arial"/>
          <w:sz w:val="17"/>
          <w:szCs w:val="17"/>
          <w:color w:val="4D4D4F"/>
        </w:rPr>
        <w:t>Meeting Webcast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i w:val="1"/>
          <w:iCs w:val="1"/>
          <w:color w:val="4D4D4F"/>
        </w:rPr>
        <w:t>virtualshareholdermeeting.com/ACMR2019</w:t>
      </w:r>
    </w:p>
    <w:p>
      <w:pPr>
        <w:spacing w:after="0" w:line="106" w:lineRule="exact"/>
        <w:rPr>
          <w:sz w:val="20"/>
          <w:szCs w:val="20"/>
          <w:color w:val="auto"/>
        </w:rPr>
      </w:pPr>
    </w:p>
    <w:p>
      <w:pPr>
        <w:sectPr>
          <w:pgSz w:w="11900" w:h="16838" w:orient="portrait"/>
          <w:cols w:equalWidth="0" w:num="2">
            <w:col w:w="2820" w:space="720"/>
            <w:col w:w="7780"/>
          </w:cols>
          <w:pgMar w:left="240" w:top="122" w:right="339" w:bottom="1440" w:gutter="0" w:footer="0" w:header="0"/>
          <w:type w:val="continuous"/>
        </w:sectPr>
      </w:pPr>
    </w:p>
    <w:p>
      <w:pPr>
        <w:ind w:left="220"/>
        <w:spacing w:after="0"/>
        <w:rPr>
          <w:sz w:val="20"/>
          <w:szCs w:val="20"/>
          <w:color w:val="auto"/>
        </w:rPr>
      </w:pPr>
      <w:r>
        <w:rPr>
          <w:rFonts w:ascii="Arial" w:cs="Arial" w:eastAsia="Arial" w:hAnsi="Arial"/>
          <w:sz w:val="17"/>
          <w:szCs w:val="17"/>
          <w:color w:val="4D4D4F"/>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4D4D4F"/>
        </w:rPr>
        <w:t>5 p.m., Eastern time, on April 24, 2019.</w:t>
      </w:r>
    </w:p>
    <w:p>
      <w:pPr>
        <w:spacing w:after="0" w:line="88" w:lineRule="exact"/>
        <w:rPr>
          <w:sz w:val="20"/>
          <w:szCs w:val="20"/>
          <w:color w:val="auto"/>
        </w:rPr>
      </w:pPr>
    </w:p>
    <w:p>
      <w:pPr>
        <w:sectPr>
          <w:pgSz w:w="11900" w:h="16838" w:orient="portrait"/>
          <w:cols w:equalWidth="0" w:num="2">
            <w:col w:w="2820" w:space="720"/>
            <w:col w:w="7780"/>
          </w:cols>
          <w:pgMar w:left="240" w:top="122" w:right="339" w:bottom="1440" w:gutter="0" w:footer="0" w:header="0"/>
          <w:type w:val="continuous"/>
        </w:sectPr>
      </w:pPr>
    </w:p>
    <w:p>
      <w:pPr>
        <w:ind w:left="220"/>
        <w:spacing w:after="0"/>
        <w:rPr>
          <w:sz w:val="20"/>
          <w:szCs w:val="20"/>
          <w:color w:val="auto"/>
        </w:rPr>
      </w:pPr>
      <w:r>
        <w:rPr>
          <w:rFonts w:ascii="Arial" w:cs="Arial" w:eastAsia="Arial" w:hAnsi="Arial"/>
          <w:sz w:val="17"/>
          <w:szCs w:val="17"/>
          <w:color w:val="4D4D4F"/>
        </w:rPr>
        <w:t>Voting</w:t>
      </w:r>
    </w:p>
    <w:p>
      <w:pPr>
        <w:spacing w:after="0" w:line="20" w:lineRule="exact"/>
        <w:rPr>
          <w:sz w:val="20"/>
          <w:szCs w:val="20"/>
          <w:color w:val="auto"/>
        </w:rPr>
      </w:pPr>
      <w:r>
        <w:rPr>
          <w:sz w:val="20"/>
          <w:szCs w:val="20"/>
          <w:color w:val="auto"/>
        </w:rPr>
        <w:br w:type="column"/>
      </w:r>
    </w:p>
    <w:p>
      <w:pPr>
        <w:jc w:val="both"/>
        <w:ind w:right="120"/>
        <w:spacing w:after="0"/>
        <w:rPr>
          <w:sz w:val="20"/>
          <w:szCs w:val="20"/>
          <w:color w:val="auto"/>
        </w:rPr>
      </w:pPr>
      <w:r>
        <w:rPr>
          <w:rFonts w:ascii="Arial" w:cs="Arial" w:eastAsia="Arial" w:hAnsi="Arial"/>
          <w:sz w:val="18"/>
          <w:szCs w:val="18"/>
          <w:color w:val="4D4D4F"/>
        </w:rPr>
        <w:t>Stockholders will be entitled to one vote for each outstanding share of Class A common stock they hold of record as of the record date and twenty votes for each outstanding share of Class B common stock they hold of record as of the record date.</w:t>
      </w:r>
    </w:p>
    <w:p>
      <w:pPr>
        <w:spacing w:after="0" w:line="67" w:lineRule="exact"/>
        <w:rPr>
          <w:sz w:val="20"/>
          <w:szCs w:val="20"/>
          <w:color w:val="auto"/>
        </w:rPr>
      </w:pPr>
    </w:p>
    <w:p>
      <w:pPr>
        <w:sectPr>
          <w:pgSz w:w="11900" w:h="16838" w:orient="portrait"/>
          <w:cols w:equalWidth="0" w:num="2">
            <w:col w:w="2820" w:space="720"/>
            <w:col w:w="7780"/>
          </w:cols>
          <w:pgMar w:left="240" w:top="122" w:right="339" w:bottom="1440" w:gutter="0" w:footer="0" w:header="0"/>
          <w:type w:val="continuous"/>
        </w:sectPr>
      </w:pPr>
    </w:p>
    <w:p>
      <w:pPr>
        <w:ind w:left="220"/>
        <w:spacing w:after="0"/>
        <w:rPr>
          <w:sz w:val="20"/>
          <w:szCs w:val="20"/>
          <w:color w:val="auto"/>
        </w:rPr>
      </w:pPr>
      <w:r>
        <w:rPr>
          <w:rFonts w:ascii="Arial" w:cs="Arial" w:eastAsia="Arial" w:hAnsi="Arial"/>
          <w:sz w:val="17"/>
          <w:szCs w:val="17"/>
          <w:color w:val="4D4D4F"/>
        </w:rPr>
        <w:t>Total Votes Per Proposal</w:t>
      </w:r>
    </w:p>
    <w:p>
      <w:pPr>
        <w:spacing w:after="0" w:line="20" w:lineRule="exact"/>
        <w:rPr>
          <w:sz w:val="20"/>
          <w:szCs w:val="20"/>
          <w:color w:val="auto"/>
        </w:rPr>
      </w:pPr>
      <w:r>
        <w:rPr>
          <w:sz w:val="20"/>
          <w:szCs w:val="20"/>
          <w:color w:val="auto"/>
        </w:rPr>
        <w:br w:type="column"/>
      </w:r>
    </w:p>
    <w:p>
      <w:pPr>
        <w:ind w:right="120"/>
        <w:spacing w:after="0" w:line="245" w:lineRule="auto"/>
        <w:rPr>
          <w:sz w:val="20"/>
          <w:szCs w:val="20"/>
          <w:color w:val="auto"/>
        </w:rPr>
      </w:pPr>
      <w:r>
        <w:rPr>
          <w:rFonts w:ascii="Arial" w:cs="Arial" w:eastAsia="Arial" w:hAnsi="Arial"/>
          <w:sz w:val="18"/>
          <w:szCs w:val="18"/>
          <w:color w:val="4D4D4F"/>
        </w:rPr>
        <w:t>52,088,766 votes, based on 14,186,966 shares of Class A Common Stock and 1,895,090 shares of Class B Common Stock outstanding as of the record date.</w:t>
      </w:r>
    </w:p>
    <w:p>
      <w:pPr>
        <w:spacing w:after="0" w:line="200" w:lineRule="exact"/>
        <w:rPr>
          <w:sz w:val="20"/>
          <w:szCs w:val="20"/>
          <w:color w:val="auto"/>
        </w:rPr>
      </w:pPr>
    </w:p>
    <w:p>
      <w:pPr>
        <w:sectPr>
          <w:pgSz w:w="11900" w:h="16838" w:orient="portrait"/>
          <w:cols w:equalWidth="0" w:num="2">
            <w:col w:w="2820" w:space="720"/>
            <w:col w:w="7780"/>
          </w:cols>
          <w:pgMar w:left="240" w:top="122" w:right="339" w:bottom="1440" w:gutter="0" w:footer="0" w:header="0"/>
          <w:type w:val="continuous"/>
        </w:sectPr>
      </w:pPr>
    </w:p>
    <w:p>
      <w:pPr>
        <w:spacing w:after="0" w:line="7"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0079C0"/>
        </w:rPr>
        <w:t>Annual Meeting Agenda</w:t>
      </w:r>
    </w:p>
    <w:p>
      <w:pPr>
        <w:spacing w:after="0" w:line="191" w:lineRule="exact"/>
        <w:rPr>
          <w:sz w:val="20"/>
          <w:szCs w:val="20"/>
          <w:color w:val="auto"/>
        </w:rPr>
      </w:pPr>
    </w:p>
    <w:tbl>
      <w:tblPr>
        <w:tblLayout w:type="fixed"/>
        <w:tblInd w:w="180" w:type="dxa"/>
        <w:tblCellMar>
          <w:top w:w="0" w:type="dxa"/>
          <w:left w:w="0" w:type="dxa"/>
          <w:bottom w:w="0" w:type="dxa"/>
          <w:right w:w="0" w:type="dxa"/>
        </w:tblCellMar>
      </w:tblPr>
      <w:tr>
        <w:trPr>
          <w:trHeight w:val="233"/>
        </w:trPr>
        <w:tc>
          <w:tcPr>
            <w:tcW w:w="6940" w:type="dxa"/>
            <w:vAlign w:val="bottom"/>
            <w:tcBorders>
              <w:top w:val="single" w:sz="8" w:color="auto"/>
            </w:tcBorders>
            <w:shd w:val="clear" w:color="auto" w:fill="003E64"/>
          </w:tcPr>
          <w:p>
            <w:pPr>
              <w:spacing w:after="0"/>
              <w:rPr>
                <w:sz w:val="20"/>
                <w:szCs w:val="20"/>
                <w:color w:val="auto"/>
              </w:rPr>
            </w:pPr>
          </w:p>
        </w:tc>
        <w:tc>
          <w:tcPr>
            <w:tcW w:w="4120" w:type="dxa"/>
            <w:vAlign w:val="bottom"/>
            <w:tcBorders>
              <w:top w:val="single" w:sz="8" w:color="auto"/>
            </w:tcBorders>
            <w:shd w:val="clear" w:color="auto" w:fill="003E64"/>
          </w:tcPr>
          <w:p>
            <w:pPr>
              <w:jc w:val="center"/>
              <w:ind w:left="1830"/>
              <w:spacing w:after="0"/>
              <w:rPr>
                <w:sz w:val="20"/>
                <w:szCs w:val="20"/>
                <w:color w:val="auto"/>
              </w:rPr>
            </w:pPr>
            <w:r>
              <w:rPr>
                <w:rFonts w:ascii="Arial" w:cs="Arial" w:eastAsia="Arial" w:hAnsi="Arial"/>
                <w:sz w:val="18"/>
                <w:szCs w:val="18"/>
                <w:b w:val="1"/>
                <w:bCs w:val="1"/>
                <w:color w:val="FFFFFF"/>
                <w:w w:val="99"/>
              </w:rPr>
              <w:t>Board</w:t>
            </w:r>
          </w:p>
        </w:tc>
      </w:tr>
      <w:tr>
        <w:trPr>
          <w:trHeight w:val="259"/>
        </w:trPr>
        <w:tc>
          <w:tcPr>
            <w:tcW w:w="6940" w:type="dxa"/>
            <w:vAlign w:val="bottom"/>
            <w:tcBorders>
              <w:bottom w:val="single" w:sz="8" w:color="auto"/>
            </w:tcBorders>
            <w:shd w:val="clear" w:color="auto" w:fill="003E64"/>
          </w:tcPr>
          <w:p>
            <w:pPr>
              <w:ind w:left="20"/>
              <w:spacing w:after="0"/>
              <w:rPr>
                <w:sz w:val="20"/>
                <w:szCs w:val="20"/>
                <w:color w:val="auto"/>
              </w:rPr>
            </w:pPr>
            <w:r>
              <w:rPr>
                <w:rFonts w:ascii="Arial" w:cs="Arial" w:eastAsia="Arial" w:hAnsi="Arial"/>
                <w:sz w:val="18"/>
                <w:szCs w:val="18"/>
                <w:b w:val="1"/>
                <w:bCs w:val="1"/>
                <w:color w:val="FFFFFF"/>
              </w:rPr>
              <w:t>Proposal</w:t>
            </w:r>
          </w:p>
        </w:tc>
        <w:tc>
          <w:tcPr>
            <w:tcW w:w="4120" w:type="dxa"/>
            <w:vAlign w:val="bottom"/>
            <w:tcBorders>
              <w:bottom w:val="single" w:sz="8" w:color="auto"/>
            </w:tcBorders>
            <w:shd w:val="clear" w:color="auto" w:fill="003E64"/>
          </w:tcPr>
          <w:p>
            <w:pPr>
              <w:jc w:val="center"/>
              <w:ind w:left="1810"/>
              <w:spacing w:after="0"/>
              <w:rPr>
                <w:sz w:val="20"/>
                <w:szCs w:val="20"/>
                <w:color w:val="auto"/>
              </w:rPr>
            </w:pPr>
            <w:r>
              <w:rPr>
                <w:rFonts w:ascii="Arial" w:cs="Arial" w:eastAsia="Arial" w:hAnsi="Arial"/>
                <w:sz w:val="18"/>
                <w:szCs w:val="18"/>
                <w:b w:val="1"/>
                <w:bCs w:val="1"/>
                <w:color w:val="FFFFFF"/>
                <w:w w:val="99"/>
              </w:rPr>
              <w:t>Recommendation</w:t>
            </w:r>
          </w:p>
        </w:tc>
      </w:tr>
      <w:tr>
        <w:trPr>
          <w:trHeight w:val="250"/>
        </w:trPr>
        <w:tc>
          <w:tcPr>
            <w:tcW w:w="6940" w:type="dxa"/>
            <w:vAlign w:val="bottom"/>
          </w:tcPr>
          <w:p>
            <w:pPr>
              <w:ind w:left="20"/>
              <w:spacing w:after="0"/>
              <w:rPr>
                <w:sz w:val="20"/>
                <w:szCs w:val="20"/>
                <w:color w:val="auto"/>
              </w:rPr>
            </w:pPr>
            <w:r>
              <w:rPr>
                <w:rFonts w:ascii="Arial" w:cs="Arial" w:eastAsia="Arial" w:hAnsi="Arial"/>
                <w:sz w:val="18"/>
                <w:szCs w:val="18"/>
                <w:color w:val="4D4D4F"/>
              </w:rPr>
              <w:t>Election of directors</w:t>
            </w:r>
          </w:p>
        </w:tc>
        <w:tc>
          <w:tcPr>
            <w:tcW w:w="4120" w:type="dxa"/>
            <w:vAlign w:val="bottom"/>
          </w:tcPr>
          <w:p>
            <w:pPr>
              <w:jc w:val="center"/>
              <w:ind w:left="1830"/>
              <w:spacing w:after="0"/>
              <w:rPr>
                <w:sz w:val="20"/>
                <w:szCs w:val="20"/>
                <w:color w:val="auto"/>
              </w:rPr>
            </w:pPr>
            <w:r>
              <w:rPr>
                <w:rFonts w:ascii="Arial" w:cs="Arial" w:eastAsia="Arial" w:hAnsi="Arial"/>
                <w:sz w:val="18"/>
                <w:szCs w:val="18"/>
                <w:b w:val="1"/>
                <w:bCs w:val="1"/>
                <w:color w:val="4D4D4F"/>
                <w:w w:val="99"/>
              </w:rPr>
              <w:t xml:space="preserve">FOR </w:t>
            </w:r>
            <w:r>
              <w:rPr>
                <w:rFonts w:ascii="Arial" w:cs="Arial" w:eastAsia="Arial" w:hAnsi="Arial"/>
                <w:sz w:val="18"/>
                <w:szCs w:val="18"/>
                <w:color w:val="4D4D4F"/>
                <w:w w:val="99"/>
              </w:rPr>
              <w:t>each nominee</w:t>
            </w:r>
          </w:p>
        </w:tc>
      </w:tr>
      <w:tr>
        <w:trPr>
          <w:trHeight w:val="263"/>
        </w:trPr>
        <w:tc>
          <w:tcPr>
            <w:tcW w:w="6940" w:type="dxa"/>
            <w:vAlign w:val="bottom"/>
            <w:shd w:val="clear" w:color="auto" w:fill="B7E4FF"/>
          </w:tcPr>
          <w:p>
            <w:pPr>
              <w:ind w:left="20"/>
              <w:spacing w:after="0"/>
              <w:rPr>
                <w:sz w:val="20"/>
                <w:szCs w:val="20"/>
                <w:color w:val="auto"/>
              </w:rPr>
            </w:pPr>
            <w:r>
              <w:rPr>
                <w:rFonts w:ascii="Arial" w:cs="Arial" w:eastAsia="Arial" w:hAnsi="Arial"/>
                <w:sz w:val="18"/>
                <w:szCs w:val="18"/>
                <w:color w:val="4D4D4F"/>
              </w:rPr>
              <w:t>Ratification of appointment of independent auditor for 2019</w:t>
            </w:r>
          </w:p>
        </w:tc>
        <w:tc>
          <w:tcPr>
            <w:tcW w:w="4120" w:type="dxa"/>
            <w:vAlign w:val="bottom"/>
            <w:shd w:val="clear" w:color="auto" w:fill="B7E4FF"/>
          </w:tcPr>
          <w:p>
            <w:pPr>
              <w:jc w:val="center"/>
              <w:ind w:left="1810"/>
              <w:spacing w:after="0"/>
              <w:rPr>
                <w:sz w:val="20"/>
                <w:szCs w:val="20"/>
                <w:color w:val="auto"/>
              </w:rPr>
            </w:pPr>
            <w:r>
              <w:rPr>
                <w:rFonts w:ascii="Arial" w:cs="Arial" w:eastAsia="Arial" w:hAnsi="Arial"/>
                <w:sz w:val="18"/>
                <w:szCs w:val="18"/>
                <w:b w:val="1"/>
                <w:bCs w:val="1"/>
                <w:color w:val="4D4D4F"/>
                <w:w w:val="99"/>
              </w:rPr>
              <w:t>FOR</w:t>
            </w:r>
          </w:p>
        </w:tc>
      </w:tr>
    </w:tbl>
    <w:p>
      <w:pPr>
        <w:spacing w:after="0" w:line="183"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0079C0"/>
        </w:rPr>
        <w:t>How to Cast Your Vote</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color w:val="4D4D4F"/>
        </w:rPr>
        <w:t>You can vote by any of the following methods:</w:t>
      </w:r>
    </w:p>
    <w:p>
      <w:pPr>
        <w:spacing w:after="0" w:line="152" w:lineRule="exact"/>
        <w:rPr>
          <w:sz w:val="20"/>
          <w:szCs w:val="20"/>
          <w:color w:val="auto"/>
        </w:rPr>
      </w:pPr>
    </w:p>
    <w:tbl>
      <w:tblPr>
        <w:tblLayout w:type="fixed"/>
        <w:tblInd w:w="190" w:type="dxa"/>
        <w:tblCellMar>
          <w:top w:w="0" w:type="dxa"/>
          <w:left w:w="0" w:type="dxa"/>
          <w:bottom w:w="0" w:type="dxa"/>
          <w:right w:w="0" w:type="dxa"/>
        </w:tblCellMar>
      </w:tblPr>
      <w:tr>
        <w:trPr>
          <w:trHeight w:val="290"/>
        </w:trPr>
        <w:tc>
          <w:tcPr>
            <w:tcW w:w="5200" w:type="dxa"/>
            <w:vAlign w:val="bottom"/>
            <w:tcBorders>
              <w:top w:val="single" w:sz="8" w:color="auto"/>
              <w:left w:val="single" w:sz="8" w:color="auto"/>
              <w:bottom w:val="single" w:sz="8" w:color="003E64"/>
            </w:tcBorders>
            <w:shd w:val="clear" w:color="auto" w:fill="003E64"/>
          </w:tcPr>
          <w:p>
            <w:pPr>
              <w:ind w:left="60"/>
              <w:spacing w:after="0"/>
              <w:rPr>
                <w:sz w:val="20"/>
                <w:szCs w:val="20"/>
                <w:color w:val="auto"/>
              </w:rPr>
            </w:pPr>
            <w:r>
              <w:rPr>
                <w:rFonts w:ascii="Arial" w:cs="Arial" w:eastAsia="Arial" w:hAnsi="Arial"/>
                <w:sz w:val="18"/>
                <w:szCs w:val="18"/>
                <w:b w:val="1"/>
                <w:bCs w:val="1"/>
                <w:color w:val="FFFFFF"/>
              </w:rPr>
              <w:t>Until 11:59 p.m., Eastern time, on June 5, 2019</w:t>
            </w:r>
          </w:p>
        </w:tc>
        <w:tc>
          <w:tcPr>
            <w:tcW w:w="5860" w:type="dxa"/>
            <w:vAlign w:val="bottom"/>
            <w:tcBorders>
              <w:top w:val="single" w:sz="8" w:color="auto"/>
              <w:bottom w:val="single" w:sz="8" w:color="003E64"/>
              <w:right w:val="single" w:sz="8" w:color="auto"/>
            </w:tcBorders>
            <w:shd w:val="clear" w:color="auto" w:fill="003E64"/>
          </w:tcPr>
          <w:p>
            <w:pPr>
              <w:ind w:left="600"/>
              <w:spacing w:after="0"/>
              <w:rPr>
                <w:sz w:val="20"/>
                <w:szCs w:val="20"/>
                <w:color w:val="auto"/>
              </w:rPr>
            </w:pPr>
            <w:r>
              <w:rPr>
                <w:rFonts w:ascii="Arial" w:cs="Arial" w:eastAsia="Arial" w:hAnsi="Arial"/>
                <w:sz w:val="18"/>
                <w:szCs w:val="18"/>
                <w:b w:val="1"/>
                <w:bCs w:val="1"/>
                <w:color w:val="FFFFFF"/>
              </w:rPr>
              <w:t>At the Annual Meeting on June 6, 2019</w:t>
            </w:r>
          </w:p>
        </w:tc>
      </w:tr>
      <w:tr>
        <w:trPr>
          <w:trHeight w:val="224"/>
        </w:trPr>
        <w:tc>
          <w:tcPr>
            <w:tcW w:w="5200" w:type="dxa"/>
            <w:vAlign w:val="bottom"/>
          </w:tcPr>
          <w:p>
            <w:pPr>
              <w:ind w:left="60"/>
              <w:spacing w:after="0"/>
              <w:rPr>
                <w:sz w:val="20"/>
                <w:szCs w:val="20"/>
                <w:color w:val="auto"/>
              </w:rPr>
            </w:pPr>
            <w:r>
              <w:rPr>
                <w:rFonts w:ascii="Arial" w:cs="Arial" w:eastAsia="Arial" w:hAnsi="Arial"/>
                <w:sz w:val="18"/>
                <w:szCs w:val="18"/>
                <w:color w:val="009299"/>
              </w:rPr>
              <w:t xml:space="preserve">• </w:t>
            </w:r>
            <w:r>
              <w:rPr>
                <w:rFonts w:ascii="Arial" w:cs="Arial" w:eastAsia="Arial" w:hAnsi="Arial"/>
                <w:sz w:val="18"/>
                <w:szCs w:val="18"/>
                <w:b w:val="1"/>
                <w:bCs w:val="1"/>
                <w:color w:val="4D4D4F"/>
              </w:rPr>
              <w:t>Internet:</w:t>
            </w:r>
            <w:r>
              <w:rPr>
                <w:rFonts w:ascii="Arial" w:cs="Arial" w:eastAsia="Arial" w:hAnsi="Arial"/>
                <w:sz w:val="18"/>
                <w:szCs w:val="18"/>
                <w:color w:val="009299"/>
              </w:rPr>
              <w:t xml:space="preserve"> </w:t>
            </w:r>
            <w:r>
              <w:rPr>
                <w:rFonts w:ascii="Arial" w:cs="Arial" w:eastAsia="Arial" w:hAnsi="Arial"/>
                <w:sz w:val="18"/>
                <w:szCs w:val="18"/>
                <w:color w:val="4D4D4F"/>
              </w:rPr>
              <w:t>From any web-enabled device:</w:t>
            </w:r>
            <w:r>
              <w:rPr>
                <w:rFonts w:ascii="Arial" w:cs="Arial" w:eastAsia="Arial" w:hAnsi="Arial"/>
                <w:sz w:val="18"/>
                <w:szCs w:val="18"/>
                <w:color w:val="009299"/>
              </w:rPr>
              <w:t xml:space="preserve"> </w:t>
            </w:r>
            <w:r>
              <w:rPr>
                <w:rFonts w:ascii="Arial" w:cs="Arial" w:eastAsia="Arial" w:hAnsi="Arial"/>
                <w:sz w:val="18"/>
                <w:szCs w:val="18"/>
                <w:i w:val="1"/>
                <w:iCs w:val="1"/>
                <w:color w:val="4D4D4F"/>
              </w:rPr>
              <w:t>proxyvote.com</w:t>
            </w:r>
          </w:p>
        </w:tc>
        <w:tc>
          <w:tcPr>
            <w:tcW w:w="5860" w:type="dxa"/>
            <w:vAlign w:val="bottom"/>
          </w:tcPr>
          <w:p>
            <w:pPr>
              <w:ind w:left="600"/>
              <w:spacing w:after="0"/>
              <w:rPr>
                <w:sz w:val="20"/>
                <w:szCs w:val="20"/>
                <w:color w:val="auto"/>
              </w:rPr>
            </w:pPr>
            <w:r>
              <w:rPr>
                <w:rFonts w:ascii="Arial" w:cs="Arial" w:eastAsia="Arial" w:hAnsi="Arial"/>
                <w:sz w:val="18"/>
                <w:szCs w:val="18"/>
                <w:color w:val="009299"/>
              </w:rPr>
              <w:t xml:space="preserve">• </w:t>
            </w:r>
            <w:r>
              <w:rPr>
                <w:rFonts w:ascii="Arial" w:cs="Arial" w:eastAsia="Arial" w:hAnsi="Arial"/>
                <w:sz w:val="18"/>
                <w:szCs w:val="18"/>
                <w:b w:val="1"/>
                <w:bCs w:val="1"/>
                <w:color w:val="4D4D4F"/>
              </w:rPr>
              <w:t>Internet:</w:t>
            </w:r>
            <w:r>
              <w:rPr>
                <w:rFonts w:ascii="Arial" w:cs="Arial" w:eastAsia="Arial" w:hAnsi="Arial"/>
                <w:sz w:val="18"/>
                <w:szCs w:val="18"/>
                <w:color w:val="009299"/>
              </w:rPr>
              <w:t xml:space="preserve"> </w:t>
            </w:r>
            <w:r>
              <w:rPr>
                <w:rFonts w:ascii="Arial" w:cs="Arial" w:eastAsia="Arial" w:hAnsi="Arial"/>
                <w:sz w:val="18"/>
                <w:szCs w:val="18"/>
                <w:color w:val="000000"/>
              </w:rPr>
              <w:t>J</w:t>
            </w:r>
            <w:r>
              <w:rPr>
                <w:rFonts w:ascii="Arial" w:cs="Arial" w:eastAsia="Arial" w:hAnsi="Arial"/>
                <w:sz w:val="18"/>
                <w:szCs w:val="18"/>
                <w:color w:val="4D4D4F"/>
              </w:rPr>
              <w:t>oining the Annual Meeting at</w:t>
            </w:r>
          </w:p>
        </w:tc>
      </w:tr>
      <w:tr>
        <w:trPr>
          <w:trHeight w:val="235"/>
        </w:trPr>
        <w:tc>
          <w:tcPr>
            <w:tcW w:w="5200" w:type="dxa"/>
            <w:vAlign w:val="bottom"/>
          </w:tcPr>
          <w:p>
            <w:pPr>
              <w:spacing w:after="0"/>
              <w:rPr>
                <w:sz w:val="20"/>
                <w:szCs w:val="20"/>
                <w:color w:val="auto"/>
              </w:rPr>
            </w:pPr>
          </w:p>
        </w:tc>
        <w:tc>
          <w:tcPr>
            <w:tcW w:w="5860" w:type="dxa"/>
            <w:vAlign w:val="bottom"/>
          </w:tcPr>
          <w:p>
            <w:pPr>
              <w:ind w:left="700"/>
              <w:spacing w:after="0"/>
              <w:rPr>
                <w:sz w:val="20"/>
                <w:szCs w:val="20"/>
                <w:color w:val="auto"/>
              </w:rPr>
            </w:pPr>
            <w:r>
              <w:rPr>
                <w:rFonts w:ascii="Arial" w:cs="Arial" w:eastAsia="Arial" w:hAnsi="Arial"/>
                <w:sz w:val="18"/>
                <w:szCs w:val="18"/>
                <w:i w:val="1"/>
                <w:iCs w:val="1"/>
                <w:color w:val="4D4D4F"/>
              </w:rPr>
              <w:t>virtualshareholdermeeting.com/ACMR2019</w:t>
            </w:r>
          </w:p>
        </w:tc>
      </w:tr>
      <w:tr>
        <w:trPr>
          <w:trHeight w:val="337"/>
        </w:trPr>
        <w:tc>
          <w:tcPr>
            <w:tcW w:w="5200" w:type="dxa"/>
            <w:vAlign w:val="bottom"/>
          </w:tcPr>
          <w:p>
            <w:pPr>
              <w:ind w:left="60"/>
              <w:spacing w:after="0"/>
              <w:rPr>
                <w:sz w:val="20"/>
                <w:szCs w:val="20"/>
                <w:color w:val="auto"/>
              </w:rPr>
            </w:pPr>
            <w:r>
              <w:rPr>
                <w:rFonts w:ascii="Arial" w:cs="Arial" w:eastAsia="Arial" w:hAnsi="Arial"/>
                <w:sz w:val="18"/>
                <w:szCs w:val="18"/>
                <w:color w:val="009299"/>
              </w:rPr>
              <w:t xml:space="preserve">• </w:t>
            </w:r>
            <w:r>
              <w:rPr>
                <w:rFonts w:ascii="Arial" w:cs="Arial" w:eastAsia="Arial" w:hAnsi="Arial"/>
                <w:sz w:val="18"/>
                <w:szCs w:val="18"/>
                <w:b w:val="1"/>
                <w:bCs w:val="1"/>
                <w:color w:val="4D4D4F"/>
              </w:rPr>
              <w:t>Telephone:</w:t>
            </w:r>
            <w:r>
              <w:rPr>
                <w:rFonts w:ascii="Arial" w:cs="Arial" w:eastAsia="Arial" w:hAnsi="Arial"/>
                <w:sz w:val="18"/>
                <w:szCs w:val="18"/>
                <w:color w:val="009299"/>
              </w:rPr>
              <w:t xml:space="preserve"> </w:t>
            </w:r>
            <w:r>
              <w:rPr>
                <w:rFonts w:ascii="Arial" w:cs="Arial" w:eastAsia="Arial" w:hAnsi="Arial"/>
                <w:sz w:val="18"/>
                <w:szCs w:val="18"/>
                <w:color w:val="4D4D4F"/>
              </w:rPr>
              <w:t>+1.800.690.6903</w:t>
            </w:r>
          </w:p>
        </w:tc>
        <w:tc>
          <w:tcPr>
            <w:tcW w:w="5860" w:type="dxa"/>
            <w:vAlign w:val="bottom"/>
          </w:tcPr>
          <w:p>
            <w:pPr>
              <w:spacing w:after="0"/>
              <w:rPr>
                <w:sz w:val="24"/>
                <w:szCs w:val="24"/>
                <w:color w:val="auto"/>
              </w:rPr>
            </w:pPr>
          </w:p>
        </w:tc>
      </w:tr>
      <w:tr>
        <w:trPr>
          <w:trHeight w:val="472"/>
        </w:trPr>
        <w:tc>
          <w:tcPr>
            <w:tcW w:w="5200" w:type="dxa"/>
            <w:vAlign w:val="bottom"/>
          </w:tcPr>
          <w:p>
            <w:pPr>
              <w:ind w:left="60"/>
              <w:spacing w:after="0"/>
              <w:rPr>
                <w:sz w:val="20"/>
                <w:szCs w:val="20"/>
                <w:color w:val="auto"/>
              </w:rPr>
            </w:pPr>
            <w:r>
              <w:rPr>
                <w:rFonts w:ascii="Arial" w:cs="Arial" w:eastAsia="Arial" w:hAnsi="Arial"/>
                <w:sz w:val="18"/>
                <w:szCs w:val="18"/>
                <w:color w:val="009299"/>
              </w:rPr>
              <w:t xml:space="preserve">• </w:t>
            </w:r>
            <w:r>
              <w:rPr>
                <w:rFonts w:ascii="Arial" w:cs="Arial" w:eastAsia="Arial" w:hAnsi="Arial"/>
                <w:sz w:val="18"/>
                <w:szCs w:val="18"/>
                <w:color w:val="000000"/>
              </w:rPr>
              <w:t>Completed, signed and returned</w:t>
            </w:r>
            <w:r>
              <w:rPr>
                <w:rFonts w:ascii="Arial" w:cs="Arial" w:eastAsia="Arial" w:hAnsi="Arial"/>
                <w:sz w:val="18"/>
                <w:szCs w:val="18"/>
                <w:color w:val="009299"/>
              </w:rPr>
              <w:t xml:space="preserve"> </w:t>
            </w:r>
            <w:r>
              <w:rPr>
                <w:rFonts w:ascii="Arial" w:cs="Arial" w:eastAsia="Arial" w:hAnsi="Arial"/>
                <w:sz w:val="18"/>
                <w:szCs w:val="18"/>
                <w:b w:val="1"/>
                <w:bCs w:val="1"/>
                <w:color w:val="000000"/>
              </w:rPr>
              <w:t>proxy card</w:t>
            </w:r>
          </w:p>
        </w:tc>
        <w:tc>
          <w:tcPr>
            <w:tcW w:w="58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type w:val="continuous"/>
        </w:sectPr>
      </w:pPr>
    </w:p>
    <w:bookmarkStart w:id="7" w:name="page8"/>
    <w:bookmarkEnd w:id="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116840</wp:posOffset>
            </wp:positionV>
            <wp:extent cx="7299325" cy="56921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9325" cy="5692140"/>
                    </a:xfrm>
                    <a:prstGeom prst="rect">
                      <a:avLst/>
                    </a:prstGeom>
                    <a:noFill/>
                  </pic:spPr>
                </pic:pic>
              </a:graphicData>
            </a:graphic>
          </wp:anchor>
        </w:drawing>
      </w:r>
    </w:p>
    <w:p>
      <w:pPr>
        <w:spacing w:after="0" w:line="331" w:lineRule="exact"/>
        <w:rPr>
          <w:sz w:val="20"/>
          <w:szCs w:val="20"/>
          <w:color w:val="auto"/>
        </w:rPr>
      </w:pPr>
    </w:p>
    <w:p>
      <w:pPr>
        <w:ind w:left="1020"/>
        <w:spacing w:after="0"/>
        <w:rPr>
          <w:sz w:val="20"/>
          <w:szCs w:val="20"/>
          <w:color w:val="auto"/>
        </w:rPr>
      </w:pPr>
      <w:r>
        <w:rPr>
          <w:rFonts w:ascii="Arial" w:cs="Arial" w:eastAsia="Arial" w:hAnsi="Arial"/>
          <w:sz w:val="22"/>
          <w:szCs w:val="22"/>
          <w:b w:val="1"/>
          <w:bCs w:val="1"/>
          <w:color w:val="0079C0"/>
        </w:rPr>
        <w:t>Election of Directors</w:t>
      </w:r>
    </w:p>
    <w:p>
      <w:pPr>
        <w:spacing w:after="0" w:line="305" w:lineRule="exact"/>
        <w:rPr>
          <w:sz w:val="20"/>
          <w:szCs w:val="20"/>
          <w:color w:val="auto"/>
        </w:rPr>
      </w:pPr>
    </w:p>
    <w:p>
      <w:pPr>
        <w:ind w:left="120"/>
        <w:spacing w:after="0" w:line="245" w:lineRule="auto"/>
        <w:rPr>
          <w:sz w:val="20"/>
          <w:szCs w:val="20"/>
          <w:color w:val="auto"/>
        </w:rPr>
      </w:pPr>
      <w:r>
        <w:rPr>
          <w:rFonts w:ascii="Arial" w:cs="Arial" w:eastAsia="Arial" w:hAnsi="Arial"/>
          <w:sz w:val="18"/>
          <w:szCs w:val="18"/>
          <w:color w:val="auto"/>
        </w:rPr>
        <w:t>As the first proposal, we are asking stockholders to elect the following six director nominees, each of whom currently serves as a member of the board of directors. The following information pertains to each director nominee as of June 6, 2019.</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248"/>
        </w:trPr>
        <w:tc>
          <w:tcPr>
            <w:tcW w:w="1640" w:type="dxa"/>
            <w:vAlign w:val="bottom"/>
            <w:tcBorders>
              <w:top w:val="single" w:sz="8" w:color="auto"/>
            </w:tcBorders>
            <w:shd w:val="clear" w:color="auto" w:fill="003E64"/>
          </w:tcPr>
          <w:p>
            <w:pPr>
              <w:spacing w:after="0"/>
              <w:rPr>
                <w:sz w:val="21"/>
                <w:szCs w:val="21"/>
                <w:color w:val="auto"/>
              </w:rPr>
            </w:pPr>
          </w:p>
        </w:tc>
        <w:tc>
          <w:tcPr>
            <w:tcW w:w="440" w:type="dxa"/>
            <w:vAlign w:val="bottom"/>
            <w:tcBorders>
              <w:top w:val="single" w:sz="8" w:color="auto"/>
            </w:tcBorders>
            <w:shd w:val="clear" w:color="auto" w:fill="003E64"/>
          </w:tcPr>
          <w:p>
            <w:pPr>
              <w:spacing w:after="0"/>
              <w:rPr>
                <w:sz w:val="21"/>
                <w:szCs w:val="21"/>
                <w:color w:val="auto"/>
              </w:rPr>
            </w:pPr>
          </w:p>
        </w:tc>
        <w:tc>
          <w:tcPr>
            <w:tcW w:w="800" w:type="dxa"/>
            <w:vAlign w:val="bottom"/>
            <w:tcBorders>
              <w:top w:val="single" w:sz="8" w:color="auto"/>
            </w:tcBorders>
            <w:shd w:val="clear" w:color="auto" w:fill="003E64"/>
          </w:tcPr>
          <w:p>
            <w:pPr>
              <w:jc w:val="center"/>
              <w:spacing w:after="0"/>
              <w:rPr>
                <w:sz w:val="20"/>
                <w:szCs w:val="20"/>
                <w:color w:val="auto"/>
              </w:rPr>
            </w:pPr>
            <w:r>
              <w:rPr>
                <w:rFonts w:ascii="Arial" w:cs="Arial" w:eastAsia="Arial" w:hAnsi="Arial"/>
                <w:sz w:val="13"/>
                <w:szCs w:val="13"/>
                <w:b w:val="1"/>
                <w:bCs w:val="1"/>
                <w:color w:val="FFFFFF"/>
                <w:w w:val="96"/>
              </w:rPr>
              <w:t>Director</w:t>
            </w:r>
          </w:p>
        </w:tc>
        <w:tc>
          <w:tcPr>
            <w:tcW w:w="2180" w:type="dxa"/>
            <w:vAlign w:val="bottom"/>
            <w:tcBorders>
              <w:top w:val="single" w:sz="8" w:color="auto"/>
            </w:tcBorders>
            <w:shd w:val="clear" w:color="auto" w:fill="003E64"/>
          </w:tcPr>
          <w:p>
            <w:pPr>
              <w:spacing w:after="0"/>
              <w:rPr>
                <w:sz w:val="21"/>
                <w:szCs w:val="21"/>
                <w:color w:val="auto"/>
              </w:rPr>
            </w:pPr>
          </w:p>
        </w:tc>
        <w:tc>
          <w:tcPr>
            <w:tcW w:w="1500" w:type="dxa"/>
            <w:vAlign w:val="bottom"/>
            <w:tcBorders>
              <w:top w:val="single" w:sz="8" w:color="auto"/>
            </w:tcBorders>
            <w:shd w:val="clear" w:color="auto" w:fill="003E64"/>
          </w:tcPr>
          <w:p>
            <w:pPr>
              <w:ind w:left="520"/>
              <w:spacing w:after="0"/>
              <w:rPr>
                <w:sz w:val="20"/>
                <w:szCs w:val="20"/>
                <w:color w:val="auto"/>
              </w:rPr>
            </w:pPr>
            <w:r>
              <w:rPr>
                <w:rFonts w:ascii="Arial" w:cs="Arial" w:eastAsia="Arial" w:hAnsi="Arial"/>
                <w:sz w:val="13"/>
                <w:szCs w:val="13"/>
                <w:b w:val="1"/>
                <w:bCs w:val="1"/>
                <w:color w:val="FFFFFF"/>
              </w:rPr>
              <w:t>Experience/</w:t>
            </w:r>
          </w:p>
        </w:tc>
        <w:tc>
          <w:tcPr>
            <w:tcW w:w="1060" w:type="dxa"/>
            <w:vAlign w:val="bottom"/>
            <w:tcBorders>
              <w:top w:val="single" w:sz="8" w:color="auto"/>
            </w:tcBorders>
            <w:gridSpan w:val="2"/>
            <w:shd w:val="clear" w:color="auto" w:fill="003E64"/>
          </w:tcPr>
          <w:p>
            <w:pPr>
              <w:ind w:left="200"/>
              <w:spacing w:after="0"/>
              <w:rPr>
                <w:sz w:val="20"/>
                <w:szCs w:val="20"/>
                <w:color w:val="auto"/>
              </w:rPr>
            </w:pPr>
            <w:r>
              <w:rPr>
                <w:rFonts w:ascii="Arial" w:cs="Arial" w:eastAsia="Arial" w:hAnsi="Arial"/>
                <w:sz w:val="13"/>
                <w:szCs w:val="13"/>
                <w:b w:val="1"/>
                <w:bCs w:val="1"/>
                <w:color w:val="FFFFFF"/>
              </w:rPr>
              <w:t>Independent</w:t>
            </w:r>
          </w:p>
        </w:tc>
        <w:tc>
          <w:tcPr>
            <w:tcW w:w="1660" w:type="dxa"/>
            <w:vAlign w:val="bottom"/>
            <w:tcBorders>
              <w:top w:val="single" w:sz="8" w:color="auto"/>
            </w:tcBorders>
            <w:shd w:val="clear" w:color="auto" w:fill="003E64"/>
          </w:tcPr>
          <w:p>
            <w:pPr>
              <w:jc w:val="center"/>
              <w:ind w:left="233"/>
              <w:spacing w:after="0"/>
              <w:rPr>
                <w:sz w:val="20"/>
                <w:szCs w:val="20"/>
                <w:color w:val="auto"/>
              </w:rPr>
            </w:pPr>
            <w:r>
              <w:rPr>
                <w:rFonts w:ascii="Arial" w:cs="Arial" w:eastAsia="Arial" w:hAnsi="Arial"/>
                <w:sz w:val="13"/>
                <w:szCs w:val="13"/>
                <w:b w:val="1"/>
                <w:bCs w:val="1"/>
                <w:color w:val="FFFFFF"/>
                <w:w w:val="95"/>
              </w:rPr>
              <w:t>Committee</w:t>
            </w:r>
          </w:p>
        </w:tc>
        <w:tc>
          <w:tcPr>
            <w:tcW w:w="2020" w:type="dxa"/>
            <w:vAlign w:val="bottom"/>
            <w:tcBorders>
              <w:top w:val="single" w:sz="8" w:color="auto"/>
            </w:tcBorders>
            <w:shd w:val="clear" w:color="auto" w:fill="003E64"/>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1640" w:type="dxa"/>
            <w:vAlign w:val="bottom"/>
            <w:vMerge w:val="restart"/>
            <w:shd w:val="clear" w:color="auto" w:fill="003E64"/>
          </w:tcPr>
          <w:p>
            <w:pPr>
              <w:jc w:val="right"/>
              <w:ind w:right="571"/>
              <w:spacing w:after="0"/>
              <w:rPr>
                <w:sz w:val="20"/>
                <w:szCs w:val="20"/>
                <w:color w:val="auto"/>
              </w:rPr>
            </w:pPr>
            <w:r>
              <w:rPr>
                <w:rFonts w:ascii="Arial" w:cs="Arial" w:eastAsia="Arial" w:hAnsi="Arial"/>
                <w:sz w:val="13"/>
                <w:szCs w:val="13"/>
                <w:b w:val="1"/>
                <w:bCs w:val="1"/>
                <w:color w:val="FFFFFF"/>
              </w:rPr>
              <w:t>Name</w:t>
            </w:r>
          </w:p>
        </w:tc>
        <w:tc>
          <w:tcPr>
            <w:tcW w:w="440" w:type="dxa"/>
            <w:vAlign w:val="bottom"/>
            <w:vMerge w:val="restart"/>
            <w:shd w:val="clear" w:color="auto" w:fill="003E64"/>
          </w:tcPr>
          <w:p>
            <w:pPr>
              <w:jc w:val="center"/>
              <w:spacing w:after="0"/>
              <w:rPr>
                <w:sz w:val="20"/>
                <w:szCs w:val="20"/>
                <w:color w:val="auto"/>
              </w:rPr>
            </w:pPr>
            <w:r>
              <w:rPr>
                <w:rFonts w:ascii="Arial" w:cs="Arial" w:eastAsia="Arial" w:hAnsi="Arial"/>
                <w:sz w:val="13"/>
                <w:szCs w:val="13"/>
                <w:b w:val="1"/>
                <w:bCs w:val="1"/>
                <w:color w:val="FFFFFF"/>
                <w:w w:val="97"/>
              </w:rPr>
              <w:t>Age</w:t>
            </w:r>
          </w:p>
        </w:tc>
        <w:tc>
          <w:tcPr>
            <w:tcW w:w="800" w:type="dxa"/>
            <w:vAlign w:val="bottom"/>
            <w:shd w:val="clear" w:color="auto" w:fill="003E64"/>
          </w:tcPr>
          <w:p>
            <w:pPr>
              <w:jc w:val="center"/>
              <w:spacing w:after="0"/>
              <w:rPr>
                <w:sz w:val="20"/>
                <w:szCs w:val="20"/>
                <w:color w:val="auto"/>
              </w:rPr>
            </w:pPr>
            <w:r>
              <w:rPr>
                <w:rFonts w:ascii="Arial" w:cs="Arial" w:eastAsia="Arial" w:hAnsi="Arial"/>
                <w:sz w:val="13"/>
                <w:szCs w:val="13"/>
                <w:b w:val="1"/>
                <w:bCs w:val="1"/>
                <w:color w:val="FFFFFF"/>
                <w:w w:val="97"/>
              </w:rPr>
              <w:t>Since</w:t>
            </w:r>
          </w:p>
        </w:tc>
        <w:tc>
          <w:tcPr>
            <w:tcW w:w="2180" w:type="dxa"/>
            <w:vAlign w:val="bottom"/>
            <w:vMerge w:val="restart"/>
            <w:shd w:val="clear" w:color="auto" w:fill="003E64"/>
          </w:tcPr>
          <w:p>
            <w:pPr>
              <w:ind w:left="740"/>
              <w:spacing w:after="0"/>
              <w:rPr>
                <w:sz w:val="20"/>
                <w:szCs w:val="20"/>
                <w:color w:val="auto"/>
              </w:rPr>
            </w:pPr>
            <w:r>
              <w:rPr>
                <w:rFonts w:ascii="Arial" w:cs="Arial" w:eastAsia="Arial" w:hAnsi="Arial"/>
                <w:sz w:val="13"/>
                <w:szCs w:val="13"/>
                <w:b w:val="1"/>
                <w:bCs w:val="1"/>
                <w:color w:val="FFFFFF"/>
              </w:rPr>
              <w:t>Occupation</w:t>
            </w:r>
          </w:p>
        </w:tc>
        <w:tc>
          <w:tcPr>
            <w:tcW w:w="1500" w:type="dxa"/>
            <w:vAlign w:val="bottom"/>
            <w:vMerge w:val="restart"/>
            <w:shd w:val="clear" w:color="auto" w:fill="003E64"/>
          </w:tcPr>
          <w:p>
            <w:pPr>
              <w:ind w:left="460"/>
              <w:spacing w:after="0"/>
              <w:rPr>
                <w:sz w:val="20"/>
                <w:szCs w:val="20"/>
                <w:color w:val="auto"/>
              </w:rPr>
            </w:pPr>
            <w:r>
              <w:rPr>
                <w:rFonts w:ascii="Arial" w:cs="Arial" w:eastAsia="Arial" w:hAnsi="Arial"/>
                <w:sz w:val="13"/>
                <w:szCs w:val="13"/>
                <w:b w:val="1"/>
                <w:bCs w:val="1"/>
                <w:color w:val="FFFFFF"/>
              </w:rPr>
              <w:t>Qualifications</w:t>
            </w:r>
          </w:p>
        </w:tc>
        <w:tc>
          <w:tcPr>
            <w:tcW w:w="600" w:type="dxa"/>
            <w:vAlign w:val="bottom"/>
            <w:vMerge w:val="restart"/>
            <w:shd w:val="clear" w:color="auto" w:fill="003E64"/>
          </w:tcPr>
          <w:p>
            <w:pPr>
              <w:ind w:left="200"/>
              <w:spacing w:after="0"/>
              <w:rPr>
                <w:sz w:val="20"/>
                <w:szCs w:val="20"/>
                <w:color w:val="auto"/>
              </w:rPr>
            </w:pPr>
            <w:r>
              <w:rPr>
                <w:rFonts w:ascii="Arial" w:cs="Arial" w:eastAsia="Arial" w:hAnsi="Arial"/>
                <w:sz w:val="13"/>
                <w:szCs w:val="13"/>
                <w:b w:val="1"/>
                <w:bCs w:val="1"/>
                <w:color w:val="FFFFFF"/>
              </w:rPr>
              <w:t>Yes</w:t>
            </w:r>
          </w:p>
        </w:tc>
        <w:tc>
          <w:tcPr>
            <w:tcW w:w="460" w:type="dxa"/>
            <w:vAlign w:val="bottom"/>
            <w:vMerge w:val="restart"/>
            <w:shd w:val="clear" w:color="auto" w:fill="003E64"/>
          </w:tcPr>
          <w:p>
            <w:pPr>
              <w:jc w:val="center"/>
              <w:spacing w:after="0"/>
              <w:rPr>
                <w:sz w:val="20"/>
                <w:szCs w:val="20"/>
                <w:color w:val="auto"/>
              </w:rPr>
            </w:pPr>
            <w:r>
              <w:rPr>
                <w:rFonts w:ascii="Arial" w:cs="Arial" w:eastAsia="Arial" w:hAnsi="Arial"/>
                <w:sz w:val="13"/>
                <w:szCs w:val="13"/>
                <w:b w:val="1"/>
                <w:bCs w:val="1"/>
                <w:color w:val="FFFFFF"/>
                <w:w w:val="92"/>
              </w:rPr>
              <w:t>No</w:t>
            </w:r>
          </w:p>
        </w:tc>
        <w:tc>
          <w:tcPr>
            <w:tcW w:w="1660" w:type="dxa"/>
            <w:vAlign w:val="bottom"/>
            <w:vMerge w:val="restart"/>
            <w:shd w:val="clear" w:color="auto" w:fill="003E64"/>
          </w:tcPr>
          <w:p>
            <w:pPr>
              <w:jc w:val="center"/>
              <w:ind w:left="233"/>
              <w:spacing w:after="0"/>
              <w:rPr>
                <w:sz w:val="20"/>
                <w:szCs w:val="20"/>
                <w:color w:val="auto"/>
              </w:rPr>
            </w:pPr>
            <w:r>
              <w:rPr>
                <w:rFonts w:ascii="Arial" w:cs="Arial" w:eastAsia="Arial" w:hAnsi="Arial"/>
                <w:sz w:val="13"/>
                <w:szCs w:val="13"/>
                <w:b w:val="1"/>
                <w:bCs w:val="1"/>
                <w:color w:val="FFFFFF"/>
                <w:w w:val="95"/>
              </w:rPr>
              <w:t>Memberships</w:t>
            </w:r>
          </w:p>
        </w:tc>
        <w:tc>
          <w:tcPr>
            <w:tcW w:w="2020" w:type="dxa"/>
            <w:vAlign w:val="bottom"/>
            <w:vMerge w:val="restart"/>
            <w:shd w:val="clear" w:color="auto" w:fill="003E64"/>
          </w:tcPr>
          <w:p>
            <w:pPr>
              <w:ind w:left="720"/>
              <w:spacing w:after="0"/>
              <w:rPr>
                <w:sz w:val="20"/>
                <w:szCs w:val="20"/>
                <w:color w:val="auto"/>
              </w:rPr>
            </w:pPr>
            <w:r>
              <w:rPr>
                <w:rFonts w:ascii="Arial" w:cs="Arial" w:eastAsia="Arial" w:hAnsi="Arial"/>
                <w:sz w:val="13"/>
                <w:szCs w:val="13"/>
                <w:b w:val="1"/>
                <w:bCs w:val="1"/>
                <w:color w:val="FFFFFF"/>
              </w:rPr>
              <w:t>Other Boards</w:t>
            </w:r>
          </w:p>
        </w:tc>
        <w:tc>
          <w:tcPr>
            <w:tcW w:w="0" w:type="dxa"/>
            <w:vAlign w:val="bottom"/>
          </w:tcPr>
          <w:p>
            <w:pPr>
              <w:spacing w:after="0"/>
              <w:rPr>
                <w:sz w:val="1"/>
                <w:szCs w:val="1"/>
                <w:color w:val="auto"/>
              </w:rPr>
            </w:pPr>
          </w:p>
        </w:tc>
      </w:tr>
      <w:tr>
        <w:trPr>
          <w:trHeight w:val="77"/>
        </w:trPr>
        <w:tc>
          <w:tcPr>
            <w:tcW w:w="1640" w:type="dxa"/>
            <w:vAlign w:val="bottom"/>
            <w:tcBorders>
              <w:bottom w:val="single" w:sz="8" w:color="003E64"/>
            </w:tcBorders>
            <w:vMerge w:val="continue"/>
            <w:shd w:val="clear" w:color="auto" w:fill="003E64"/>
          </w:tcPr>
          <w:p>
            <w:pPr>
              <w:spacing w:after="0"/>
              <w:rPr>
                <w:sz w:val="6"/>
                <w:szCs w:val="6"/>
                <w:color w:val="auto"/>
              </w:rPr>
            </w:pPr>
          </w:p>
        </w:tc>
        <w:tc>
          <w:tcPr>
            <w:tcW w:w="440" w:type="dxa"/>
            <w:vAlign w:val="bottom"/>
            <w:tcBorders>
              <w:bottom w:val="single" w:sz="8" w:color="003E64"/>
            </w:tcBorders>
            <w:vMerge w:val="continue"/>
            <w:shd w:val="clear" w:color="auto" w:fill="003E64"/>
          </w:tcPr>
          <w:p>
            <w:pPr>
              <w:spacing w:after="0"/>
              <w:rPr>
                <w:sz w:val="6"/>
                <w:szCs w:val="6"/>
                <w:color w:val="auto"/>
              </w:rPr>
            </w:pPr>
          </w:p>
        </w:tc>
        <w:tc>
          <w:tcPr>
            <w:tcW w:w="800" w:type="dxa"/>
            <w:vAlign w:val="bottom"/>
            <w:tcBorders>
              <w:bottom w:val="single" w:sz="8" w:color="003E64"/>
            </w:tcBorders>
            <w:shd w:val="clear" w:color="auto" w:fill="003E64"/>
          </w:tcPr>
          <w:p>
            <w:pPr>
              <w:spacing w:after="0"/>
              <w:rPr>
                <w:sz w:val="6"/>
                <w:szCs w:val="6"/>
                <w:color w:val="auto"/>
              </w:rPr>
            </w:pPr>
          </w:p>
        </w:tc>
        <w:tc>
          <w:tcPr>
            <w:tcW w:w="2180" w:type="dxa"/>
            <w:vAlign w:val="bottom"/>
            <w:tcBorders>
              <w:bottom w:val="single" w:sz="8" w:color="003E64"/>
            </w:tcBorders>
            <w:vMerge w:val="continue"/>
            <w:shd w:val="clear" w:color="auto" w:fill="003E64"/>
          </w:tcPr>
          <w:p>
            <w:pPr>
              <w:spacing w:after="0"/>
              <w:rPr>
                <w:sz w:val="6"/>
                <w:szCs w:val="6"/>
                <w:color w:val="auto"/>
              </w:rPr>
            </w:pPr>
          </w:p>
        </w:tc>
        <w:tc>
          <w:tcPr>
            <w:tcW w:w="1500" w:type="dxa"/>
            <w:vAlign w:val="bottom"/>
            <w:tcBorders>
              <w:bottom w:val="single" w:sz="8" w:color="003E64"/>
            </w:tcBorders>
            <w:vMerge w:val="continue"/>
            <w:shd w:val="clear" w:color="auto" w:fill="003E64"/>
          </w:tcPr>
          <w:p>
            <w:pPr>
              <w:spacing w:after="0"/>
              <w:rPr>
                <w:sz w:val="6"/>
                <w:szCs w:val="6"/>
                <w:color w:val="auto"/>
              </w:rPr>
            </w:pPr>
          </w:p>
        </w:tc>
        <w:tc>
          <w:tcPr>
            <w:tcW w:w="600" w:type="dxa"/>
            <w:vAlign w:val="bottom"/>
            <w:tcBorders>
              <w:bottom w:val="single" w:sz="8" w:color="003E64"/>
            </w:tcBorders>
            <w:vMerge w:val="continue"/>
            <w:shd w:val="clear" w:color="auto" w:fill="003E64"/>
          </w:tcPr>
          <w:p>
            <w:pPr>
              <w:spacing w:after="0"/>
              <w:rPr>
                <w:sz w:val="6"/>
                <w:szCs w:val="6"/>
                <w:color w:val="auto"/>
              </w:rPr>
            </w:pPr>
          </w:p>
        </w:tc>
        <w:tc>
          <w:tcPr>
            <w:tcW w:w="460" w:type="dxa"/>
            <w:vAlign w:val="bottom"/>
            <w:tcBorders>
              <w:bottom w:val="single" w:sz="8" w:color="003E64"/>
            </w:tcBorders>
            <w:vMerge w:val="continue"/>
            <w:shd w:val="clear" w:color="auto" w:fill="003E64"/>
          </w:tcPr>
          <w:p>
            <w:pPr>
              <w:spacing w:after="0"/>
              <w:rPr>
                <w:sz w:val="6"/>
                <w:szCs w:val="6"/>
                <w:color w:val="auto"/>
              </w:rPr>
            </w:pPr>
          </w:p>
        </w:tc>
        <w:tc>
          <w:tcPr>
            <w:tcW w:w="1660" w:type="dxa"/>
            <w:vAlign w:val="bottom"/>
            <w:tcBorders>
              <w:bottom w:val="single" w:sz="8" w:color="003E64"/>
            </w:tcBorders>
            <w:vMerge w:val="continue"/>
            <w:shd w:val="clear" w:color="auto" w:fill="003E64"/>
          </w:tcPr>
          <w:p>
            <w:pPr>
              <w:spacing w:after="0"/>
              <w:rPr>
                <w:sz w:val="6"/>
                <w:szCs w:val="6"/>
                <w:color w:val="auto"/>
              </w:rPr>
            </w:pPr>
          </w:p>
        </w:tc>
        <w:tc>
          <w:tcPr>
            <w:tcW w:w="2020" w:type="dxa"/>
            <w:vAlign w:val="bottom"/>
            <w:tcBorders>
              <w:bottom w:val="single" w:sz="8" w:color="003E64"/>
            </w:tcBorders>
            <w:vMerge w:val="continue"/>
            <w:shd w:val="clear" w:color="auto" w:fill="003E64"/>
          </w:tcPr>
          <w:p>
            <w:pPr>
              <w:spacing w:after="0"/>
              <w:rPr>
                <w:sz w:val="6"/>
                <w:szCs w:val="6"/>
                <w:color w:val="auto"/>
              </w:rPr>
            </w:pPr>
          </w:p>
        </w:tc>
        <w:tc>
          <w:tcPr>
            <w:tcW w:w="0" w:type="dxa"/>
            <w:vAlign w:val="bottom"/>
          </w:tcPr>
          <w:p>
            <w:pPr>
              <w:spacing w:after="0"/>
              <w:rPr>
                <w:sz w:val="1"/>
                <w:szCs w:val="1"/>
                <w:color w:val="auto"/>
              </w:rPr>
            </w:pPr>
          </w:p>
        </w:tc>
      </w:tr>
      <w:tr>
        <w:trPr>
          <w:trHeight w:val="369"/>
        </w:trPr>
        <w:tc>
          <w:tcPr>
            <w:tcW w:w="1640" w:type="dxa"/>
            <w:vAlign w:val="bottom"/>
          </w:tcPr>
          <w:p>
            <w:pPr>
              <w:jc w:val="right"/>
              <w:ind w:right="571"/>
              <w:spacing w:after="0"/>
              <w:rPr>
                <w:sz w:val="20"/>
                <w:szCs w:val="20"/>
                <w:color w:val="auto"/>
              </w:rPr>
            </w:pPr>
            <w:r>
              <w:rPr>
                <w:rFonts w:ascii="Arial" w:cs="Arial" w:eastAsia="Arial" w:hAnsi="Arial"/>
                <w:sz w:val="14"/>
                <w:szCs w:val="14"/>
                <w:color w:val="4D4D4F"/>
              </w:rPr>
              <w:t>David H. Wang</w:t>
            </w:r>
          </w:p>
        </w:tc>
        <w:tc>
          <w:tcPr>
            <w:tcW w:w="440" w:type="dxa"/>
            <w:vAlign w:val="bottom"/>
          </w:tcPr>
          <w:p>
            <w:pPr>
              <w:jc w:val="center"/>
              <w:spacing w:after="0"/>
              <w:rPr>
                <w:sz w:val="20"/>
                <w:szCs w:val="20"/>
                <w:color w:val="auto"/>
              </w:rPr>
            </w:pPr>
            <w:r>
              <w:rPr>
                <w:rFonts w:ascii="Arial" w:cs="Arial" w:eastAsia="Arial" w:hAnsi="Arial"/>
                <w:sz w:val="14"/>
                <w:szCs w:val="14"/>
                <w:color w:val="4D4D4F"/>
              </w:rPr>
              <w:t>57</w:t>
            </w:r>
          </w:p>
        </w:tc>
        <w:tc>
          <w:tcPr>
            <w:tcW w:w="800" w:type="dxa"/>
            <w:vAlign w:val="bottom"/>
          </w:tcPr>
          <w:p>
            <w:pPr>
              <w:jc w:val="center"/>
              <w:spacing w:after="0"/>
              <w:rPr>
                <w:sz w:val="20"/>
                <w:szCs w:val="20"/>
                <w:color w:val="auto"/>
              </w:rPr>
            </w:pPr>
            <w:r>
              <w:rPr>
                <w:rFonts w:ascii="Arial" w:cs="Arial" w:eastAsia="Arial" w:hAnsi="Arial"/>
                <w:sz w:val="14"/>
                <w:szCs w:val="14"/>
                <w:color w:val="4D4D4F"/>
              </w:rPr>
              <w:t>1998</w:t>
            </w:r>
          </w:p>
        </w:tc>
        <w:tc>
          <w:tcPr>
            <w:tcW w:w="2180" w:type="dxa"/>
            <w:vAlign w:val="bottom"/>
          </w:tcPr>
          <w:p>
            <w:pPr>
              <w:ind w:left="20"/>
              <w:spacing w:after="0"/>
              <w:rPr>
                <w:sz w:val="20"/>
                <w:szCs w:val="20"/>
                <w:color w:val="auto"/>
              </w:rPr>
            </w:pPr>
            <w:r>
              <w:rPr>
                <w:rFonts w:ascii="Arial" w:cs="Arial" w:eastAsia="Arial" w:hAnsi="Arial"/>
                <w:sz w:val="14"/>
                <w:szCs w:val="14"/>
                <w:color w:val="4D4D4F"/>
              </w:rPr>
              <w:t>Founder, Chief Executive Officer</w:t>
            </w:r>
          </w:p>
        </w:tc>
        <w:tc>
          <w:tcPr>
            <w:tcW w:w="1500" w:type="dxa"/>
            <w:vAlign w:val="bottom"/>
          </w:tcPr>
          <w:p>
            <w:pPr>
              <w:ind w:left="260"/>
              <w:spacing w:after="0"/>
              <w:rPr>
                <w:sz w:val="20"/>
                <w:szCs w:val="20"/>
                <w:color w:val="auto"/>
              </w:rPr>
            </w:pPr>
            <w:r>
              <w:rPr>
                <w:rFonts w:ascii="Arial" w:cs="Arial" w:eastAsia="Arial" w:hAnsi="Arial"/>
                <w:sz w:val="14"/>
                <w:szCs w:val="14"/>
                <w:color w:val="0079C0"/>
              </w:rPr>
              <w:t xml:space="preserve">• </w:t>
            </w:r>
            <w:r>
              <w:rPr>
                <w:rFonts w:ascii="Arial" w:cs="Arial" w:eastAsia="Arial" w:hAnsi="Arial"/>
                <w:sz w:val="14"/>
                <w:szCs w:val="14"/>
                <w:color w:val="4D4D4F"/>
              </w:rPr>
              <w:t>Industry</w:t>
            </w:r>
          </w:p>
        </w:tc>
        <w:tc>
          <w:tcPr>
            <w:tcW w:w="600" w:type="dxa"/>
            <w:vAlign w:val="bottom"/>
          </w:tcPr>
          <w:p>
            <w:pPr>
              <w:spacing w:after="0"/>
              <w:rPr>
                <w:sz w:val="24"/>
                <w:szCs w:val="24"/>
                <w:color w:val="auto"/>
              </w:rPr>
            </w:pPr>
          </w:p>
        </w:tc>
        <w:tc>
          <w:tcPr>
            <w:tcW w:w="4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shd w:val="clear" w:color="auto" w:fill="0079C0"/>
              </w:rPr>
              <w:t>✔</w:t>
            </w:r>
          </w:p>
        </w:tc>
        <w:tc>
          <w:tcPr>
            <w:tcW w:w="16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80" w:type="dxa"/>
            <w:vAlign w:val="bottom"/>
          </w:tcPr>
          <w:p>
            <w:pPr>
              <w:ind w:left="20"/>
              <w:spacing w:after="0"/>
              <w:rPr>
                <w:sz w:val="20"/>
                <w:szCs w:val="20"/>
                <w:color w:val="auto"/>
              </w:rPr>
            </w:pPr>
            <w:r>
              <w:rPr>
                <w:rFonts w:ascii="Arial" w:cs="Arial" w:eastAsia="Arial" w:hAnsi="Arial"/>
                <w:sz w:val="14"/>
                <w:szCs w:val="14"/>
                <w:color w:val="4D4D4F"/>
              </w:rPr>
              <w:t>and President of ACM Research</w:t>
            </w:r>
          </w:p>
        </w:tc>
        <w:tc>
          <w:tcPr>
            <w:tcW w:w="1500" w:type="dxa"/>
            <w:vAlign w:val="bottom"/>
            <w:vMerge w:val="restart"/>
          </w:tcPr>
          <w:p>
            <w:pPr>
              <w:ind w:left="260"/>
              <w:spacing w:after="0"/>
              <w:rPr>
                <w:sz w:val="20"/>
                <w:szCs w:val="20"/>
                <w:color w:val="auto"/>
              </w:rPr>
            </w:pPr>
            <w:r>
              <w:rPr>
                <w:rFonts w:ascii="Arial" w:cs="Arial" w:eastAsia="Arial" w:hAnsi="Arial"/>
                <w:sz w:val="14"/>
                <w:szCs w:val="14"/>
                <w:color w:val="0079C0"/>
              </w:rPr>
              <w:t xml:space="preserve">• </w:t>
            </w:r>
            <w:r>
              <w:rPr>
                <w:rFonts w:ascii="Arial" w:cs="Arial" w:eastAsia="Arial" w:hAnsi="Arial"/>
                <w:sz w:val="14"/>
                <w:szCs w:val="14"/>
                <w:color w:val="4D4D4F"/>
              </w:rPr>
              <w:t>Innovation</w:t>
            </w: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500" w:type="dxa"/>
            <w:vAlign w:val="bottom"/>
          </w:tcPr>
          <w:p>
            <w:pPr>
              <w:ind w:left="260"/>
              <w:spacing w:after="0"/>
              <w:rPr>
                <w:sz w:val="20"/>
                <w:szCs w:val="20"/>
                <w:color w:val="auto"/>
              </w:rPr>
            </w:pPr>
            <w:r>
              <w:rPr>
                <w:rFonts w:ascii="Arial" w:cs="Arial" w:eastAsia="Arial" w:hAnsi="Arial"/>
                <w:sz w:val="14"/>
                <w:szCs w:val="14"/>
                <w:color w:val="0079C0"/>
              </w:rPr>
              <w:t xml:space="preserve">• </w:t>
            </w:r>
            <w:r>
              <w:rPr>
                <w:rFonts w:ascii="Arial" w:cs="Arial" w:eastAsia="Arial" w:hAnsi="Arial"/>
                <w:sz w:val="14"/>
                <w:szCs w:val="14"/>
                <w:color w:val="4D4D4F"/>
              </w:rPr>
              <w:t>Leadership</w:t>
            </w: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9"/>
        </w:trPr>
        <w:tc>
          <w:tcPr>
            <w:tcW w:w="1640" w:type="dxa"/>
            <w:vAlign w:val="bottom"/>
            <w:shd w:val="clear" w:color="auto" w:fill="B7E4FF"/>
          </w:tcPr>
          <w:p>
            <w:pPr>
              <w:jc w:val="right"/>
              <w:ind w:right="751"/>
              <w:spacing w:after="0"/>
              <w:rPr>
                <w:sz w:val="20"/>
                <w:szCs w:val="20"/>
                <w:color w:val="auto"/>
              </w:rPr>
            </w:pPr>
            <w:r>
              <w:rPr>
                <w:rFonts w:ascii="Arial" w:cs="Arial" w:eastAsia="Arial" w:hAnsi="Arial"/>
                <w:sz w:val="14"/>
                <w:szCs w:val="14"/>
                <w:color w:val="4D4D4F"/>
              </w:rPr>
              <w:t>Haiping Dun</w:t>
            </w:r>
          </w:p>
        </w:tc>
        <w:tc>
          <w:tcPr>
            <w:tcW w:w="44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69</w:t>
            </w:r>
          </w:p>
        </w:tc>
        <w:tc>
          <w:tcPr>
            <w:tcW w:w="80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2003</w:t>
            </w:r>
          </w:p>
        </w:tc>
        <w:tc>
          <w:tcPr>
            <w:tcW w:w="2180" w:type="dxa"/>
            <w:vAlign w:val="bottom"/>
            <w:shd w:val="clear" w:color="auto" w:fill="B7E4FF"/>
          </w:tcPr>
          <w:p>
            <w:pPr>
              <w:ind w:left="20"/>
              <w:spacing w:after="0"/>
              <w:rPr>
                <w:sz w:val="20"/>
                <w:szCs w:val="20"/>
                <w:color w:val="auto"/>
              </w:rPr>
            </w:pPr>
            <w:r>
              <w:rPr>
                <w:rFonts w:ascii="Arial" w:cs="Arial" w:eastAsia="Arial" w:hAnsi="Arial"/>
                <w:sz w:val="14"/>
                <w:szCs w:val="14"/>
                <w:color w:val="4D4D4F"/>
              </w:rPr>
              <w:t>Retired Senior Director of Intel</w:t>
            </w:r>
          </w:p>
        </w:tc>
        <w:tc>
          <w:tcPr>
            <w:tcW w:w="1500" w:type="dxa"/>
            <w:vAlign w:val="bottom"/>
            <w:shd w:val="clear" w:color="auto" w:fill="B7E4FF"/>
          </w:tcPr>
          <w:p>
            <w:pPr>
              <w:ind w:left="260"/>
              <w:spacing w:after="0"/>
              <w:rPr>
                <w:sz w:val="20"/>
                <w:szCs w:val="20"/>
                <w:color w:val="auto"/>
              </w:rPr>
            </w:pPr>
            <w:r>
              <w:rPr>
                <w:rFonts w:ascii="Arial" w:cs="Arial" w:eastAsia="Arial" w:hAnsi="Arial"/>
                <w:sz w:val="14"/>
                <w:szCs w:val="14"/>
                <w:color w:val="003E64"/>
              </w:rPr>
              <w:t xml:space="preserve">• </w:t>
            </w:r>
            <w:r>
              <w:rPr>
                <w:rFonts w:ascii="Arial" w:cs="Arial" w:eastAsia="Arial" w:hAnsi="Arial"/>
                <w:sz w:val="14"/>
                <w:szCs w:val="14"/>
                <w:color w:val="4D4D4F"/>
              </w:rPr>
              <w:t>Industry</w:t>
            </w:r>
          </w:p>
        </w:tc>
        <w:tc>
          <w:tcPr>
            <w:tcW w:w="600" w:type="dxa"/>
            <w:vAlign w:val="bottom"/>
            <w:shd w:val="clear" w:color="auto" w:fill="B7E4FF"/>
          </w:tcPr>
          <w:p>
            <w:pPr>
              <w:ind w:left="240"/>
              <w:spacing w:after="0" w:line="141" w:lineRule="exact"/>
              <w:rPr>
                <w:sz w:val="20"/>
                <w:szCs w:val="20"/>
                <w:color w:val="auto"/>
              </w:rPr>
            </w:pPr>
            <w:r>
              <w:rPr>
                <w:rFonts w:ascii="MS PGothic" w:cs="MS PGothic" w:eastAsia="MS PGothic" w:hAnsi="MS PGothic"/>
                <w:sz w:val="14"/>
                <w:szCs w:val="14"/>
                <w:color w:val="auto"/>
                <w:shd w:val="clear" w:color="auto" w:fill="003E64"/>
              </w:rPr>
              <w:t>✔</w:t>
            </w:r>
          </w:p>
        </w:tc>
        <w:tc>
          <w:tcPr>
            <w:tcW w:w="460" w:type="dxa"/>
            <w:vAlign w:val="bottom"/>
            <w:shd w:val="clear" w:color="auto" w:fill="B7E4FF"/>
          </w:tcPr>
          <w:p>
            <w:pPr>
              <w:spacing w:after="0"/>
              <w:rPr>
                <w:sz w:val="24"/>
                <w:szCs w:val="24"/>
                <w:color w:val="auto"/>
              </w:rPr>
            </w:pPr>
          </w:p>
        </w:tc>
        <w:tc>
          <w:tcPr>
            <w:tcW w:w="1660" w:type="dxa"/>
            <w:vAlign w:val="bottom"/>
            <w:shd w:val="clear" w:color="auto" w:fill="B7E4FF"/>
          </w:tcPr>
          <w:p>
            <w:pPr>
              <w:ind w:left="100"/>
              <w:spacing w:after="0"/>
              <w:rPr>
                <w:sz w:val="20"/>
                <w:szCs w:val="20"/>
                <w:color w:val="auto"/>
              </w:rPr>
            </w:pPr>
            <w:r>
              <w:rPr>
                <w:rFonts w:ascii="Arial" w:cs="Arial" w:eastAsia="Arial" w:hAnsi="Arial"/>
                <w:sz w:val="14"/>
                <w:szCs w:val="14"/>
                <w:color w:val="003E64"/>
              </w:rPr>
              <w:t xml:space="preserve">• </w:t>
            </w:r>
            <w:r>
              <w:rPr>
                <w:rFonts w:ascii="Arial" w:cs="Arial" w:eastAsia="Arial" w:hAnsi="Arial"/>
                <w:sz w:val="14"/>
                <w:szCs w:val="14"/>
                <w:color w:val="4D4D4F"/>
              </w:rPr>
              <w:t>Audit</w:t>
            </w:r>
          </w:p>
        </w:tc>
        <w:tc>
          <w:tcPr>
            <w:tcW w:w="2020" w:type="dxa"/>
            <w:vAlign w:val="bottom"/>
            <w:shd w:val="clear" w:color="auto" w:fill="B7E4FF"/>
          </w:tcPr>
          <w:p>
            <w:pPr>
              <w:ind w:left="260"/>
              <w:spacing w:after="0"/>
              <w:rPr>
                <w:sz w:val="20"/>
                <w:szCs w:val="20"/>
                <w:color w:val="auto"/>
              </w:rPr>
            </w:pPr>
            <w:r>
              <w:rPr>
                <w:rFonts w:ascii="Arial" w:cs="Arial" w:eastAsia="Arial" w:hAnsi="Arial"/>
                <w:sz w:val="14"/>
                <w:szCs w:val="14"/>
                <w:color w:val="003E64"/>
              </w:rPr>
              <w:t xml:space="preserve">• </w:t>
            </w:r>
            <w:r>
              <w:rPr>
                <w:rFonts w:ascii="Arial" w:cs="Arial" w:eastAsia="Arial" w:hAnsi="Arial"/>
                <w:sz w:val="14"/>
                <w:szCs w:val="14"/>
                <w:color w:val="4D4D4F"/>
              </w:rPr>
              <w:t>Champion</w:t>
            </w:r>
          </w:p>
        </w:tc>
        <w:tc>
          <w:tcPr>
            <w:tcW w:w="0" w:type="dxa"/>
            <w:vAlign w:val="bottom"/>
          </w:tcPr>
          <w:p>
            <w:pPr>
              <w:spacing w:after="0"/>
              <w:rPr>
                <w:sz w:val="1"/>
                <w:szCs w:val="1"/>
                <w:color w:val="auto"/>
              </w:rPr>
            </w:pPr>
          </w:p>
        </w:tc>
      </w:tr>
      <w:tr>
        <w:trPr>
          <w:trHeight w:val="172"/>
        </w:trPr>
        <w:tc>
          <w:tcPr>
            <w:tcW w:w="1640" w:type="dxa"/>
            <w:vAlign w:val="bottom"/>
            <w:shd w:val="clear" w:color="auto" w:fill="B7E4FF"/>
          </w:tcPr>
          <w:p>
            <w:pPr>
              <w:spacing w:after="0"/>
              <w:rPr>
                <w:sz w:val="14"/>
                <w:szCs w:val="14"/>
                <w:color w:val="auto"/>
              </w:rPr>
            </w:pPr>
          </w:p>
        </w:tc>
        <w:tc>
          <w:tcPr>
            <w:tcW w:w="440" w:type="dxa"/>
            <w:vAlign w:val="bottom"/>
            <w:shd w:val="clear" w:color="auto" w:fill="B7E4FF"/>
          </w:tcPr>
          <w:p>
            <w:pPr>
              <w:spacing w:after="0"/>
              <w:rPr>
                <w:sz w:val="14"/>
                <w:szCs w:val="14"/>
                <w:color w:val="auto"/>
              </w:rPr>
            </w:pPr>
          </w:p>
        </w:tc>
        <w:tc>
          <w:tcPr>
            <w:tcW w:w="800" w:type="dxa"/>
            <w:vAlign w:val="bottom"/>
            <w:shd w:val="clear" w:color="auto" w:fill="B7E4FF"/>
          </w:tcPr>
          <w:p>
            <w:pPr>
              <w:spacing w:after="0"/>
              <w:rPr>
                <w:sz w:val="14"/>
                <w:szCs w:val="14"/>
                <w:color w:val="auto"/>
              </w:rPr>
            </w:pPr>
          </w:p>
        </w:tc>
        <w:tc>
          <w:tcPr>
            <w:tcW w:w="2180" w:type="dxa"/>
            <w:vAlign w:val="bottom"/>
            <w:shd w:val="clear" w:color="auto" w:fill="B7E4FF"/>
          </w:tcPr>
          <w:p>
            <w:pPr>
              <w:ind w:left="20"/>
              <w:spacing w:after="0"/>
              <w:rPr>
                <w:sz w:val="20"/>
                <w:szCs w:val="20"/>
                <w:color w:val="auto"/>
              </w:rPr>
            </w:pPr>
            <w:r>
              <w:rPr>
                <w:rFonts w:ascii="Arial" w:cs="Arial" w:eastAsia="Arial" w:hAnsi="Arial"/>
                <w:sz w:val="14"/>
                <w:szCs w:val="14"/>
                <w:color w:val="4D4D4F"/>
              </w:rPr>
              <w:t>Corporation</w:t>
            </w:r>
          </w:p>
        </w:tc>
        <w:tc>
          <w:tcPr>
            <w:tcW w:w="1500" w:type="dxa"/>
            <w:vAlign w:val="bottom"/>
            <w:vMerge w:val="restart"/>
            <w:shd w:val="clear" w:color="auto" w:fill="B7E4FF"/>
          </w:tcPr>
          <w:p>
            <w:pPr>
              <w:ind w:left="260"/>
              <w:spacing w:after="0"/>
              <w:rPr>
                <w:sz w:val="20"/>
                <w:szCs w:val="20"/>
                <w:color w:val="auto"/>
              </w:rPr>
            </w:pPr>
            <w:r>
              <w:rPr>
                <w:rFonts w:ascii="Arial" w:cs="Arial" w:eastAsia="Arial" w:hAnsi="Arial"/>
                <w:sz w:val="14"/>
                <w:szCs w:val="14"/>
                <w:color w:val="003E64"/>
              </w:rPr>
              <w:t xml:space="preserve">• </w:t>
            </w:r>
            <w:r>
              <w:rPr>
                <w:rFonts w:ascii="Arial" w:cs="Arial" w:eastAsia="Arial" w:hAnsi="Arial"/>
                <w:sz w:val="14"/>
                <w:szCs w:val="14"/>
                <w:color w:val="4D4D4F"/>
              </w:rPr>
              <w:t>Global</w:t>
            </w:r>
          </w:p>
        </w:tc>
        <w:tc>
          <w:tcPr>
            <w:tcW w:w="600" w:type="dxa"/>
            <w:vAlign w:val="bottom"/>
            <w:shd w:val="clear" w:color="auto" w:fill="B7E4FF"/>
          </w:tcPr>
          <w:p>
            <w:pPr>
              <w:spacing w:after="0"/>
              <w:rPr>
                <w:sz w:val="14"/>
                <w:szCs w:val="14"/>
                <w:color w:val="auto"/>
              </w:rPr>
            </w:pPr>
          </w:p>
        </w:tc>
        <w:tc>
          <w:tcPr>
            <w:tcW w:w="460" w:type="dxa"/>
            <w:vAlign w:val="bottom"/>
            <w:shd w:val="clear" w:color="auto" w:fill="B7E4FF"/>
          </w:tcPr>
          <w:p>
            <w:pPr>
              <w:spacing w:after="0"/>
              <w:rPr>
                <w:sz w:val="14"/>
                <w:szCs w:val="14"/>
                <w:color w:val="auto"/>
              </w:rPr>
            </w:pPr>
          </w:p>
        </w:tc>
        <w:tc>
          <w:tcPr>
            <w:tcW w:w="1660" w:type="dxa"/>
            <w:vAlign w:val="bottom"/>
            <w:vMerge w:val="restart"/>
            <w:shd w:val="clear" w:color="auto" w:fill="B7E4FF"/>
          </w:tcPr>
          <w:p>
            <w:pPr>
              <w:ind w:left="100"/>
              <w:spacing w:after="0"/>
              <w:rPr>
                <w:sz w:val="20"/>
                <w:szCs w:val="20"/>
                <w:color w:val="auto"/>
              </w:rPr>
            </w:pPr>
            <w:r>
              <w:rPr>
                <w:rFonts w:ascii="Arial" w:cs="Arial" w:eastAsia="Arial" w:hAnsi="Arial"/>
                <w:sz w:val="14"/>
                <w:szCs w:val="14"/>
                <w:color w:val="003E64"/>
              </w:rPr>
              <w:t xml:space="preserve">• </w:t>
            </w:r>
            <w:r>
              <w:rPr>
                <w:rFonts w:ascii="Arial" w:cs="Arial" w:eastAsia="Arial" w:hAnsi="Arial"/>
                <w:sz w:val="14"/>
                <w:szCs w:val="14"/>
                <w:color w:val="4D4D4F"/>
              </w:rPr>
              <w:t>Compensation</w:t>
            </w:r>
          </w:p>
        </w:tc>
        <w:tc>
          <w:tcPr>
            <w:tcW w:w="2020" w:type="dxa"/>
            <w:vAlign w:val="bottom"/>
            <w:shd w:val="clear" w:color="auto" w:fill="B7E4FF"/>
          </w:tcPr>
          <w:p>
            <w:pPr>
              <w:ind w:left="340"/>
              <w:spacing w:after="0"/>
              <w:rPr>
                <w:sz w:val="20"/>
                <w:szCs w:val="20"/>
                <w:color w:val="auto"/>
              </w:rPr>
            </w:pPr>
            <w:r>
              <w:rPr>
                <w:rFonts w:ascii="Arial" w:cs="Arial" w:eastAsia="Arial" w:hAnsi="Arial"/>
                <w:sz w:val="14"/>
                <w:szCs w:val="14"/>
                <w:color w:val="4D4D4F"/>
              </w:rPr>
              <w:t>Microelectronic Corp.</w:t>
            </w:r>
          </w:p>
        </w:tc>
        <w:tc>
          <w:tcPr>
            <w:tcW w:w="0" w:type="dxa"/>
            <w:vAlign w:val="bottom"/>
          </w:tcPr>
          <w:p>
            <w:pPr>
              <w:spacing w:after="0"/>
              <w:rPr>
                <w:sz w:val="1"/>
                <w:szCs w:val="1"/>
                <w:color w:val="auto"/>
              </w:rPr>
            </w:pPr>
          </w:p>
        </w:tc>
      </w:tr>
      <w:tr>
        <w:trPr>
          <w:trHeight w:val="94"/>
        </w:trPr>
        <w:tc>
          <w:tcPr>
            <w:tcW w:w="1640" w:type="dxa"/>
            <w:vAlign w:val="bottom"/>
            <w:shd w:val="clear" w:color="auto" w:fill="B7E4FF"/>
          </w:tcPr>
          <w:p>
            <w:pPr>
              <w:spacing w:after="0"/>
              <w:rPr>
                <w:sz w:val="8"/>
                <w:szCs w:val="8"/>
                <w:color w:val="auto"/>
              </w:rPr>
            </w:pPr>
          </w:p>
        </w:tc>
        <w:tc>
          <w:tcPr>
            <w:tcW w:w="440" w:type="dxa"/>
            <w:vAlign w:val="bottom"/>
            <w:shd w:val="clear" w:color="auto" w:fill="B7E4FF"/>
          </w:tcPr>
          <w:p>
            <w:pPr>
              <w:spacing w:after="0"/>
              <w:rPr>
                <w:sz w:val="8"/>
                <w:szCs w:val="8"/>
                <w:color w:val="auto"/>
              </w:rPr>
            </w:pPr>
          </w:p>
        </w:tc>
        <w:tc>
          <w:tcPr>
            <w:tcW w:w="800" w:type="dxa"/>
            <w:vAlign w:val="bottom"/>
            <w:shd w:val="clear" w:color="auto" w:fill="B7E4FF"/>
          </w:tcPr>
          <w:p>
            <w:pPr>
              <w:spacing w:after="0"/>
              <w:rPr>
                <w:sz w:val="8"/>
                <w:szCs w:val="8"/>
                <w:color w:val="auto"/>
              </w:rPr>
            </w:pPr>
          </w:p>
        </w:tc>
        <w:tc>
          <w:tcPr>
            <w:tcW w:w="2180" w:type="dxa"/>
            <w:vAlign w:val="bottom"/>
            <w:shd w:val="clear" w:color="auto" w:fill="B7E4FF"/>
          </w:tcPr>
          <w:p>
            <w:pPr>
              <w:spacing w:after="0"/>
              <w:rPr>
                <w:sz w:val="8"/>
                <w:szCs w:val="8"/>
                <w:color w:val="auto"/>
              </w:rPr>
            </w:pPr>
          </w:p>
        </w:tc>
        <w:tc>
          <w:tcPr>
            <w:tcW w:w="1500" w:type="dxa"/>
            <w:vAlign w:val="bottom"/>
            <w:vMerge w:val="continue"/>
            <w:shd w:val="clear" w:color="auto" w:fill="B7E4FF"/>
          </w:tcPr>
          <w:p>
            <w:pPr>
              <w:spacing w:after="0"/>
              <w:rPr>
                <w:sz w:val="8"/>
                <w:szCs w:val="8"/>
                <w:color w:val="auto"/>
              </w:rPr>
            </w:pPr>
          </w:p>
        </w:tc>
        <w:tc>
          <w:tcPr>
            <w:tcW w:w="600" w:type="dxa"/>
            <w:vAlign w:val="bottom"/>
            <w:shd w:val="clear" w:color="auto" w:fill="B7E4FF"/>
          </w:tcPr>
          <w:p>
            <w:pPr>
              <w:spacing w:after="0"/>
              <w:rPr>
                <w:sz w:val="8"/>
                <w:szCs w:val="8"/>
                <w:color w:val="auto"/>
              </w:rPr>
            </w:pPr>
          </w:p>
        </w:tc>
        <w:tc>
          <w:tcPr>
            <w:tcW w:w="460" w:type="dxa"/>
            <w:vAlign w:val="bottom"/>
            <w:shd w:val="clear" w:color="auto" w:fill="B7E4FF"/>
          </w:tcPr>
          <w:p>
            <w:pPr>
              <w:spacing w:after="0"/>
              <w:rPr>
                <w:sz w:val="8"/>
                <w:szCs w:val="8"/>
                <w:color w:val="auto"/>
              </w:rPr>
            </w:pPr>
          </w:p>
        </w:tc>
        <w:tc>
          <w:tcPr>
            <w:tcW w:w="1660" w:type="dxa"/>
            <w:vAlign w:val="bottom"/>
            <w:vMerge w:val="continue"/>
            <w:shd w:val="clear" w:color="auto" w:fill="B7E4FF"/>
          </w:tcPr>
          <w:p>
            <w:pPr>
              <w:spacing w:after="0"/>
              <w:rPr>
                <w:sz w:val="8"/>
                <w:szCs w:val="8"/>
                <w:color w:val="auto"/>
              </w:rPr>
            </w:pPr>
          </w:p>
        </w:tc>
        <w:tc>
          <w:tcPr>
            <w:tcW w:w="2020" w:type="dxa"/>
            <w:vAlign w:val="bottom"/>
            <w:shd w:val="clear" w:color="auto" w:fill="B7E4FF"/>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1640" w:type="dxa"/>
            <w:vAlign w:val="bottom"/>
            <w:shd w:val="clear" w:color="auto" w:fill="B7E4FF"/>
          </w:tcPr>
          <w:p>
            <w:pPr>
              <w:spacing w:after="0"/>
              <w:rPr>
                <w:sz w:val="19"/>
                <w:szCs w:val="19"/>
                <w:color w:val="auto"/>
              </w:rPr>
            </w:pPr>
          </w:p>
        </w:tc>
        <w:tc>
          <w:tcPr>
            <w:tcW w:w="440" w:type="dxa"/>
            <w:vAlign w:val="bottom"/>
            <w:shd w:val="clear" w:color="auto" w:fill="B7E4FF"/>
          </w:tcPr>
          <w:p>
            <w:pPr>
              <w:spacing w:after="0"/>
              <w:rPr>
                <w:sz w:val="19"/>
                <w:szCs w:val="19"/>
                <w:color w:val="auto"/>
              </w:rPr>
            </w:pPr>
          </w:p>
        </w:tc>
        <w:tc>
          <w:tcPr>
            <w:tcW w:w="800" w:type="dxa"/>
            <w:vAlign w:val="bottom"/>
            <w:shd w:val="clear" w:color="auto" w:fill="B7E4FF"/>
          </w:tcPr>
          <w:p>
            <w:pPr>
              <w:spacing w:after="0"/>
              <w:rPr>
                <w:sz w:val="19"/>
                <w:szCs w:val="19"/>
                <w:color w:val="auto"/>
              </w:rPr>
            </w:pPr>
          </w:p>
        </w:tc>
        <w:tc>
          <w:tcPr>
            <w:tcW w:w="2180" w:type="dxa"/>
            <w:vAlign w:val="bottom"/>
            <w:shd w:val="clear" w:color="auto" w:fill="B7E4FF"/>
          </w:tcPr>
          <w:p>
            <w:pPr>
              <w:ind w:left="20"/>
              <w:spacing w:after="0"/>
              <w:rPr>
                <w:sz w:val="20"/>
                <w:szCs w:val="20"/>
                <w:color w:val="auto"/>
              </w:rPr>
            </w:pPr>
            <w:r>
              <w:rPr>
                <w:rFonts w:ascii="Arial" w:cs="Arial" w:eastAsia="Arial" w:hAnsi="Arial"/>
                <w:sz w:val="14"/>
                <w:szCs w:val="14"/>
                <w:color w:val="4D4D4F"/>
              </w:rPr>
              <w:t>President of Champion</w:t>
            </w:r>
          </w:p>
        </w:tc>
        <w:tc>
          <w:tcPr>
            <w:tcW w:w="1500" w:type="dxa"/>
            <w:vAlign w:val="bottom"/>
            <w:shd w:val="clear" w:color="auto" w:fill="B7E4FF"/>
          </w:tcPr>
          <w:p>
            <w:pPr>
              <w:ind w:left="260"/>
              <w:spacing w:after="0"/>
              <w:rPr>
                <w:sz w:val="20"/>
                <w:szCs w:val="20"/>
                <w:color w:val="auto"/>
              </w:rPr>
            </w:pPr>
            <w:r>
              <w:rPr>
                <w:rFonts w:ascii="Arial" w:cs="Arial" w:eastAsia="Arial" w:hAnsi="Arial"/>
                <w:sz w:val="14"/>
                <w:szCs w:val="14"/>
                <w:color w:val="003E64"/>
              </w:rPr>
              <w:t xml:space="preserve">• </w:t>
            </w:r>
            <w:r>
              <w:rPr>
                <w:rFonts w:ascii="Arial" w:cs="Arial" w:eastAsia="Arial" w:hAnsi="Arial"/>
                <w:sz w:val="14"/>
                <w:szCs w:val="14"/>
                <w:color w:val="4D4D4F"/>
              </w:rPr>
              <w:t>Leadership</w:t>
            </w:r>
          </w:p>
        </w:tc>
        <w:tc>
          <w:tcPr>
            <w:tcW w:w="600" w:type="dxa"/>
            <w:vAlign w:val="bottom"/>
            <w:shd w:val="clear" w:color="auto" w:fill="B7E4FF"/>
          </w:tcPr>
          <w:p>
            <w:pPr>
              <w:spacing w:after="0"/>
              <w:rPr>
                <w:sz w:val="19"/>
                <w:szCs w:val="19"/>
                <w:color w:val="auto"/>
              </w:rPr>
            </w:pPr>
          </w:p>
        </w:tc>
        <w:tc>
          <w:tcPr>
            <w:tcW w:w="460" w:type="dxa"/>
            <w:vAlign w:val="bottom"/>
            <w:shd w:val="clear" w:color="auto" w:fill="B7E4FF"/>
          </w:tcPr>
          <w:p>
            <w:pPr>
              <w:spacing w:after="0"/>
              <w:rPr>
                <w:sz w:val="19"/>
                <w:szCs w:val="19"/>
                <w:color w:val="auto"/>
              </w:rPr>
            </w:pPr>
          </w:p>
        </w:tc>
        <w:tc>
          <w:tcPr>
            <w:tcW w:w="1660" w:type="dxa"/>
            <w:vAlign w:val="bottom"/>
            <w:shd w:val="clear" w:color="auto" w:fill="B7E4FF"/>
          </w:tcPr>
          <w:p>
            <w:pPr>
              <w:spacing w:after="0"/>
              <w:rPr>
                <w:sz w:val="19"/>
                <w:szCs w:val="19"/>
                <w:color w:val="auto"/>
              </w:rPr>
            </w:pPr>
          </w:p>
        </w:tc>
        <w:tc>
          <w:tcPr>
            <w:tcW w:w="2020" w:type="dxa"/>
            <w:vAlign w:val="bottom"/>
            <w:shd w:val="clear" w:color="auto" w:fill="B7E4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640" w:type="dxa"/>
            <w:vAlign w:val="bottom"/>
            <w:shd w:val="clear" w:color="auto" w:fill="B7E4FF"/>
          </w:tcPr>
          <w:p>
            <w:pPr>
              <w:spacing w:after="0"/>
              <w:rPr>
                <w:sz w:val="14"/>
                <w:szCs w:val="14"/>
                <w:color w:val="auto"/>
              </w:rPr>
            </w:pPr>
          </w:p>
        </w:tc>
        <w:tc>
          <w:tcPr>
            <w:tcW w:w="440" w:type="dxa"/>
            <w:vAlign w:val="bottom"/>
            <w:shd w:val="clear" w:color="auto" w:fill="B7E4FF"/>
          </w:tcPr>
          <w:p>
            <w:pPr>
              <w:spacing w:after="0"/>
              <w:rPr>
                <w:sz w:val="14"/>
                <w:szCs w:val="14"/>
                <w:color w:val="auto"/>
              </w:rPr>
            </w:pPr>
          </w:p>
        </w:tc>
        <w:tc>
          <w:tcPr>
            <w:tcW w:w="800" w:type="dxa"/>
            <w:vAlign w:val="bottom"/>
            <w:shd w:val="clear" w:color="auto" w:fill="B7E4FF"/>
          </w:tcPr>
          <w:p>
            <w:pPr>
              <w:spacing w:after="0"/>
              <w:rPr>
                <w:sz w:val="14"/>
                <w:szCs w:val="14"/>
                <w:color w:val="auto"/>
              </w:rPr>
            </w:pPr>
          </w:p>
        </w:tc>
        <w:tc>
          <w:tcPr>
            <w:tcW w:w="2180" w:type="dxa"/>
            <w:vAlign w:val="bottom"/>
            <w:shd w:val="clear" w:color="auto" w:fill="B7E4FF"/>
          </w:tcPr>
          <w:p>
            <w:pPr>
              <w:ind w:left="20"/>
              <w:spacing w:after="0"/>
              <w:rPr>
                <w:sz w:val="20"/>
                <w:szCs w:val="20"/>
                <w:color w:val="auto"/>
              </w:rPr>
            </w:pPr>
            <w:r>
              <w:rPr>
                <w:rFonts w:ascii="Arial" w:cs="Arial" w:eastAsia="Arial" w:hAnsi="Arial"/>
                <w:sz w:val="14"/>
                <w:szCs w:val="14"/>
                <w:color w:val="4D4D4F"/>
              </w:rPr>
              <w:t>Microelectronic Corp.</w:t>
            </w:r>
          </w:p>
        </w:tc>
        <w:tc>
          <w:tcPr>
            <w:tcW w:w="1500" w:type="dxa"/>
            <w:vAlign w:val="bottom"/>
            <w:shd w:val="clear" w:color="auto" w:fill="B7E4FF"/>
          </w:tcPr>
          <w:p>
            <w:pPr>
              <w:spacing w:after="0"/>
              <w:rPr>
                <w:sz w:val="14"/>
                <w:szCs w:val="14"/>
                <w:color w:val="auto"/>
              </w:rPr>
            </w:pPr>
          </w:p>
        </w:tc>
        <w:tc>
          <w:tcPr>
            <w:tcW w:w="600" w:type="dxa"/>
            <w:vAlign w:val="bottom"/>
            <w:shd w:val="clear" w:color="auto" w:fill="B7E4FF"/>
          </w:tcPr>
          <w:p>
            <w:pPr>
              <w:spacing w:after="0"/>
              <w:rPr>
                <w:sz w:val="14"/>
                <w:szCs w:val="14"/>
                <w:color w:val="auto"/>
              </w:rPr>
            </w:pPr>
          </w:p>
        </w:tc>
        <w:tc>
          <w:tcPr>
            <w:tcW w:w="460" w:type="dxa"/>
            <w:vAlign w:val="bottom"/>
            <w:shd w:val="clear" w:color="auto" w:fill="B7E4FF"/>
          </w:tcPr>
          <w:p>
            <w:pPr>
              <w:spacing w:after="0"/>
              <w:rPr>
                <w:sz w:val="14"/>
                <w:szCs w:val="14"/>
                <w:color w:val="auto"/>
              </w:rPr>
            </w:pPr>
          </w:p>
        </w:tc>
        <w:tc>
          <w:tcPr>
            <w:tcW w:w="1660" w:type="dxa"/>
            <w:vAlign w:val="bottom"/>
            <w:shd w:val="clear" w:color="auto" w:fill="B7E4FF"/>
          </w:tcPr>
          <w:p>
            <w:pPr>
              <w:spacing w:after="0"/>
              <w:rPr>
                <w:sz w:val="14"/>
                <w:szCs w:val="14"/>
                <w:color w:val="auto"/>
              </w:rPr>
            </w:pPr>
          </w:p>
        </w:tc>
        <w:tc>
          <w:tcPr>
            <w:tcW w:w="2020" w:type="dxa"/>
            <w:vAlign w:val="bottom"/>
            <w:shd w:val="clear" w:color="auto" w:fill="B7E4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640" w:type="dxa"/>
            <w:vAlign w:val="bottom"/>
            <w:shd w:val="clear" w:color="auto" w:fill="B7E4FF"/>
          </w:tcPr>
          <w:p>
            <w:pPr>
              <w:spacing w:after="0"/>
              <w:rPr>
                <w:sz w:val="17"/>
                <w:szCs w:val="17"/>
                <w:color w:val="auto"/>
              </w:rPr>
            </w:pPr>
          </w:p>
        </w:tc>
        <w:tc>
          <w:tcPr>
            <w:tcW w:w="440" w:type="dxa"/>
            <w:vAlign w:val="bottom"/>
            <w:shd w:val="clear" w:color="auto" w:fill="B7E4FF"/>
          </w:tcPr>
          <w:p>
            <w:pPr>
              <w:spacing w:after="0"/>
              <w:rPr>
                <w:sz w:val="17"/>
                <w:szCs w:val="17"/>
                <w:color w:val="auto"/>
              </w:rPr>
            </w:pPr>
          </w:p>
        </w:tc>
        <w:tc>
          <w:tcPr>
            <w:tcW w:w="800" w:type="dxa"/>
            <w:vAlign w:val="bottom"/>
            <w:shd w:val="clear" w:color="auto" w:fill="B7E4FF"/>
          </w:tcPr>
          <w:p>
            <w:pPr>
              <w:spacing w:after="0"/>
              <w:rPr>
                <w:sz w:val="17"/>
                <w:szCs w:val="17"/>
                <w:color w:val="auto"/>
              </w:rPr>
            </w:pPr>
          </w:p>
        </w:tc>
        <w:tc>
          <w:tcPr>
            <w:tcW w:w="2180" w:type="dxa"/>
            <w:vAlign w:val="bottom"/>
            <w:shd w:val="clear" w:color="auto" w:fill="B7E4FF"/>
          </w:tcPr>
          <w:p>
            <w:pPr>
              <w:spacing w:after="0"/>
              <w:rPr>
                <w:sz w:val="17"/>
                <w:szCs w:val="17"/>
                <w:color w:val="auto"/>
              </w:rPr>
            </w:pPr>
          </w:p>
        </w:tc>
        <w:tc>
          <w:tcPr>
            <w:tcW w:w="1500" w:type="dxa"/>
            <w:vAlign w:val="bottom"/>
            <w:shd w:val="clear" w:color="auto" w:fill="B7E4FF"/>
          </w:tcPr>
          <w:p>
            <w:pPr>
              <w:spacing w:after="0"/>
              <w:rPr>
                <w:sz w:val="17"/>
                <w:szCs w:val="17"/>
                <w:color w:val="auto"/>
              </w:rPr>
            </w:pPr>
          </w:p>
        </w:tc>
        <w:tc>
          <w:tcPr>
            <w:tcW w:w="600" w:type="dxa"/>
            <w:vAlign w:val="bottom"/>
            <w:shd w:val="clear" w:color="auto" w:fill="B7E4FF"/>
          </w:tcPr>
          <w:p>
            <w:pPr>
              <w:spacing w:after="0"/>
              <w:rPr>
                <w:sz w:val="17"/>
                <w:szCs w:val="17"/>
                <w:color w:val="auto"/>
              </w:rPr>
            </w:pPr>
          </w:p>
        </w:tc>
        <w:tc>
          <w:tcPr>
            <w:tcW w:w="460" w:type="dxa"/>
            <w:vAlign w:val="bottom"/>
            <w:shd w:val="clear" w:color="auto" w:fill="B7E4FF"/>
          </w:tcPr>
          <w:p>
            <w:pPr>
              <w:spacing w:after="0"/>
              <w:rPr>
                <w:sz w:val="17"/>
                <w:szCs w:val="17"/>
                <w:color w:val="auto"/>
              </w:rPr>
            </w:pPr>
          </w:p>
        </w:tc>
        <w:tc>
          <w:tcPr>
            <w:tcW w:w="1660" w:type="dxa"/>
            <w:vAlign w:val="bottom"/>
            <w:shd w:val="clear" w:color="auto" w:fill="B7E4FF"/>
          </w:tcPr>
          <w:p>
            <w:pPr>
              <w:spacing w:after="0"/>
              <w:rPr>
                <w:sz w:val="17"/>
                <w:szCs w:val="17"/>
                <w:color w:val="auto"/>
              </w:rPr>
            </w:pPr>
          </w:p>
        </w:tc>
        <w:tc>
          <w:tcPr>
            <w:tcW w:w="2020" w:type="dxa"/>
            <w:vAlign w:val="bottom"/>
            <w:shd w:val="clear" w:color="auto" w:fill="B7E4FF"/>
          </w:tcPr>
          <w:p>
            <w:pPr>
              <w:spacing w:after="0"/>
              <w:rPr>
                <w:sz w:val="17"/>
                <w:szCs w:val="17"/>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37" w:lineRule="exact"/>
        <w:rPr>
          <w:sz w:val="20"/>
          <w:szCs w:val="20"/>
          <w:color w:val="auto"/>
        </w:rPr>
      </w:pPr>
    </w:p>
    <w:tbl>
      <w:tblPr>
        <w:tblLayout w:type="fixed"/>
        <w:tblInd w:w="160" w:type="dxa"/>
        <w:tblCellMar>
          <w:top w:w="0" w:type="dxa"/>
          <w:left w:w="0" w:type="dxa"/>
          <w:bottom w:w="0" w:type="dxa"/>
          <w:right w:w="0" w:type="dxa"/>
        </w:tblCellMar>
      </w:tblPr>
      <w:tr>
        <w:trPr>
          <w:trHeight w:val="162"/>
        </w:trPr>
        <w:tc>
          <w:tcPr>
            <w:tcW w:w="1400" w:type="dxa"/>
            <w:vAlign w:val="bottom"/>
          </w:tcPr>
          <w:p>
            <w:pPr>
              <w:spacing w:after="0"/>
              <w:rPr>
                <w:sz w:val="20"/>
                <w:szCs w:val="20"/>
                <w:color w:val="auto"/>
              </w:rPr>
            </w:pPr>
            <w:r>
              <w:rPr>
                <w:rFonts w:ascii="Arial" w:cs="Arial" w:eastAsia="Arial" w:hAnsi="Arial"/>
                <w:sz w:val="14"/>
                <w:szCs w:val="14"/>
                <w:color w:val="4D4D4F"/>
              </w:rPr>
              <w:t>Chenming C. Hu</w:t>
            </w:r>
          </w:p>
        </w:tc>
        <w:tc>
          <w:tcPr>
            <w:tcW w:w="700" w:type="dxa"/>
            <w:vAlign w:val="bottom"/>
          </w:tcPr>
          <w:p>
            <w:pPr>
              <w:jc w:val="right"/>
              <w:ind w:right="128"/>
              <w:spacing w:after="0"/>
              <w:rPr>
                <w:sz w:val="20"/>
                <w:szCs w:val="20"/>
                <w:color w:val="auto"/>
              </w:rPr>
            </w:pPr>
            <w:r>
              <w:rPr>
                <w:rFonts w:ascii="Arial" w:cs="Arial" w:eastAsia="Arial" w:hAnsi="Arial"/>
                <w:sz w:val="14"/>
                <w:szCs w:val="14"/>
                <w:color w:val="4D4D4F"/>
              </w:rPr>
              <w:t>71</w:t>
            </w:r>
          </w:p>
        </w:tc>
        <w:tc>
          <w:tcPr>
            <w:tcW w:w="640" w:type="dxa"/>
            <w:vAlign w:val="bottom"/>
          </w:tcPr>
          <w:p>
            <w:pPr>
              <w:jc w:val="right"/>
              <w:ind w:right="68"/>
              <w:spacing w:after="0"/>
              <w:rPr>
                <w:sz w:val="20"/>
                <w:szCs w:val="20"/>
                <w:color w:val="auto"/>
              </w:rPr>
            </w:pPr>
            <w:r>
              <w:rPr>
                <w:rFonts w:ascii="Arial" w:cs="Arial" w:eastAsia="Arial" w:hAnsi="Arial"/>
                <w:sz w:val="14"/>
                <w:szCs w:val="14"/>
                <w:color w:val="4D4D4F"/>
              </w:rPr>
              <w:t>2017</w:t>
            </w:r>
          </w:p>
        </w:tc>
        <w:tc>
          <w:tcPr>
            <w:tcW w:w="2100" w:type="dxa"/>
            <w:vAlign w:val="bottom"/>
          </w:tcPr>
          <w:p>
            <w:pPr>
              <w:ind w:left="120"/>
              <w:spacing w:after="0"/>
              <w:rPr>
                <w:sz w:val="20"/>
                <w:szCs w:val="20"/>
                <w:color w:val="auto"/>
              </w:rPr>
            </w:pPr>
            <w:r>
              <w:rPr>
                <w:rFonts w:ascii="Arial" w:cs="Arial" w:eastAsia="Arial" w:hAnsi="Arial"/>
                <w:sz w:val="14"/>
                <w:szCs w:val="14"/>
                <w:color w:val="4D4D4F"/>
              </w:rPr>
              <w:t>Professor of Engineering and</w:t>
            </w:r>
          </w:p>
        </w:tc>
      </w:tr>
      <w:tr>
        <w:trPr>
          <w:trHeight w:val="162"/>
        </w:trPr>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Arial" w:cs="Arial" w:eastAsia="Arial" w:hAnsi="Arial"/>
                <w:sz w:val="14"/>
                <w:szCs w:val="14"/>
                <w:color w:val="4D4D4F"/>
              </w:rPr>
              <w:t>Computer Sciences, University</w:t>
            </w:r>
          </w:p>
        </w:tc>
      </w:tr>
      <w:tr>
        <w:trPr>
          <w:trHeight w:val="172"/>
        </w:trPr>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Arial" w:cs="Arial" w:eastAsia="Arial" w:hAnsi="Arial"/>
                <w:sz w:val="14"/>
                <w:szCs w:val="14"/>
                <w:color w:val="4D4D4F"/>
              </w:rPr>
              <w:t>of California, Berkeley</w:t>
            </w:r>
          </w:p>
        </w:tc>
      </w:tr>
      <w:tr>
        <w:trPr>
          <w:trHeight w:val="745"/>
        </w:trPr>
        <w:tc>
          <w:tcPr>
            <w:tcW w:w="1400" w:type="dxa"/>
            <w:vAlign w:val="bottom"/>
          </w:tcPr>
          <w:p>
            <w:pPr>
              <w:spacing w:after="0"/>
              <w:rPr>
                <w:sz w:val="20"/>
                <w:szCs w:val="20"/>
                <w:color w:val="auto"/>
              </w:rPr>
            </w:pPr>
            <w:r>
              <w:rPr>
                <w:rFonts w:ascii="Arial" w:cs="Arial" w:eastAsia="Arial" w:hAnsi="Arial"/>
                <w:sz w:val="14"/>
                <w:szCs w:val="14"/>
                <w:color w:val="4D4D4F"/>
              </w:rPr>
              <w:t>Tracy Liu</w:t>
            </w:r>
          </w:p>
        </w:tc>
        <w:tc>
          <w:tcPr>
            <w:tcW w:w="700" w:type="dxa"/>
            <w:vAlign w:val="bottom"/>
          </w:tcPr>
          <w:p>
            <w:pPr>
              <w:jc w:val="right"/>
              <w:ind w:right="128"/>
              <w:spacing w:after="0"/>
              <w:rPr>
                <w:sz w:val="20"/>
                <w:szCs w:val="20"/>
                <w:color w:val="auto"/>
              </w:rPr>
            </w:pPr>
            <w:r>
              <w:rPr>
                <w:rFonts w:ascii="Arial" w:cs="Arial" w:eastAsia="Arial" w:hAnsi="Arial"/>
                <w:sz w:val="14"/>
                <w:szCs w:val="14"/>
                <w:color w:val="4D4D4F"/>
              </w:rPr>
              <w:t>54</w:t>
            </w:r>
          </w:p>
        </w:tc>
        <w:tc>
          <w:tcPr>
            <w:tcW w:w="640" w:type="dxa"/>
            <w:vAlign w:val="bottom"/>
          </w:tcPr>
          <w:p>
            <w:pPr>
              <w:jc w:val="right"/>
              <w:ind w:right="68"/>
              <w:spacing w:after="0"/>
              <w:rPr>
                <w:sz w:val="20"/>
                <w:szCs w:val="20"/>
                <w:color w:val="auto"/>
              </w:rPr>
            </w:pPr>
            <w:r>
              <w:rPr>
                <w:rFonts w:ascii="Arial" w:cs="Arial" w:eastAsia="Arial" w:hAnsi="Arial"/>
                <w:sz w:val="14"/>
                <w:szCs w:val="14"/>
                <w:color w:val="4D4D4F"/>
              </w:rPr>
              <w:t>2016</w:t>
            </w:r>
          </w:p>
        </w:tc>
        <w:tc>
          <w:tcPr>
            <w:tcW w:w="2100" w:type="dxa"/>
            <w:vAlign w:val="bottom"/>
          </w:tcPr>
          <w:p>
            <w:pPr>
              <w:ind w:left="120"/>
              <w:spacing w:after="0"/>
              <w:rPr>
                <w:sz w:val="20"/>
                <w:szCs w:val="20"/>
                <w:color w:val="auto"/>
              </w:rPr>
            </w:pPr>
            <w:r>
              <w:rPr>
                <w:rFonts w:ascii="Arial" w:cs="Arial" w:eastAsia="Arial" w:hAnsi="Arial"/>
                <w:sz w:val="14"/>
                <w:szCs w:val="14"/>
                <w:color w:val="4D4D4F"/>
              </w:rPr>
              <w:t>Founder of H&amp;M Financial</w:t>
            </w:r>
          </w:p>
        </w:tc>
      </w:tr>
      <w:tr>
        <w:trPr>
          <w:trHeight w:val="172"/>
        </w:trPr>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Arial" w:cs="Arial" w:eastAsia="Arial" w:hAnsi="Arial"/>
                <w:sz w:val="14"/>
                <w:szCs w:val="14"/>
                <w:color w:val="4D4D4F"/>
              </w:rPr>
              <w:t>Consulting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60" w:type="dxa"/>
        <w:tblCellMar>
          <w:top w:w="0" w:type="dxa"/>
          <w:left w:w="0" w:type="dxa"/>
          <w:bottom w:w="0" w:type="dxa"/>
          <w:right w:w="0" w:type="dxa"/>
        </w:tblCellMar>
      </w:tblPr>
      <w:tr>
        <w:trPr>
          <w:trHeight w:val="162"/>
        </w:trPr>
        <w:tc>
          <w:tcPr>
            <w:tcW w:w="1360" w:type="dxa"/>
            <w:vAlign w:val="bottom"/>
          </w:tcPr>
          <w:p>
            <w:pPr>
              <w:spacing w:after="0"/>
              <w:rPr>
                <w:sz w:val="20"/>
                <w:szCs w:val="20"/>
                <w:color w:val="auto"/>
              </w:rPr>
            </w:pPr>
            <w:r>
              <w:rPr>
                <w:rFonts w:ascii="Arial" w:cs="Arial" w:eastAsia="Arial" w:hAnsi="Arial"/>
                <w:sz w:val="14"/>
                <w:szCs w:val="14"/>
                <w:color w:val="4D4D4F"/>
              </w:rPr>
              <w:t>Yinan Xiang</w:t>
            </w:r>
          </w:p>
        </w:tc>
        <w:tc>
          <w:tcPr>
            <w:tcW w:w="740" w:type="dxa"/>
            <w:vAlign w:val="bottom"/>
          </w:tcPr>
          <w:p>
            <w:pPr>
              <w:jc w:val="right"/>
              <w:ind w:right="128"/>
              <w:spacing w:after="0"/>
              <w:rPr>
                <w:sz w:val="20"/>
                <w:szCs w:val="20"/>
                <w:color w:val="auto"/>
              </w:rPr>
            </w:pPr>
            <w:r>
              <w:rPr>
                <w:rFonts w:ascii="Arial" w:cs="Arial" w:eastAsia="Arial" w:hAnsi="Arial"/>
                <w:sz w:val="14"/>
                <w:szCs w:val="14"/>
                <w:color w:val="4D4D4F"/>
              </w:rPr>
              <w:t>44</w:t>
            </w:r>
          </w:p>
        </w:tc>
        <w:tc>
          <w:tcPr>
            <w:tcW w:w="640" w:type="dxa"/>
            <w:vAlign w:val="bottom"/>
          </w:tcPr>
          <w:p>
            <w:pPr>
              <w:jc w:val="right"/>
              <w:ind w:right="68"/>
              <w:spacing w:after="0"/>
              <w:rPr>
                <w:sz w:val="20"/>
                <w:szCs w:val="20"/>
                <w:color w:val="auto"/>
              </w:rPr>
            </w:pPr>
            <w:r>
              <w:rPr>
                <w:rFonts w:ascii="Arial" w:cs="Arial" w:eastAsia="Arial" w:hAnsi="Arial"/>
                <w:sz w:val="14"/>
                <w:szCs w:val="14"/>
                <w:color w:val="4D4D4F"/>
              </w:rPr>
              <w:t>2017</w:t>
            </w:r>
          </w:p>
        </w:tc>
        <w:tc>
          <w:tcPr>
            <w:tcW w:w="2240" w:type="dxa"/>
            <w:vAlign w:val="bottom"/>
          </w:tcPr>
          <w:p>
            <w:pPr>
              <w:ind w:left="120"/>
              <w:spacing w:after="0"/>
              <w:rPr>
                <w:sz w:val="20"/>
                <w:szCs w:val="20"/>
                <w:color w:val="auto"/>
              </w:rPr>
            </w:pPr>
            <w:r>
              <w:rPr>
                <w:rFonts w:ascii="Arial" w:cs="Arial" w:eastAsia="Arial" w:hAnsi="Arial"/>
                <w:sz w:val="14"/>
                <w:szCs w:val="14"/>
                <w:color w:val="4D4D4F"/>
              </w:rPr>
              <w:t>General Manager of Shanghai</w:t>
            </w:r>
          </w:p>
        </w:tc>
      </w:tr>
      <w:tr>
        <w:trPr>
          <w:trHeight w:val="162"/>
        </w:trPr>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40" w:type="dxa"/>
            <w:vAlign w:val="bottom"/>
          </w:tcPr>
          <w:p>
            <w:pPr>
              <w:ind w:left="120"/>
              <w:spacing w:after="0"/>
              <w:rPr>
                <w:sz w:val="20"/>
                <w:szCs w:val="20"/>
                <w:color w:val="auto"/>
              </w:rPr>
            </w:pPr>
            <w:r>
              <w:rPr>
                <w:rFonts w:ascii="Arial" w:cs="Arial" w:eastAsia="Arial" w:hAnsi="Arial"/>
                <w:sz w:val="14"/>
                <w:szCs w:val="14"/>
                <w:color w:val="4D4D4F"/>
              </w:rPr>
              <w:t>S&amp;T Venture Capital (Group) Co.</w:t>
            </w:r>
          </w:p>
        </w:tc>
      </w:tr>
      <w:tr>
        <w:trPr>
          <w:trHeight w:val="172"/>
        </w:trPr>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40" w:type="dxa"/>
            <w:vAlign w:val="bottom"/>
          </w:tcPr>
          <w:p>
            <w:pPr>
              <w:ind w:left="120"/>
              <w:spacing w:after="0"/>
              <w:rPr>
                <w:sz w:val="20"/>
                <w:szCs w:val="20"/>
                <w:color w:val="auto"/>
              </w:rPr>
            </w:pPr>
            <w:r>
              <w:rPr>
                <w:rFonts w:ascii="Arial" w:cs="Arial" w:eastAsia="Arial" w:hAnsi="Arial"/>
                <w:sz w:val="14"/>
                <w:szCs w:val="14"/>
                <w:color w:val="4D4D4F"/>
              </w:rPr>
              <w:t>Ltd.</w:t>
            </w:r>
          </w:p>
        </w:tc>
      </w:tr>
      <w:tr>
        <w:trPr>
          <w:trHeight w:val="745"/>
        </w:trPr>
        <w:tc>
          <w:tcPr>
            <w:tcW w:w="1360" w:type="dxa"/>
            <w:vAlign w:val="bottom"/>
          </w:tcPr>
          <w:p>
            <w:pPr>
              <w:spacing w:after="0"/>
              <w:rPr>
                <w:sz w:val="20"/>
                <w:szCs w:val="20"/>
                <w:color w:val="auto"/>
              </w:rPr>
            </w:pPr>
            <w:r>
              <w:rPr>
                <w:rFonts w:ascii="Arial" w:cs="Arial" w:eastAsia="Arial" w:hAnsi="Arial"/>
                <w:sz w:val="14"/>
                <w:szCs w:val="14"/>
                <w:color w:val="4D4D4F"/>
              </w:rPr>
              <w:t>Zhengfan Yang</w:t>
            </w:r>
          </w:p>
        </w:tc>
        <w:tc>
          <w:tcPr>
            <w:tcW w:w="740" w:type="dxa"/>
            <w:vAlign w:val="bottom"/>
          </w:tcPr>
          <w:p>
            <w:pPr>
              <w:jc w:val="right"/>
              <w:ind w:right="128"/>
              <w:spacing w:after="0"/>
              <w:rPr>
                <w:sz w:val="20"/>
                <w:szCs w:val="20"/>
                <w:color w:val="auto"/>
              </w:rPr>
            </w:pPr>
            <w:r>
              <w:rPr>
                <w:rFonts w:ascii="Arial" w:cs="Arial" w:eastAsia="Arial" w:hAnsi="Arial"/>
                <w:sz w:val="14"/>
                <w:szCs w:val="14"/>
                <w:color w:val="4D4D4F"/>
              </w:rPr>
              <w:t>38</w:t>
            </w:r>
          </w:p>
        </w:tc>
        <w:tc>
          <w:tcPr>
            <w:tcW w:w="640" w:type="dxa"/>
            <w:vAlign w:val="bottom"/>
          </w:tcPr>
          <w:p>
            <w:pPr>
              <w:jc w:val="right"/>
              <w:ind w:right="68"/>
              <w:spacing w:after="0"/>
              <w:rPr>
                <w:sz w:val="20"/>
                <w:szCs w:val="20"/>
                <w:color w:val="auto"/>
              </w:rPr>
            </w:pPr>
            <w:r>
              <w:rPr>
                <w:rFonts w:ascii="Arial" w:cs="Arial" w:eastAsia="Arial" w:hAnsi="Arial"/>
                <w:sz w:val="14"/>
                <w:szCs w:val="14"/>
                <w:color w:val="4D4D4F"/>
              </w:rPr>
              <w:t>2018</w:t>
            </w:r>
          </w:p>
        </w:tc>
        <w:tc>
          <w:tcPr>
            <w:tcW w:w="2240" w:type="dxa"/>
            <w:vAlign w:val="bottom"/>
          </w:tcPr>
          <w:p>
            <w:pPr>
              <w:ind w:left="120"/>
              <w:spacing w:after="0"/>
              <w:rPr>
                <w:sz w:val="20"/>
                <w:szCs w:val="20"/>
                <w:color w:val="auto"/>
              </w:rPr>
            </w:pPr>
            <w:r>
              <w:rPr>
                <w:rFonts w:ascii="Arial" w:cs="Arial" w:eastAsia="Arial" w:hAnsi="Arial"/>
                <w:sz w:val="14"/>
                <w:szCs w:val="14"/>
                <w:color w:val="4D4D4F"/>
              </w:rPr>
              <w:t>Director of Direct investment</w:t>
            </w:r>
          </w:p>
        </w:tc>
      </w:tr>
      <w:tr>
        <w:trPr>
          <w:trHeight w:val="162"/>
        </w:trPr>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40" w:type="dxa"/>
            <w:vAlign w:val="bottom"/>
          </w:tcPr>
          <w:p>
            <w:pPr>
              <w:ind w:left="120"/>
              <w:spacing w:after="0"/>
              <w:rPr>
                <w:sz w:val="20"/>
                <w:szCs w:val="20"/>
                <w:color w:val="auto"/>
              </w:rPr>
            </w:pPr>
            <w:r>
              <w:rPr>
                <w:rFonts w:ascii="Arial" w:cs="Arial" w:eastAsia="Arial" w:hAnsi="Arial"/>
                <w:sz w:val="14"/>
                <w:szCs w:val="14"/>
                <w:color w:val="4D4D4F"/>
              </w:rPr>
              <w:t>Division III, Sino IC Capital Co.,</w:t>
            </w:r>
          </w:p>
        </w:tc>
      </w:tr>
      <w:tr>
        <w:trPr>
          <w:trHeight w:val="172"/>
        </w:trPr>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40" w:type="dxa"/>
            <w:vAlign w:val="bottom"/>
          </w:tcPr>
          <w:p>
            <w:pPr>
              <w:ind w:left="120"/>
              <w:spacing w:after="0"/>
              <w:rPr>
                <w:sz w:val="20"/>
                <w:szCs w:val="20"/>
                <w:color w:val="auto"/>
              </w:rPr>
            </w:pPr>
            <w:r>
              <w:rPr>
                <w:rFonts w:ascii="Arial" w:cs="Arial" w:eastAsia="Arial" w:hAnsi="Arial"/>
                <w:sz w:val="14"/>
                <w:szCs w:val="14"/>
                <w:color w:val="4D4D4F"/>
              </w:rPr>
              <w:t>Ltd.</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1360" w:type="dxa"/>
            <w:vAlign w:val="bottom"/>
          </w:tcPr>
          <w:p>
            <w:pPr>
              <w:spacing w:after="0"/>
              <w:rPr>
                <w:sz w:val="20"/>
                <w:szCs w:val="20"/>
                <w:color w:val="auto"/>
              </w:rPr>
            </w:pPr>
            <w:r>
              <w:rPr>
                <w:rFonts w:ascii="Arial" w:cs="Arial" w:eastAsia="Arial" w:hAnsi="Arial"/>
                <w:sz w:val="14"/>
                <w:szCs w:val="14"/>
                <w:color w:val="0079C0"/>
              </w:rPr>
              <w:t xml:space="preserve">• </w:t>
            </w:r>
            <w:r>
              <w:rPr>
                <w:rFonts w:ascii="Arial" w:cs="Arial" w:eastAsia="Arial" w:hAnsi="Arial"/>
                <w:sz w:val="14"/>
                <w:szCs w:val="14"/>
                <w:color w:val="4D4D4F"/>
              </w:rPr>
              <w:t>Innovation</w:t>
            </w:r>
          </w:p>
        </w:tc>
        <w:tc>
          <w:tcPr>
            <w:tcW w:w="6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shd w:val="clear" w:color="auto" w:fill="0079C0"/>
              </w:rPr>
              <w:t>✔</w:t>
            </w:r>
          </w:p>
        </w:tc>
        <w:tc>
          <w:tcPr>
            <w:tcW w:w="1860" w:type="dxa"/>
            <w:vAlign w:val="bottom"/>
          </w:tcPr>
          <w:p>
            <w:pPr>
              <w:ind w:left="400"/>
              <w:spacing w:after="0"/>
              <w:rPr>
                <w:sz w:val="20"/>
                <w:szCs w:val="20"/>
                <w:color w:val="auto"/>
              </w:rPr>
            </w:pPr>
            <w:r>
              <w:rPr>
                <w:rFonts w:ascii="Arial" w:cs="Arial" w:eastAsia="Arial" w:hAnsi="Arial"/>
                <w:sz w:val="14"/>
                <w:szCs w:val="14"/>
                <w:color w:val="003E64"/>
              </w:rPr>
              <w:t xml:space="preserve">• </w:t>
            </w:r>
            <w:r>
              <w:rPr>
                <w:rFonts w:ascii="Arial" w:cs="Arial" w:eastAsia="Arial" w:hAnsi="Arial"/>
                <w:sz w:val="14"/>
                <w:szCs w:val="14"/>
                <w:color w:val="4D4D4F"/>
              </w:rPr>
              <w:t>Nominating and</w:t>
            </w:r>
          </w:p>
        </w:tc>
        <w:tc>
          <w:tcPr>
            <w:tcW w:w="1560" w:type="dxa"/>
            <w:vAlign w:val="bottom"/>
          </w:tcPr>
          <w:p>
            <w:pPr>
              <w:ind w:left="360"/>
              <w:spacing w:after="0"/>
              <w:rPr>
                <w:sz w:val="20"/>
                <w:szCs w:val="20"/>
                <w:color w:val="auto"/>
              </w:rPr>
            </w:pPr>
            <w:r>
              <w:rPr>
                <w:rFonts w:ascii="Arial" w:cs="Arial" w:eastAsia="Arial" w:hAnsi="Arial"/>
                <w:sz w:val="14"/>
                <w:szCs w:val="14"/>
                <w:color w:val="003E64"/>
              </w:rPr>
              <w:t xml:space="preserve">• </w:t>
            </w:r>
            <w:r>
              <w:rPr>
                <w:rFonts w:ascii="Arial" w:cs="Arial" w:eastAsia="Arial" w:hAnsi="Arial"/>
                <w:sz w:val="14"/>
                <w:szCs w:val="14"/>
                <w:color w:val="4D4D4F"/>
              </w:rPr>
              <w:t>Ambrella, Inc.</w:t>
            </w:r>
          </w:p>
        </w:tc>
        <w:tc>
          <w:tcPr>
            <w:tcW w:w="0" w:type="dxa"/>
            <w:vAlign w:val="bottom"/>
          </w:tcPr>
          <w:p>
            <w:pPr>
              <w:spacing w:after="0"/>
              <w:rPr>
                <w:sz w:val="1"/>
                <w:szCs w:val="1"/>
                <w:color w:val="auto"/>
              </w:rPr>
            </w:pPr>
          </w:p>
        </w:tc>
      </w:tr>
      <w:tr>
        <w:trPr>
          <w:trHeight w:val="172"/>
        </w:trPr>
        <w:tc>
          <w:tcPr>
            <w:tcW w:w="1360" w:type="dxa"/>
            <w:vAlign w:val="bottom"/>
            <w:vMerge w:val="restart"/>
          </w:tcPr>
          <w:p>
            <w:pPr>
              <w:spacing w:after="0"/>
              <w:rPr>
                <w:sz w:val="20"/>
                <w:szCs w:val="20"/>
                <w:color w:val="auto"/>
              </w:rPr>
            </w:pPr>
            <w:r>
              <w:rPr>
                <w:rFonts w:ascii="Arial" w:cs="Arial" w:eastAsia="Arial" w:hAnsi="Arial"/>
                <w:sz w:val="14"/>
                <w:szCs w:val="14"/>
                <w:color w:val="0079C0"/>
              </w:rPr>
              <w:t xml:space="preserve">• </w:t>
            </w:r>
            <w:r>
              <w:rPr>
                <w:rFonts w:ascii="Arial" w:cs="Arial" w:eastAsia="Arial" w:hAnsi="Arial"/>
                <w:sz w:val="14"/>
                <w:szCs w:val="14"/>
                <w:color w:val="4D4D4F"/>
              </w:rPr>
              <w:t>Industry</w:t>
            </w:r>
          </w:p>
        </w:tc>
        <w:tc>
          <w:tcPr>
            <w:tcW w:w="640" w:type="dxa"/>
            <w:vAlign w:val="bottom"/>
          </w:tcPr>
          <w:p>
            <w:pPr>
              <w:spacing w:after="0"/>
              <w:rPr>
                <w:sz w:val="14"/>
                <w:szCs w:val="14"/>
                <w:color w:val="auto"/>
              </w:rPr>
            </w:pPr>
          </w:p>
        </w:tc>
        <w:tc>
          <w:tcPr>
            <w:tcW w:w="1860" w:type="dxa"/>
            <w:vAlign w:val="bottom"/>
          </w:tcPr>
          <w:p>
            <w:pPr>
              <w:ind w:left="480"/>
              <w:spacing w:after="0"/>
              <w:rPr>
                <w:sz w:val="20"/>
                <w:szCs w:val="20"/>
                <w:color w:val="auto"/>
              </w:rPr>
            </w:pPr>
            <w:r>
              <w:rPr>
                <w:rFonts w:ascii="Arial" w:cs="Arial" w:eastAsia="Arial" w:hAnsi="Arial"/>
                <w:sz w:val="14"/>
                <w:szCs w:val="14"/>
                <w:color w:val="4D4D4F"/>
              </w:rPr>
              <w:t>Governance</w:t>
            </w:r>
          </w:p>
        </w:tc>
        <w:tc>
          <w:tcPr>
            <w:tcW w:w="1560" w:type="dxa"/>
            <w:vAlign w:val="bottom"/>
            <w:vMerge w:val="restart"/>
          </w:tcPr>
          <w:p>
            <w:pPr>
              <w:ind w:left="360"/>
              <w:spacing w:after="0"/>
              <w:rPr>
                <w:sz w:val="20"/>
                <w:szCs w:val="20"/>
                <w:color w:val="auto"/>
              </w:rPr>
            </w:pPr>
            <w:r>
              <w:rPr>
                <w:rFonts w:ascii="Arial" w:cs="Arial" w:eastAsia="Arial" w:hAnsi="Arial"/>
                <w:sz w:val="14"/>
                <w:szCs w:val="14"/>
                <w:color w:val="003E64"/>
              </w:rPr>
              <w:t xml:space="preserve">• </w:t>
            </w:r>
            <w:r>
              <w:rPr>
                <w:rFonts w:ascii="Arial" w:cs="Arial" w:eastAsia="Arial" w:hAnsi="Arial"/>
                <w:sz w:val="14"/>
                <w:szCs w:val="14"/>
                <w:color w:val="4D4D4F"/>
              </w:rPr>
              <w:t>Inphi Corporation</w:t>
            </w:r>
          </w:p>
        </w:tc>
        <w:tc>
          <w:tcPr>
            <w:tcW w:w="0" w:type="dxa"/>
            <w:vAlign w:val="bottom"/>
          </w:tcPr>
          <w:p>
            <w:pPr>
              <w:spacing w:after="0"/>
              <w:rPr>
                <w:sz w:val="1"/>
                <w:szCs w:val="1"/>
                <w:color w:val="auto"/>
              </w:rPr>
            </w:pPr>
          </w:p>
        </w:tc>
      </w:tr>
      <w:tr>
        <w:trPr>
          <w:trHeight w:val="94"/>
        </w:trPr>
        <w:tc>
          <w:tcPr>
            <w:tcW w:w="136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0"/>
                <w:szCs w:val="20"/>
                <w:color w:val="auto"/>
              </w:rPr>
            </w:pPr>
            <w:r>
              <w:rPr>
                <w:rFonts w:ascii="Arial" w:cs="Arial" w:eastAsia="Arial" w:hAnsi="Arial"/>
                <w:sz w:val="14"/>
                <w:szCs w:val="14"/>
                <w:color w:val="0079C0"/>
              </w:rPr>
              <w:t xml:space="preserve">• </w:t>
            </w:r>
            <w:r>
              <w:rPr>
                <w:rFonts w:ascii="Arial" w:cs="Arial" w:eastAsia="Arial" w:hAnsi="Arial"/>
                <w:sz w:val="14"/>
                <w:szCs w:val="14"/>
                <w:color w:val="4D4D4F"/>
              </w:rPr>
              <w:t>Education</w:t>
            </w:r>
          </w:p>
        </w:tc>
        <w:tc>
          <w:tcPr>
            <w:tcW w:w="6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1360" w:type="dxa"/>
            <w:vAlign w:val="bottom"/>
          </w:tcPr>
          <w:p>
            <w:pPr>
              <w:spacing w:after="0"/>
              <w:rPr>
                <w:sz w:val="20"/>
                <w:szCs w:val="20"/>
                <w:color w:val="auto"/>
              </w:rPr>
            </w:pPr>
            <w:r>
              <w:rPr>
                <w:rFonts w:ascii="Arial" w:cs="Arial" w:eastAsia="Arial" w:hAnsi="Arial"/>
                <w:sz w:val="14"/>
                <w:szCs w:val="14"/>
                <w:color w:val="003E64"/>
              </w:rPr>
              <w:t xml:space="preserve">• </w:t>
            </w:r>
            <w:r>
              <w:rPr>
                <w:rFonts w:ascii="Arial" w:cs="Arial" w:eastAsia="Arial" w:hAnsi="Arial"/>
                <w:sz w:val="14"/>
                <w:szCs w:val="14"/>
                <w:color w:val="4D4D4F"/>
              </w:rPr>
              <w:t>Finance</w:t>
            </w:r>
          </w:p>
        </w:tc>
        <w:tc>
          <w:tcPr>
            <w:tcW w:w="6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shd w:val="clear" w:color="auto" w:fill="003E64"/>
              </w:rPr>
              <w:t>✔</w:t>
            </w:r>
          </w:p>
        </w:tc>
        <w:tc>
          <w:tcPr>
            <w:tcW w:w="1860" w:type="dxa"/>
            <w:vAlign w:val="bottom"/>
          </w:tcPr>
          <w:p>
            <w:pPr>
              <w:ind w:left="400"/>
              <w:spacing w:after="0"/>
              <w:rPr>
                <w:sz w:val="20"/>
                <w:szCs w:val="20"/>
                <w:color w:val="auto"/>
              </w:rPr>
            </w:pPr>
            <w:r>
              <w:rPr>
                <w:rFonts w:ascii="Arial" w:cs="Arial" w:eastAsia="Arial" w:hAnsi="Arial"/>
                <w:sz w:val="14"/>
                <w:szCs w:val="14"/>
                <w:color w:val="003E64"/>
              </w:rPr>
              <w:t xml:space="preserve">• </w:t>
            </w:r>
            <w:r>
              <w:rPr>
                <w:rFonts w:ascii="Arial" w:cs="Arial" w:eastAsia="Arial" w:hAnsi="Arial"/>
                <w:sz w:val="14"/>
                <w:szCs w:val="14"/>
                <w:color w:val="4D4D4F"/>
              </w:rPr>
              <w:t>Audit</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60" w:type="dxa"/>
            <w:vAlign w:val="bottom"/>
          </w:tcPr>
          <w:p>
            <w:pPr>
              <w:spacing w:after="0"/>
              <w:rPr>
                <w:sz w:val="20"/>
                <w:szCs w:val="20"/>
                <w:color w:val="auto"/>
              </w:rPr>
            </w:pPr>
            <w:r>
              <w:rPr>
                <w:rFonts w:ascii="Arial" w:cs="Arial" w:eastAsia="Arial" w:hAnsi="Arial"/>
                <w:sz w:val="14"/>
                <w:szCs w:val="14"/>
                <w:color w:val="003E64"/>
              </w:rPr>
              <w:t xml:space="preserve">• </w:t>
            </w:r>
            <w:r>
              <w:rPr>
                <w:rFonts w:ascii="Arial" w:cs="Arial" w:eastAsia="Arial" w:hAnsi="Arial"/>
                <w:sz w:val="14"/>
                <w:szCs w:val="14"/>
                <w:color w:val="4D4D4F"/>
              </w:rPr>
              <w:t>Leadership</w:t>
            </w:r>
          </w:p>
        </w:tc>
        <w:tc>
          <w:tcPr>
            <w:tcW w:w="640" w:type="dxa"/>
            <w:vAlign w:val="bottom"/>
          </w:tcPr>
          <w:p>
            <w:pPr>
              <w:spacing w:after="0"/>
              <w:rPr>
                <w:sz w:val="20"/>
                <w:szCs w:val="20"/>
                <w:color w:val="auto"/>
              </w:rPr>
            </w:pPr>
          </w:p>
        </w:tc>
        <w:tc>
          <w:tcPr>
            <w:tcW w:w="1860" w:type="dxa"/>
            <w:vAlign w:val="bottom"/>
          </w:tcPr>
          <w:p>
            <w:pPr>
              <w:ind w:left="400"/>
              <w:spacing w:after="0"/>
              <w:rPr>
                <w:sz w:val="20"/>
                <w:szCs w:val="20"/>
                <w:color w:val="auto"/>
              </w:rPr>
            </w:pPr>
            <w:r>
              <w:rPr>
                <w:rFonts w:ascii="Arial" w:cs="Arial" w:eastAsia="Arial" w:hAnsi="Arial"/>
                <w:sz w:val="14"/>
                <w:szCs w:val="14"/>
                <w:color w:val="003E64"/>
              </w:rPr>
              <w:t xml:space="preserve">• </w:t>
            </w:r>
            <w:r>
              <w:rPr>
                <w:rFonts w:ascii="Arial" w:cs="Arial" w:eastAsia="Arial" w:hAnsi="Arial"/>
                <w:sz w:val="14"/>
                <w:szCs w:val="14"/>
                <w:color w:val="4D4D4F"/>
              </w:rPr>
              <w:t>Compensation</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360" w:type="dxa"/>
            <w:vAlign w:val="bottom"/>
          </w:tcPr>
          <w:p>
            <w:pPr>
              <w:spacing w:after="0"/>
              <w:rPr>
                <w:sz w:val="20"/>
                <w:szCs w:val="20"/>
                <w:color w:val="auto"/>
              </w:rPr>
            </w:pPr>
            <w:r>
              <w:rPr>
                <w:rFonts w:ascii="Arial" w:cs="Arial" w:eastAsia="Arial" w:hAnsi="Arial"/>
                <w:sz w:val="14"/>
                <w:szCs w:val="14"/>
                <w:color w:val="003E64"/>
              </w:rPr>
              <w:t xml:space="preserve">• </w:t>
            </w:r>
            <w:r>
              <w:rPr>
                <w:rFonts w:ascii="Arial" w:cs="Arial" w:eastAsia="Arial" w:hAnsi="Arial"/>
                <w:sz w:val="14"/>
                <w:szCs w:val="14"/>
                <w:color w:val="4D4D4F"/>
              </w:rPr>
              <w:t>Global</w:t>
            </w:r>
          </w:p>
        </w:tc>
        <w:tc>
          <w:tcPr>
            <w:tcW w:w="640" w:type="dxa"/>
            <w:vAlign w:val="bottom"/>
          </w:tcPr>
          <w:p>
            <w:pPr>
              <w:spacing w:after="0"/>
              <w:rPr>
                <w:sz w:val="20"/>
                <w:szCs w:val="20"/>
                <w:color w:val="auto"/>
              </w:rPr>
            </w:pPr>
          </w:p>
        </w:tc>
        <w:tc>
          <w:tcPr>
            <w:tcW w:w="1860" w:type="dxa"/>
            <w:vAlign w:val="bottom"/>
          </w:tcPr>
          <w:p>
            <w:pPr>
              <w:ind w:left="400"/>
              <w:spacing w:after="0"/>
              <w:rPr>
                <w:sz w:val="20"/>
                <w:szCs w:val="20"/>
                <w:color w:val="auto"/>
              </w:rPr>
            </w:pPr>
            <w:r>
              <w:rPr>
                <w:rFonts w:ascii="Arial" w:cs="Arial" w:eastAsia="Arial" w:hAnsi="Arial"/>
                <w:sz w:val="14"/>
                <w:szCs w:val="14"/>
                <w:color w:val="003E64"/>
              </w:rPr>
              <w:t xml:space="preserve">• </w:t>
            </w:r>
            <w:r>
              <w:rPr>
                <w:rFonts w:ascii="Arial" w:cs="Arial" w:eastAsia="Arial" w:hAnsi="Arial"/>
                <w:sz w:val="14"/>
                <w:szCs w:val="14"/>
                <w:color w:val="4D4D4F"/>
              </w:rPr>
              <w:t>Nominating and</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1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60" w:type="dxa"/>
            <w:vAlign w:val="bottom"/>
          </w:tcPr>
          <w:p>
            <w:pPr>
              <w:ind w:left="480"/>
              <w:spacing w:after="0"/>
              <w:rPr>
                <w:sz w:val="20"/>
                <w:szCs w:val="20"/>
                <w:color w:val="auto"/>
              </w:rPr>
            </w:pPr>
            <w:r>
              <w:rPr>
                <w:rFonts w:ascii="Arial" w:cs="Arial" w:eastAsia="Arial" w:hAnsi="Arial"/>
                <w:sz w:val="14"/>
                <w:szCs w:val="14"/>
                <w:color w:val="4D4D4F"/>
              </w:rPr>
              <w:t>Governance</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6"/>
        </w:trPr>
        <w:tc>
          <w:tcPr>
            <w:tcW w:w="1360" w:type="dxa"/>
            <w:vAlign w:val="bottom"/>
          </w:tcPr>
          <w:p>
            <w:pPr>
              <w:spacing w:after="0"/>
              <w:rPr>
                <w:sz w:val="20"/>
                <w:szCs w:val="20"/>
                <w:color w:val="auto"/>
              </w:rPr>
            </w:pPr>
            <w:r>
              <w:rPr>
                <w:rFonts w:ascii="Arial" w:cs="Arial" w:eastAsia="Arial" w:hAnsi="Arial"/>
                <w:sz w:val="14"/>
                <w:szCs w:val="14"/>
                <w:color w:val="0079C0"/>
              </w:rPr>
              <w:t xml:space="preserve">• </w:t>
            </w:r>
            <w:r>
              <w:rPr>
                <w:rFonts w:ascii="Arial" w:cs="Arial" w:eastAsia="Arial" w:hAnsi="Arial"/>
                <w:sz w:val="14"/>
                <w:szCs w:val="14"/>
                <w:color w:val="4D4D4F"/>
              </w:rPr>
              <w:t>Investor designee</w:t>
            </w:r>
          </w:p>
        </w:tc>
        <w:tc>
          <w:tcPr>
            <w:tcW w:w="6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shd w:val="clear" w:color="auto" w:fill="0079C0"/>
              </w:rPr>
              <w:t>✔</w:t>
            </w:r>
          </w:p>
        </w:tc>
        <w:tc>
          <w:tcPr>
            <w:tcW w:w="1860" w:type="dxa"/>
            <w:vAlign w:val="bottom"/>
          </w:tcPr>
          <w:p>
            <w:pPr>
              <w:ind w:left="400"/>
              <w:spacing w:after="0"/>
              <w:rPr>
                <w:sz w:val="20"/>
                <w:szCs w:val="20"/>
                <w:color w:val="auto"/>
              </w:rPr>
            </w:pPr>
            <w:r>
              <w:rPr>
                <w:rFonts w:ascii="Arial" w:cs="Arial" w:eastAsia="Arial" w:hAnsi="Arial"/>
                <w:sz w:val="14"/>
                <w:szCs w:val="14"/>
                <w:color w:val="003E64"/>
              </w:rPr>
              <w:t xml:space="preserve">• </w:t>
            </w:r>
            <w:r>
              <w:rPr>
                <w:rFonts w:ascii="Arial" w:cs="Arial" w:eastAsia="Arial" w:hAnsi="Arial"/>
                <w:sz w:val="14"/>
                <w:szCs w:val="14"/>
                <w:color w:val="4D4D4F"/>
              </w:rPr>
              <w:t>Audit</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60" w:type="dxa"/>
            <w:vAlign w:val="bottom"/>
          </w:tcPr>
          <w:p>
            <w:pPr>
              <w:spacing w:after="0"/>
              <w:rPr>
                <w:sz w:val="20"/>
                <w:szCs w:val="20"/>
                <w:color w:val="auto"/>
              </w:rPr>
            </w:pPr>
            <w:r>
              <w:rPr>
                <w:rFonts w:ascii="Arial" w:cs="Arial" w:eastAsia="Arial" w:hAnsi="Arial"/>
                <w:sz w:val="14"/>
                <w:szCs w:val="14"/>
                <w:color w:val="0079C0"/>
              </w:rPr>
              <w:t xml:space="preserve">• </w:t>
            </w:r>
            <w:r>
              <w:rPr>
                <w:rFonts w:ascii="Arial" w:cs="Arial" w:eastAsia="Arial" w:hAnsi="Arial"/>
                <w:sz w:val="14"/>
                <w:szCs w:val="14"/>
                <w:color w:val="4D4D4F"/>
              </w:rPr>
              <w:t>Finance</w:t>
            </w:r>
          </w:p>
        </w:tc>
        <w:tc>
          <w:tcPr>
            <w:tcW w:w="6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0"/>
                <w:szCs w:val="20"/>
                <w:color w:val="auto"/>
              </w:rPr>
            </w:pPr>
            <w:r>
              <w:rPr>
                <w:rFonts w:ascii="Arial" w:cs="Arial" w:eastAsia="Arial" w:hAnsi="Arial"/>
                <w:sz w:val="14"/>
                <w:szCs w:val="14"/>
                <w:color w:val="0079C0"/>
              </w:rPr>
              <w:t xml:space="preserve">• </w:t>
            </w:r>
            <w:r>
              <w:rPr>
                <w:rFonts w:ascii="Arial" w:cs="Arial" w:eastAsia="Arial" w:hAnsi="Arial"/>
                <w:sz w:val="14"/>
                <w:szCs w:val="14"/>
                <w:color w:val="4D4D4F"/>
              </w:rPr>
              <w:t>Industry</w:t>
            </w:r>
          </w:p>
        </w:tc>
        <w:tc>
          <w:tcPr>
            <w:tcW w:w="6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0"/>
        </w:trPr>
        <w:tc>
          <w:tcPr>
            <w:tcW w:w="1360" w:type="dxa"/>
            <w:vAlign w:val="bottom"/>
          </w:tcPr>
          <w:p>
            <w:pPr>
              <w:spacing w:after="0"/>
              <w:rPr>
                <w:sz w:val="20"/>
                <w:szCs w:val="20"/>
                <w:color w:val="auto"/>
              </w:rPr>
            </w:pPr>
            <w:r>
              <w:rPr>
                <w:rFonts w:ascii="Arial" w:cs="Arial" w:eastAsia="Arial" w:hAnsi="Arial"/>
                <w:sz w:val="14"/>
                <w:szCs w:val="14"/>
                <w:color w:val="003E64"/>
              </w:rPr>
              <w:t xml:space="preserve">• </w:t>
            </w:r>
            <w:r>
              <w:rPr>
                <w:rFonts w:ascii="Arial" w:cs="Arial" w:eastAsia="Arial" w:hAnsi="Arial"/>
                <w:sz w:val="14"/>
                <w:szCs w:val="14"/>
                <w:color w:val="4D4D4F"/>
              </w:rPr>
              <w:t>Investor designee</w:t>
            </w:r>
          </w:p>
        </w:tc>
        <w:tc>
          <w:tcPr>
            <w:tcW w:w="6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shd w:val="clear" w:color="auto" w:fill="003E64"/>
              </w:rPr>
              <w:t>✔</w:t>
            </w:r>
          </w:p>
        </w:tc>
        <w:tc>
          <w:tcPr>
            <w:tcW w:w="1860" w:type="dxa"/>
            <w:vAlign w:val="bottom"/>
          </w:tcPr>
          <w:p>
            <w:pPr>
              <w:ind w:left="400"/>
              <w:spacing w:after="0"/>
              <w:rPr>
                <w:sz w:val="20"/>
                <w:szCs w:val="20"/>
                <w:color w:val="auto"/>
              </w:rPr>
            </w:pPr>
            <w:r>
              <w:rPr>
                <w:rFonts w:ascii="Arial" w:cs="Arial" w:eastAsia="Arial" w:hAnsi="Arial"/>
                <w:sz w:val="14"/>
                <w:szCs w:val="14"/>
                <w:color w:val="003E64"/>
              </w:rPr>
              <w:t xml:space="preserve">• </w:t>
            </w:r>
            <w:r>
              <w:rPr>
                <w:rFonts w:ascii="Arial" w:cs="Arial" w:eastAsia="Arial" w:hAnsi="Arial"/>
                <w:sz w:val="14"/>
                <w:szCs w:val="14"/>
                <w:color w:val="4D4D4F"/>
              </w:rPr>
              <w:t>Nominating and</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360" w:type="dxa"/>
            <w:vAlign w:val="bottom"/>
            <w:vMerge w:val="restart"/>
          </w:tcPr>
          <w:p>
            <w:pPr>
              <w:spacing w:after="0"/>
              <w:rPr>
                <w:sz w:val="20"/>
                <w:szCs w:val="20"/>
                <w:color w:val="auto"/>
              </w:rPr>
            </w:pPr>
            <w:r>
              <w:rPr>
                <w:rFonts w:ascii="Arial" w:cs="Arial" w:eastAsia="Arial" w:hAnsi="Arial"/>
                <w:sz w:val="14"/>
                <w:szCs w:val="14"/>
                <w:color w:val="003E64"/>
              </w:rPr>
              <w:t xml:space="preserve">• </w:t>
            </w:r>
            <w:r>
              <w:rPr>
                <w:rFonts w:ascii="Arial" w:cs="Arial" w:eastAsia="Arial" w:hAnsi="Arial"/>
                <w:sz w:val="14"/>
                <w:szCs w:val="14"/>
                <w:color w:val="4D4D4F"/>
              </w:rPr>
              <w:t>Industry</w:t>
            </w:r>
          </w:p>
        </w:tc>
        <w:tc>
          <w:tcPr>
            <w:tcW w:w="640" w:type="dxa"/>
            <w:vAlign w:val="bottom"/>
          </w:tcPr>
          <w:p>
            <w:pPr>
              <w:spacing w:after="0"/>
              <w:rPr>
                <w:sz w:val="14"/>
                <w:szCs w:val="14"/>
                <w:color w:val="auto"/>
              </w:rPr>
            </w:pPr>
          </w:p>
        </w:tc>
        <w:tc>
          <w:tcPr>
            <w:tcW w:w="1860" w:type="dxa"/>
            <w:vAlign w:val="bottom"/>
          </w:tcPr>
          <w:p>
            <w:pPr>
              <w:ind w:left="480"/>
              <w:spacing w:after="0"/>
              <w:rPr>
                <w:sz w:val="20"/>
                <w:szCs w:val="20"/>
                <w:color w:val="auto"/>
              </w:rPr>
            </w:pPr>
            <w:r>
              <w:rPr>
                <w:rFonts w:ascii="Arial" w:cs="Arial" w:eastAsia="Arial" w:hAnsi="Arial"/>
                <w:sz w:val="14"/>
                <w:szCs w:val="14"/>
                <w:color w:val="4D4D4F"/>
              </w:rPr>
              <w:t>Governance</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36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0"/>
                <w:szCs w:val="20"/>
                <w:color w:val="auto"/>
              </w:rPr>
            </w:pPr>
            <w:r>
              <w:rPr>
                <w:rFonts w:ascii="Arial" w:cs="Arial" w:eastAsia="Arial" w:hAnsi="Arial"/>
                <w:sz w:val="14"/>
                <w:szCs w:val="14"/>
                <w:color w:val="003E64"/>
              </w:rPr>
              <w:t xml:space="preserve">• </w:t>
            </w:r>
            <w:r>
              <w:rPr>
                <w:rFonts w:ascii="Arial" w:cs="Arial" w:eastAsia="Arial" w:hAnsi="Arial"/>
                <w:sz w:val="14"/>
                <w:szCs w:val="14"/>
                <w:color w:val="4D4D4F"/>
              </w:rPr>
              <w:t>Finance</w:t>
            </w:r>
          </w:p>
        </w:tc>
        <w:tc>
          <w:tcPr>
            <w:tcW w:w="6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140" w:space="300"/>
            <w:col w:w="5980"/>
          </w:cols>
          <w:pgMar w:left="240" w:top="12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8" w:name="page9"/>
    <w:bookmarkEnd w:id="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116840</wp:posOffset>
            </wp:positionV>
            <wp:extent cx="7299325" cy="7524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9325" cy="7524750"/>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9C0"/>
          <w:highlight w:val="white"/>
        </w:rPr>
        <w:t>Board Representation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9C0"/>
        </w:rPr>
        <w:t>Additional Board Governance Practices</w:t>
      </w:r>
    </w:p>
    <w:p>
      <w:pPr>
        <w:spacing w:after="0" w:line="198" w:lineRule="exact"/>
        <w:rPr>
          <w:sz w:val="20"/>
          <w:szCs w:val="20"/>
          <w:color w:val="auto"/>
        </w:rPr>
      </w:pPr>
    </w:p>
    <w:tbl>
      <w:tblPr>
        <w:tblLayout w:type="fixed"/>
        <w:tblInd w:w="1260" w:type="dxa"/>
        <w:tblCellMar>
          <w:top w:w="0" w:type="dxa"/>
          <w:left w:w="0" w:type="dxa"/>
          <w:bottom w:w="0" w:type="dxa"/>
          <w:right w:w="0" w:type="dxa"/>
        </w:tblCellMar>
      </w:tblPr>
      <w:tr>
        <w:trPr>
          <w:trHeight w:val="256"/>
        </w:trPr>
        <w:tc>
          <w:tcPr>
            <w:tcW w:w="1820" w:type="dxa"/>
            <w:vAlign w:val="bottom"/>
            <w:shd w:val="clear" w:color="auto" w:fill="B7E4FF"/>
          </w:tcPr>
          <w:p>
            <w:pPr>
              <w:ind w:left="20"/>
              <w:spacing w:after="0"/>
              <w:rPr>
                <w:sz w:val="20"/>
                <w:szCs w:val="20"/>
                <w:color w:val="auto"/>
              </w:rPr>
            </w:pPr>
            <w:r>
              <w:rPr>
                <w:rFonts w:ascii="Arial" w:cs="Arial" w:eastAsia="Arial" w:hAnsi="Arial"/>
                <w:sz w:val="18"/>
                <w:szCs w:val="18"/>
                <w:b w:val="1"/>
                <w:bCs w:val="1"/>
                <w:i w:val="1"/>
                <w:iCs w:val="1"/>
                <w:color w:val="003E64"/>
              </w:rPr>
              <w:t>Elections:</w:t>
            </w:r>
          </w:p>
        </w:tc>
        <w:tc>
          <w:tcPr>
            <w:tcW w:w="6300" w:type="dxa"/>
            <w:vAlign w:val="bottom"/>
            <w:shd w:val="clear" w:color="auto" w:fill="B7E4FF"/>
          </w:tcPr>
          <w:p>
            <w:pPr>
              <w:ind w:left="20"/>
              <w:spacing w:after="0"/>
              <w:rPr>
                <w:sz w:val="20"/>
                <w:szCs w:val="20"/>
                <w:color w:val="auto"/>
              </w:rPr>
            </w:pPr>
            <w:r>
              <w:rPr>
                <w:rFonts w:ascii="Arial" w:cs="Arial" w:eastAsia="Arial" w:hAnsi="Arial"/>
                <w:sz w:val="18"/>
                <w:szCs w:val="18"/>
                <w:color w:val="4D4D4F"/>
              </w:rPr>
              <w:t>Classified Board</w:t>
            </w:r>
          </w:p>
        </w:tc>
        <w:tc>
          <w:tcPr>
            <w:tcW w:w="920" w:type="dxa"/>
            <w:vAlign w:val="bottom"/>
            <w:shd w:val="clear" w:color="auto" w:fill="B7E4FF"/>
          </w:tcPr>
          <w:p>
            <w:pPr>
              <w:ind w:left="20"/>
              <w:spacing w:after="0"/>
              <w:rPr>
                <w:sz w:val="20"/>
                <w:szCs w:val="20"/>
                <w:color w:val="auto"/>
              </w:rPr>
            </w:pPr>
            <w:r>
              <w:rPr>
                <w:rFonts w:ascii="Arial" w:cs="Arial" w:eastAsia="Arial" w:hAnsi="Arial"/>
                <w:sz w:val="18"/>
                <w:szCs w:val="18"/>
                <w:color w:val="4D4D4F"/>
              </w:rPr>
              <w:t>No</w:t>
            </w:r>
          </w:p>
        </w:tc>
      </w:tr>
      <w:tr>
        <w:trPr>
          <w:trHeight w:val="243"/>
        </w:trPr>
        <w:tc>
          <w:tcPr>
            <w:tcW w:w="1820" w:type="dxa"/>
            <w:vAlign w:val="bottom"/>
            <w:shd w:val="clear" w:color="auto" w:fill="B7E4FF"/>
          </w:tcPr>
          <w:p>
            <w:pPr>
              <w:spacing w:after="0"/>
              <w:rPr>
                <w:sz w:val="21"/>
                <w:szCs w:val="21"/>
                <w:color w:val="auto"/>
              </w:rPr>
            </w:pPr>
          </w:p>
        </w:tc>
        <w:tc>
          <w:tcPr>
            <w:tcW w:w="6300" w:type="dxa"/>
            <w:vAlign w:val="bottom"/>
            <w:shd w:val="clear" w:color="auto" w:fill="B7E4FF"/>
          </w:tcPr>
          <w:p>
            <w:pPr>
              <w:ind w:left="20"/>
              <w:spacing w:after="0"/>
              <w:rPr>
                <w:sz w:val="20"/>
                <w:szCs w:val="20"/>
                <w:color w:val="auto"/>
              </w:rPr>
            </w:pPr>
            <w:r>
              <w:rPr>
                <w:rFonts w:ascii="Arial" w:cs="Arial" w:eastAsia="Arial" w:hAnsi="Arial"/>
                <w:sz w:val="18"/>
                <w:szCs w:val="18"/>
                <w:color w:val="4D4D4F"/>
              </w:rPr>
              <w:t>Frequency of Director Elections</w:t>
            </w:r>
          </w:p>
        </w:tc>
        <w:tc>
          <w:tcPr>
            <w:tcW w:w="920" w:type="dxa"/>
            <w:vAlign w:val="bottom"/>
            <w:shd w:val="clear" w:color="auto" w:fill="B7E4FF"/>
          </w:tcPr>
          <w:p>
            <w:pPr>
              <w:ind w:left="20"/>
              <w:spacing w:after="0"/>
              <w:rPr>
                <w:sz w:val="20"/>
                <w:szCs w:val="20"/>
                <w:color w:val="auto"/>
              </w:rPr>
            </w:pPr>
            <w:r>
              <w:rPr>
                <w:rFonts w:ascii="Arial" w:cs="Arial" w:eastAsia="Arial" w:hAnsi="Arial"/>
                <w:sz w:val="18"/>
                <w:szCs w:val="18"/>
                <w:color w:val="4D4D4F"/>
              </w:rPr>
              <w:t>Annual</w:t>
            </w:r>
          </w:p>
        </w:tc>
      </w:tr>
      <w:tr>
        <w:trPr>
          <w:trHeight w:val="256"/>
        </w:trPr>
        <w:tc>
          <w:tcPr>
            <w:tcW w:w="1820" w:type="dxa"/>
            <w:vAlign w:val="bottom"/>
            <w:shd w:val="clear" w:color="auto" w:fill="B7E4FF"/>
          </w:tcPr>
          <w:p>
            <w:pPr>
              <w:spacing w:after="0"/>
              <w:rPr>
                <w:sz w:val="22"/>
                <w:szCs w:val="22"/>
                <w:color w:val="auto"/>
              </w:rPr>
            </w:pPr>
          </w:p>
        </w:tc>
        <w:tc>
          <w:tcPr>
            <w:tcW w:w="6300" w:type="dxa"/>
            <w:vAlign w:val="bottom"/>
            <w:shd w:val="clear" w:color="auto" w:fill="B7E4FF"/>
          </w:tcPr>
          <w:p>
            <w:pPr>
              <w:ind w:left="20"/>
              <w:spacing w:after="0"/>
              <w:rPr>
                <w:sz w:val="20"/>
                <w:szCs w:val="20"/>
                <w:color w:val="auto"/>
              </w:rPr>
            </w:pPr>
            <w:r>
              <w:rPr>
                <w:rFonts w:ascii="Arial" w:cs="Arial" w:eastAsia="Arial" w:hAnsi="Arial"/>
                <w:sz w:val="18"/>
                <w:szCs w:val="18"/>
                <w:color w:val="4D4D4F"/>
              </w:rPr>
              <w:t>Voting Standard</w:t>
            </w:r>
          </w:p>
        </w:tc>
        <w:tc>
          <w:tcPr>
            <w:tcW w:w="920" w:type="dxa"/>
            <w:vAlign w:val="bottom"/>
            <w:shd w:val="clear" w:color="auto" w:fill="B7E4FF"/>
          </w:tcPr>
          <w:p>
            <w:pPr>
              <w:ind w:left="20"/>
              <w:spacing w:after="0"/>
              <w:rPr>
                <w:sz w:val="20"/>
                <w:szCs w:val="20"/>
                <w:color w:val="auto"/>
              </w:rPr>
            </w:pPr>
            <w:r>
              <w:rPr>
                <w:rFonts w:ascii="Arial" w:cs="Arial" w:eastAsia="Arial" w:hAnsi="Arial"/>
                <w:sz w:val="18"/>
                <w:szCs w:val="18"/>
                <w:color w:val="4D4D4F"/>
              </w:rPr>
              <w:t>Majority</w:t>
            </w:r>
          </w:p>
        </w:tc>
      </w:tr>
      <w:tr>
        <w:trPr>
          <w:trHeight w:val="256"/>
        </w:trPr>
        <w:tc>
          <w:tcPr>
            <w:tcW w:w="1820" w:type="dxa"/>
            <w:vAlign w:val="bottom"/>
            <w:shd w:val="clear" w:color="auto" w:fill="B7E4FF"/>
          </w:tcPr>
          <w:p>
            <w:pPr>
              <w:spacing w:after="0"/>
              <w:rPr>
                <w:sz w:val="22"/>
                <w:szCs w:val="22"/>
                <w:color w:val="auto"/>
              </w:rPr>
            </w:pPr>
          </w:p>
        </w:tc>
        <w:tc>
          <w:tcPr>
            <w:tcW w:w="6300" w:type="dxa"/>
            <w:vAlign w:val="bottom"/>
            <w:shd w:val="clear" w:color="auto" w:fill="B7E4FF"/>
          </w:tcPr>
          <w:p>
            <w:pPr>
              <w:ind w:left="20"/>
              <w:spacing w:after="0"/>
              <w:rPr>
                <w:sz w:val="20"/>
                <w:szCs w:val="20"/>
                <w:color w:val="auto"/>
              </w:rPr>
            </w:pPr>
            <w:r>
              <w:rPr>
                <w:rFonts w:ascii="Arial" w:cs="Arial" w:eastAsia="Arial" w:hAnsi="Arial"/>
                <w:sz w:val="18"/>
                <w:szCs w:val="18"/>
                <w:color w:val="4D4D4F"/>
              </w:rPr>
              <w:t>Resignation Policy</w:t>
            </w:r>
          </w:p>
        </w:tc>
        <w:tc>
          <w:tcPr>
            <w:tcW w:w="920" w:type="dxa"/>
            <w:vAlign w:val="bottom"/>
            <w:shd w:val="clear" w:color="auto" w:fill="B7E4FF"/>
          </w:tcPr>
          <w:p>
            <w:pPr>
              <w:ind w:left="20"/>
              <w:spacing w:after="0"/>
              <w:rPr>
                <w:sz w:val="20"/>
                <w:szCs w:val="20"/>
                <w:color w:val="auto"/>
              </w:rPr>
            </w:pPr>
            <w:r>
              <w:rPr>
                <w:rFonts w:ascii="Arial" w:cs="Arial" w:eastAsia="Arial" w:hAnsi="Arial"/>
                <w:sz w:val="18"/>
                <w:szCs w:val="18"/>
                <w:color w:val="4D4D4F"/>
              </w:rPr>
              <w:t>Yes</w:t>
            </w:r>
          </w:p>
        </w:tc>
      </w:tr>
      <w:tr>
        <w:trPr>
          <w:trHeight w:val="250"/>
        </w:trPr>
        <w:tc>
          <w:tcPr>
            <w:tcW w:w="1820" w:type="dxa"/>
            <w:vAlign w:val="bottom"/>
            <w:tcBorders>
              <w:bottom w:val="single" w:sz="8" w:color="B7E4FF"/>
            </w:tcBorders>
            <w:shd w:val="clear" w:color="auto" w:fill="B7E4FF"/>
          </w:tcPr>
          <w:p>
            <w:pPr>
              <w:spacing w:after="0"/>
              <w:rPr>
                <w:sz w:val="21"/>
                <w:szCs w:val="21"/>
                <w:color w:val="auto"/>
              </w:rPr>
            </w:pPr>
          </w:p>
        </w:tc>
        <w:tc>
          <w:tcPr>
            <w:tcW w:w="6300" w:type="dxa"/>
            <w:vAlign w:val="bottom"/>
            <w:tcBorders>
              <w:bottom w:val="single" w:sz="8" w:color="B7E4FF"/>
            </w:tcBorders>
            <w:shd w:val="clear" w:color="auto" w:fill="B7E4FF"/>
          </w:tcPr>
          <w:p>
            <w:pPr>
              <w:ind w:left="20"/>
              <w:spacing w:after="0"/>
              <w:rPr>
                <w:sz w:val="20"/>
                <w:szCs w:val="20"/>
                <w:color w:val="auto"/>
              </w:rPr>
            </w:pPr>
            <w:r>
              <w:rPr>
                <w:rFonts w:ascii="Arial" w:cs="Arial" w:eastAsia="Arial" w:hAnsi="Arial"/>
                <w:sz w:val="18"/>
                <w:szCs w:val="18"/>
                <w:color w:val="4D4D4F"/>
              </w:rPr>
              <w:t>Mandatory Retirement Age or Tenure</w:t>
            </w:r>
          </w:p>
        </w:tc>
        <w:tc>
          <w:tcPr>
            <w:tcW w:w="920" w:type="dxa"/>
            <w:vAlign w:val="bottom"/>
            <w:tcBorders>
              <w:bottom w:val="single" w:sz="8" w:color="B7E4FF"/>
            </w:tcBorders>
            <w:shd w:val="clear" w:color="auto" w:fill="B7E4FF"/>
          </w:tcPr>
          <w:p>
            <w:pPr>
              <w:ind w:left="40"/>
              <w:spacing w:after="0"/>
              <w:rPr>
                <w:sz w:val="20"/>
                <w:szCs w:val="20"/>
                <w:color w:val="auto"/>
              </w:rPr>
            </w:pPr>
            <w:r>
              <w:rPr>
                <w:rFonts w:ascii="Arial" w:cs="Arial" w:eastAsia="Arial" w:hAnsi="Arial"/>
                <w:sz w:val="18"/>
                <w:szCs w:val="18"/>
                <w:color w:val="4D4D4F"/>
                <w:shd w:val="clear" w:color="auto" w:fill="B7E4FF"/>
              </w:rPr>
              <w:t>No</w:t>
            </w:r>
          </w:p>
        </w:tc>
      </w:tr>
      <w:tr>
        <w:trPr>
          <w:trHeight w:val="243"/>
        </w:trPr>
        <w:tc>
          <w:tcPr>
            <w:tcW w:w="1820" w:type="dxa"/>
            <w:vAlign w:val="bottom"/>
          </w:tcPr>
          <w:p>
            <w:pPr>
              <w:ind w:left="20"/>
              <w:spacing w:after="0"/>
              <w:rPr>
                <w:sz w:val="20"/>
                <w:szCs w:val="20"/>
                <w:color w:val="auto"/>
              </w:rPr>
            </w:pPr>
            <w:r>
              <w:rPr>
                <w:rFonts w:ascii="Arial" w:cs="Arial" w:eastAsia="Arial" w:hAnsi="Arial"/>
                <w:sz w:val="18"/>
                <w:szCs w:val="18"/>
                <w:b w:val="1"/>
                <w:bCs w:val="1"/>
                <w:i w:val="1"/>
                <w:iCs w:val="1"/>
                <w:color w:val="003E64"/>
              </w:rPr>
              <w:t>Chair:</w:t>
            </w:r>
          </w:p>
        </w:tc>
        <w:tc>
          <w:tcPr>
            <w:tcW w:w="6300" w:type="dxa"/>
            <w:vAlign w:val="bottom"/>
          </w:tcPr>
          <w:p>
            <w:pPr>
              <w:ind w:left="20"/>
              <w:spacing w:after="0"/>
              <w:rPr>
                <w:sz w:val="20"/>
                <w:szCs w:val="20"/>
                <w:color w:val="auto"/>
              </w:rPr>
            </w:pPr>
            <w:r>
              <w:rPr>
                <w:rFonts w:ascii="Arial" w:cs="Arial" w:eastAsia="Arial" w:hAnsi="Arial"/>
                <w:sz w:val="18"/>
                <w:szCs w:val="18"/>
                <w:color w:val="4D4D4F"/>
              </w:rPr>
              <w:t>Separate Chair of the Board and CEO</w:t>
            </w:r>
          </w:p>
        </w:tc>
        <w:tc>
          <w:tcPr>
            <w:tcW w:w="920" w:type="dxa"/>
            <w:vAlign w:val="bottom"/>
          </w:tcPr>
          <w:p>
            <w:pPr>
              <w:ind w:left="20"/>
              <w:spacing w:after="0"/>
              <w:rPr>
                <w:sz w:val="20"/>
                <w:szCs w:val="20"/>
                <w:color w:val="auto"/>
              </w:rPr>
            </w:pPr>
            <w:r>
              <w:rPr>
                <w:rFonts w:ascii="Arial" w:cs="Arial" w:eastAsia="Arial" w:hAnsi="Arial"/>
                <w:sz w:val="18"/>
                <w:szCs w:val="18"/>
                <w:color w:val="4D4D4F"/>
              </w:rPr>
              <w:t>Yes</w:t>
            </w:r>
          </w:p>
        </w:tc>
      </w:tr>
      <w:tr>
        <w:trPr>
          <w:trHeight w:val="256"/>
        </w:trPr>
        <w:tc>
          <w:tcPr>
            <w:tcW w:w="1820" w:type="dxa"/>
            <w:vAlign w:val="bottom"/>
          </w:tcPr>
          <w:p>
            <w:pPr>
              <w:spacing w:after="0"/>
              <w:rPr>
                <w:sz w:val="22"/>
                <w:szCs w:val="22"/>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4D4D4F"/>
              </w:rPr>
              <w:t>Independent Lead Director</w:t>
            </w:r>
          </w:p>
        </w:tc>
        <w:tc>
          <w:tcPr>
            <w:tcW w:w="920" w:type="dxa"/>
            <w:vAlign w:val="bottom"/>
          </w:tcPr>
          <w:p>
            <w:pPr>
              <w:ind w:left="20"/>
              <w:spacing w:after="0"/>
              <w:rPr>
                <w:sz w:val="20"/>
                <w:szCs w:val="20"/>
                <w:color w:val="auto"/>
              </w:rPr>
            </w:pPr>
            <w:r>
              <w:rPr>
                <w:rFonts w:ascii="Arial" w:cs="Arial" w:eastAsia="Arial" w:hAnsi="Arial"/>
                <w:sz w:val="18"/>
                <w:szCs w:val="18"/>
                <w:color w:val="4D4D4F"/>
              </w:rPr>
              <w:t>Yes</w:t>
            </w:r>
          </w:p>
        </w:tc>
      </w:tr>
      <w:tr>
        <w:trPr>
          <w:trHeight w:val="263"/>
        </w:trPr>
        <w:tc>
          <w:tcPr>
            <w:tcW w:w="1820" w:type="dxa"/>
            <w:vAlign w:val="bottom"/>
          </w:tcPr>
          <w:p>
            <w:pPr>
              <w:spacing w:after="0"/>
              <w:rPr>
                <w:sz w:val="22"/>
                <w:szCs w:val="22"/>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4D4D4F"/>
              </w:rPr>
              <w:t>Robust Responsibilities and Duties Assigned to Independent Chair</w:t>
            </w:r>
          </w:p>
        </w:tc>
        <w:tc>
          <w:tcPr>
            <w:tcW w:w="920" w:type="dxa"/>
            <w:vAlign w:val="bottom"/>
          </w:tcPr>
          <w:p>
            <w:pPr>
              <w:ind w:left="20"/>
              <w:spacing w:after="0"/>
              <w:rPr>
                <w:sz w:val="20"/>
                <w:szCs w:val="20"/>
                <w:color w:val="auto"/>
              </w:rPr>
            </w:pPr>
            <w:r>
              <w:rPr>
                <w:rFonts w:ascii="Arial" w:cs="Arial" w:eastAsia="Arial" w:hAnsi="Arial"/>
                <w:sz w:val="18"/>
                <w:szCs w:val="18"/>
                <w:color w:val="4D4D4F"/>
              </w:rPr>
              <w:t>Yes</w:t>
            </w:r>
          </w:p>
        </w:tc>
      </w:tr>
      <w:tr>
        <w:trPr>
          <w:trHeight w:val="250"/>
        </w:trPr>
        <w:tc>
          <w:tcPr>
            <w:tcW w:w="1820" w:type="dxa"/>
            <w:vAlign w:val="bottom"/>
            <w:shd w:val="clear" w:color="auto" w:fill="B7E4FF"/>
          </w:tcPr>
          <w:p>
            <w:pPr>
              <w:ind w:left="20"/>
              <w:spacing w:after="0"/>
              <w:rPr>
                <w:sz w:val="20"/>
                <w:szCs w:val="20"/>
                <w:color w:val="auto"/>
              </w:rPr>
            </w:pPr>
            <w:r>
              <w:rPr>
                <w:rFonts w:ascii="Arial" w:cs="Arial" w:eastAsia="Arial" w:hAnsi="Arial"/>
                <w:sz w:val="18"/>
                <w:szCs w:val="18"/>
                <w:b w:val="1"/>
                <w:bCs w:val="1"/>
                <w:i w:val="1"/>
                <w:iCs w:val="1"/>
                <w:color w:val="003E64"/>
              </w:rPr>
              <w:t>Meetings:</w:t>
            </w:r>
          </w:p>
        </w:tc>
        <w:tc>
          <w:tcPr>
            <w:tcW w:w="6300" w:type="dxa"/>
            <w:vAlign w:val="bottom"/>
            <w:shd w:val="clear" w:color="auto" w:fill="B7E4FF"/>
          </w:tcPr>
          <w:p>
            <w:pPr>
              <w:ind w:left="20"/>
              <w:spacing w:after="0"/>
              <w:rPr>
                <w:sz w:val="20"/>
                <w:szCs w:val="20"/>
                <w:color w:val="auto"/>
              </w:rPr>
            </w:pPr>
            <w:r>
              <w:rPr>
                <w:rFonts w:ascii="Arial" w:cs="Arial" w:eastAsia="Arial" w:hAnsi="Arial"/>
                <w:sz w:val="18"/>
                <w:szCs w:val="18"/>
                <w:color w:val="4D4D4F"/>
              </w:rPr>
              <w:t>Number of Board Meetings Held in 2018</w:t>
            </w:r>
          </w:p>
        </w:tc>
        <w:tc>
          <w:tcPr>
            <w:tcW w:w="920" w:type="dxa"/>
            <w:vAlign w:val="bottom"/>
            <w:shd w:val="clear" w:color="auto" w:fill="B7E4FF"/>
          </w:tcPr>
          <w:p>
            <w:pPr>
              <w:ind w:left="20"/>
              <w:spacing w:after="0"/>
              <w:rPr>
                <w:sz w:val="20"/>
                <w:szCs w:val="20"/>
                <w:color w:val="auto"/>
              </w:rPr>
            </w:pPr>
            <w:r>
              <w:rPr>
                <w:rFonts w:ascii="Arial" w:cs="Arial" w:eastAsia="Arial" w:hAnsi="Arial"/>
                <w:sz w:val="18"/>
                <w:szCs w:val="18"/>
                <w:color w:val="4D4D4F"/>
              </w:rPr>
              <w:t>7</w:t>
            </w:r>
          </w:p>
        </w:tc>
      </w:tr>
      <w:tr>
        <w:trPr>
          <w:trHeight w:val="256"/>
        </w:trPr>
        <w:tc>
          <w:tcPr>
            <w:tcW w:w="1820" w:type="dxa"/>
            <w:vAlign w:val="bottom"/>
            <w:shd w:val="clear" w:color="auto" w:fill="B7E4FF"/>
          </w:tcPr>
          <w:p>
            <w:pPr>
              <w:spacing w:after="0"/>
              <w:rPr>
                <w:sz w:val="22"/>
                <w:szCs w:val="22"/>
                <w:color w:val="auto"/>
              </w:rPr>
            </w:pPr>
          </w:p>
        </w:tc>
        <w:tc>
          <w:tcPr>
            <w:tcW w:w="6300" w:type="dxa"/>
            <w:vAlign w:val="bottom"/>
            <w:shd w:val="clear" w:color="auto" w:fill="B7E4FF"/>
          </w:tcPr>
          <w:p>
            <w:pPr>
              <w:ind w:left="20"/>
              <w:spacing w:after="0"/>
              <w:rPr>
                <w:sz w:val="20"/>
                <w:szCs w:val="20"/>
                <w:color w:val="auto"/>
              </w:rPr>
            </w:pPr>
            <w:r>
              <w:rPr>
                <w:rFonts w:ascii="Arial" w:cs="Arial" w:eastAsia="Arial" w:hAnsi="Arial"/>
                <w:sz w:val="18"/>
                <w:szCs w:val="18"/>
                <w:color w:val="4D4D4F"/>
              </w:rPr>
              <w:t>Directors Attending Fewer than 75% of Board Meetings in 2018</w:t>
            </w:r>
          </w:p>
        </w:tc>
        <w:tc>
          <w:tcPr>
            <w:tcW w:w="920" w:type="dxa"/>
            <w:vAlign w:val="bottom"/>
            <w:shd w:val="clear" w:color="auto" w:fill="B7E4FF"/>
          </w:tcPr>
          <w:p>
            <w:pPr>
              <w:ind w:left="20"/>
              <w:spacing w:after="0"/>
              <w:rPr>
                <w:sz w:val="20"/>
                <w:szCs w:val="20"/>
                <w:color w:val="auto"/>
              </w:rPr>
            </w:pPr>
            <w:r>
              <w:rPr>
                <w:rFonts w:ascii="Arial" w:cs="Arial" w:eastAsia="Arial" w:hAnsi="Arial"/>
                <w:sz w:val="18"/>
                <w:szCs w:val="18"/>
                <w:color w:val="4D4D4F"/>
              </w:rPr>
              <w:t>None</w:t>
            </w:r>
          </w:p>
        </w:tc>
      </w:tr>
      <w:tr>
        <w:trPr>
          <w:trHeight w:val="256"/>
        </w:trPr>
        <w:tc>
          <w:tcPr>
            <w:tcW w:w="1820" w:type="dxa"/>
            <w:vAlign w:val="bottom"/>
            <w:shd w:val="clear" w:color="auto" w:fill="B7E4FF"/>
          </w:tcPr>
          <w:p>
            <w:pPr>
              <w:spacing w:after="0"/>
              <w:rPr>
                <w:sz w:val="22"/>
                <w:szCs w:val="22"/>
                <w:color w:val="auto"/>
              </w:rPr>
            </w:pPr>
          </w:p>
        </w:tc>
        <w:tc>
          <w:tcPr>
            <w:tcW w:w="6300" w:type="dxa"/>
            <w:vAlign w:val="bottom"/>
            <w:shd w:val="clear" w:color="auto" w:fill="B7E4FF"/>
          </w:tcPr>
          <w:p>
            <w:pPr>
              <w:ind w:left="20"/>
              <w:spacing w:after="0"/>
              <w:rPr>
                <w:sz w:val="20"/>
                <w:szCs w:val="20"/>
                <w:color w:val="auto"/>
              </w:rPr>
            </w:pPr>
            <w:r>
              <w:rPr>
                <w:rFonts w:ascii="Arial" w:cs="Arial" w:eastAsia="Arial" w:hAnsi="Arial"/>
                <w:sz w:val="18"/>
                <w:szCs w:val="18"/>
                <w:color w:val="4D4D4F"/>
              </w:rPr>
              <w:t>Independent Directors Meet without Management Present</w:t>
            </w:r>
          </w:p>
        </w:tc>
        <w:tc>
          <w:tcPr>
            <w:tcW w:w="920" w:type="dxa"/>
            <w:vAlign w:val="bottom"/>
            <w:shd w:val="clear" w:color="auto" w:fill="B7E4FF"/>
          </w:tcPr>
          <w:p>
            <w:pPr>
              <w:ind w:left="20"/>
              <w:spacing w:after="0"/>
              <w:rPr>
                <w:sz w:val="20"/>
                <w:szCs w:val="20"/>
                <w:color w:val="auto"/>
              </w:rPr>
            </w:pPr>
            <w:r>
              <w:rPr>
                <w:rFonts w:ascii="Arial" w:cs="Arial" w:eastAsia="Arial" w:hAnsi="Arial"/>
                <w:sz w:val="18"/>
                <w:szCs w:val="18"/>
                <w:color w:val="4D4D4F"/>
              </w:rPr>
              <w:t>Yes</w:t>
            </w:r>
          </w:p>
        </w:tc>
      </w:tr>
      <w:tr>
        <w:trPr>
          <w:trHeight w:val="256"/>
        </w:trPr>
        <w:tc>
          <w:tcPr>
            <w:tcW w:w="1820" w:type="dxa"/>
            <w:vAlign w:val="bottom"/>
            <w:shd w:val="clear" w:color="auto" w:fill="B7E4FF"/>
          </w:tcPr>
          <w:p>
            <w:pPr>
              <w:spacing w:after="0"/>
              <w:rPr>
                <w:sz w:val="22"/>
                <w:szCs w:val="22"/>
                <w:color w:val="auto"/>
              </w:rPr>
            </w:pPr>
          </w:p>
        </w:tc>
        <w:tc>
          <w:tcPr>
            <w:tcW w:w="6300" w:type="dxa"/>
            <w:vAlign w:val="bottom"/>
            <w:shd w:val="clear" w:color="auto" w:fill="B7E4FF"/>
          </w:tcPr>
          <w:p>
            <w:pPr>
              <w:ind w:left="20"/>
              <w:spacing w:after="0"/>
              <w:rPr>
                <w:sz w:val="20"/>
                <w:szCs w:val="20"/>
                <w:color w:val="auto"/>
              </w:rPr>
            </w:pPr>
            <w:r>
              <w:rPr>
                <w:rFonts w:ascii="Arial" w:cs="Arial" w:eastAsia="Arial" w:hAnsi="Arial"/>
                <w:sz w:val="18"/>
                <w:szCs w:val="18"/>
                <w:color w:val="4D4D4F"/>
              </w:rPr>
              <w:t>Number of Standing Committee Meetings Held in 2018</w:t>
            </w:r>
          </w:p>
        </w:tc>
        <w:tc>
          <w:tcPr>
            <w:tcW w:w="920" w:type="dxa"/>
            <w:vAlign w:val="bottom"/>
            <w:shd w:val="clear" w:color="auto" w:fill="B7E4FF"/>
          </w:tcPr>
          <w:p>
            <w:pPr>
              <w:ind w:left="20"/>
              <w:spacing w:after="0"/>
              <w:rPr>
                <w:sz w:val="20"/>
                <w:szCs w:val="20"/>
                <w:color w:val="auto"/>
              </w:rPr>
            </w:pPr>
            <w:r>
              <w:rPr>
                <w:rFonts w:ascii="Arial" w:cs="Arial" w:eastAsia="Arial" w:hAnsi="Arial"/>
                <w:sz w:val="18"/>
                <w:szCs w:val="18"/>
                <w:color w:val="4D4D4F"/>
              </w:rPr>
              <w:t>9</w:t>
            </w:r>
          </w:p>
        </w:tc>
      </w:tr>
      <w:tr>
        <w:trPr>
          <w:trHeight w:val="270"/>
        </w:trPr>
        <w:tc>
          <w:tcPr>
            <w:tcW w:w="1820" w:type="dxa"/>
            <w:vAlign w:val="bottom"/>
            <w:shd w:val="clear" w:color="auto" w:fill="B7E4FF"/>
          </w:tcPr>
          <w:p>
            <w:pPr>
              <w:spacing w:after="0"/>
              <w:rPr>
                <w:sz w:val="23"/>
                <w:szCs w:val="23"/>
                <w:color w:val="auto"/>
              </w:rPr>
            </w:pPr>
          </w:p>
        </w:tc>
        <w:tc>
          <w:tcPr>
            <w:tcW w:w="6300" w:type="dxa"/>
            <w:vAlign w:val="bottom"/>
            <w:shd w:val="clear" w:color="auto" w:fill="B7E4FF"/>
          </w:tcPr>
          <w:p>
            <w:pPr>
              <w:ind w:left="20"/>
              <w:spacing w:after="0"/>
              <w:rPr>
                <w:sz w:val="20"/>
                <w:szCs w:val="20"/>
                <w:color w:val="auto"/>
              </w:rPr>
            </w:pPr>
            <w:r>
              <w:rPr>
                <w:rFonts w:ascii="Arial" w:cs="Arial" w:eastAsia="Arial" w:hAnsi="Arial"/>
                <w:sz w:val="18"/>
                <w:szCs w:val="18"/>
                <w:color w:val="4D4D4F"/>
              </w:rPr>
              <w:t>Members Attending Fewer than 75% of Committee Meetings in 2018</w:t>
            </w:r>
          </w:p>
        </w:tc>
        <w:tc>
          <w:tcPr>
            <w:tcW w:w="920" w:type="dxa"/>
            <w:vAlign w:val="bottom"/>
            <w:shd w:val="clear" w:color="auto" w:fill="B7E4FF"/>
          </w:tcPr>
          <w:p>
            <w:pPr>
              <w:ind w:left="20"/>
              <w:spacing w:after="0"/>
              <w:rPr>
                <w:sz w:val="20"/>
                <w:szCs w:val="20"/>
                <w:color w:val="auto"/>
              </w:rPr>
            </w:pPr>
            <w:r>
              <w:rPr>
                <w:rFonts w:ascii="Arial" w:cs="Arial" w:eastAsia="Arial" w:hAnsi="Arial"/>
                <w:sz w:val="18"/>
                <w:szCs w:val="18"/>
                <w:color w:val="4D4D4F"/>
              </w:rPr>
              <w:t>None</w:t>
            </w:r>
          </w:p>
        </w:tc>
      </w:tr>
      <w:tr>
        <w:trPr>
          <w:trHeight w:val="243"/>
        </w:trPr>
        <w:tc>
          <w:tcPr>
            <w:tcW w:w="1820" w:type="dxa"/>
            <w:vAlign w:val="bottom"/>
          </w:tcPr>
          <w:p>
            <w:pPr>
              <w:ind w:left="20"/>
              <w:spacing w:after="0"/>
              <w:rPr>
                <w:sz w:val="20"/>
                <w:szCs w:val="20"/>
                <w:color w:val="auto"/>
              </w:rPr>
            </w:pPr>
            <w:r>
              <w:rPr>
                <w:rFonts w:ascii="Arial" w:cs="Arial" w:eastAsia="Arial" w:hAnsi="Arial"/>
                <w:sz w:val="18"/>
                <w:szCs w:val="18"/>
                <w:b w:val="1"/>
                <w:bCs w:val="1"/>
                <w:i w:val="1"/>
                <w:iCs w:val="1"/>
                <w:color w:val="003E64"/>
              </w:rPr>
              <w:t>Director Status:</w:t>
            </w:r>
          </w:p>
        </w:tc>
        <w:tc>
          <w:tcPr>
            <w:tcW w:w="6300" w:type="dxa"/>
            <w:vAlign w:val="bottom"/>
          </w:tcPr>
          <w:p>
            <w:pPr>
              <w:ind w:left="20"/>
              <w:spacing w:after="0"/>
              <w:rPr>
                <w:sz w:val="20"/>
                <w:szCs w:val="20"/>
                <w:color w:val="auto"/>
              </w:rPr>
            </w:pPr>
            <w:r>
              <w:rPr>
                <w:rFonts w:ascii="Arial" w:cs="Arial" w:eastAsia="Arial" w:hAnsi="Arial"/>
                <w:sz w:val="18"/>
                <w:szCs w:val="18"/>
                <w:color w:val="4D4D4F"/>
              </w:rPr>
              <w:t>Directors Overboarded per ISS or Glass Lewis Voting Guidelines</w:t>
            </w:r>
          </w:p>
        </w:tc>
        <w:tc>
          <w:tcPr>
            <w:tcW w:w="920" w:type="dxa"/>
            <w:vAlign w:val="bottom"/>
          </w:tcPr>
          <w:p>
            <w:pPr>
              <w:ind w:left="20"/>
              <w:spacing w:after="0"/>
              <w:rPr>
                <w:sz w:val="20"/>
                <w:szCs w:val="20"/>
                <w:color w:val="auto"/>
              </w:rPr>
            </w:pPr>
            <w:r>
              <w:rPr>
                <w:rFonts w:ascii="Arial" w:cs="Arial" w:eastAsia="Arial" w:hAnsi="Arial"/>
                <w:sz w:val="18"/>
                <w:szCs w:val="18"/>
                <w:color w:val="4D4D4F"/>
              </w:rPr>
              <w:t>None</w:t>
            </w:r>
          </w:p>
        </w:tc>
      </w:tr>
      <w:tr>
        <w:trPr>
          <w:trHeight w:val="256"/>
        </w:trPr>
        <w:tc>
          <w:tcPr>
            <w:tcW w:w="1820" w:type="dxa"/>
            <w:vAlign w:val="bottom"/>
          </w:tcPr>
          <w:p>
            <w:pPr>
              <w:spacing w:after="0"/>
              <w:rPr>
                <w:sz w:val="22"/>
                <w:szCs w:val="22"/>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4D4D4F"/>
              </w:rPr>
              <w:t>Standing Board Committee Membership Independence</w:t>
            </w:r>
          </w:p>
        </w:tc>
        <w:tc>
          <w:tcPr>
            <w:tcW w:w="920" w:type="dxa"/>
            <w:vAlign w:val="bottom"/>
          </w:tcPr>
          <w:p>
            <w:pPr>
              <w:ind w:left="20"/>
              <w:spacing w:after="0"/>
              <w:rPr>
                <w:sz w:val="20"/>
                <w:szCs w:val="20"/>
                <w:color w:val="auto"/>
              </w:rPr>
            </w:pPr>
            <w:r>
              <w:rPr>
                <w:rFonts w:ascii="Arial" w:cs="Arial" w:eastAsia="Arial" w:hAnsi="Arial"/>
                <w:sz w:val="18"/>
                <w:szCs w:val="18"/>
                <w:color w:val="4D4D4F"/>
              </w:rPr>
              <w:t>100%</w:t>
            </w:r>
          </w:p>
        </w:tc>
      </w:tr>
      <w:tr>
        <w:trPr>
          <w:trHeight w:val="256"/>
        </w:trPr>
        <w:tc>
          <w:tcPr>
            <w:tcW w:w="1820" w:type="dxa"/>
            <w:vAlign w:val="bottom"/>
          </w:tcPr>
          <w:p>
            <w:pPr>
              <w:spacing w:after="0"/>
              <w:rPr>
                <w:sz w:val="22"/>
                <w:szCs w:val="22"/>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4D4D4F"/>
              </w:rPr>
              <w:t>Board Oversight of Company Strategy and Risk</w:t>
            </w:r>
          </w:p>
        </w:tc>
        <w:tc>
          <w:tcPr>
            <w:tcW w:w="920" w:type="dxa"/>
            <w:vAlign w:val="bottom"/>
          </w:tcPr>
          <w:p>
            <w:pPr>
              <w:ind w:left="20"/>
              <w:spacing w:after="0"/>
              <w:rPr>
                <w:sz w:val="20"/>
                <w:szCs w:val="20"/>
                <w:color w:val="auto"/>
              </w:rPr>
            </w:pPr>
            <w:r>
              <w:rPr>
                <w:rFonts w:ascii="Arial" w:cs="Arial" w:eastAsia="Arial" w:hAnsi="Arial"/>
                <w:sz w:val="18"/>
                <w:szCs w:val="18"/>
                <w:color w:val="4D4D4F"/>
              </w:rPr>
              <w:t>Yes</w:t>
            </w:r>
          </w:p>
        </w:tc>
      </w:tr>
      <w:tr>
        <w:trPr>
          <w:trHeight w:val="263"/>
        </w:trPr>
        <w:tc>
          <w:tcPr>
            <w:tcW w:w="1820" w:type="dxa"/>
            <w:vAlign w:val="bottom"/>
          </w:tcPr>
          <w:p>
            <w:pPr>
              <w:spacing w:after="0"/>
              <w:rPr>
                <w:sz w:val="22"/>
                <w:szCs w:val="22"/>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4D4D4F"/>
              </w:rPr>
              <w:t>Shares Pledged by Directors</w:t>
            </w:r>
          </w:p>
        </w:tc>
        <w:tc>
          <w:tcPr>
            <w:tcW w:w="920" w:type="dxa"/>
            <w:vAlign w:val="bottom"/>
          </w:tcPr>
          <w:p>
            <w:pPr>
              <w:ind w:left="20"/>
              <w:spacing w:after="0"/>
              <w:rPr>
                <w:sz w:val="20"/>
                <w:szCs w:val="20"/>
                <w:color w:val="auto"/>
              </w:rPr>
            </w:pPr>
            <w:r>
              <w:rPr>
                <w:rFonts w:ascii="Arial" w:cs="Arial" w:eastAsia="Arial" w:hAnsi="Arial"/>
                <w:sz w:val="18"/>
                <w:szCs w:val="18"/>
                <w:color w:val="4D4D4F"/>
              </w:rPr>
              <w:t>None</w:t>
            </w:r>
          </w:p>
        </w:tc>
      </w:tr>
      <w:tr>
        <w:trPr>
          <w:trHeight w:val="250"/>
        </w:trPr>
        <w:tc>
          <w:tcPr>
            <w:tcW w:w="1820" w:type="dxa"/>
            <w:vAlign w:val="bottom"/>
            <w:shd w:val="clear" w:color="auto" w:fill="B7E4FF"/>
          </w:tcPr>
          <w:p>
            <w:pPr>
              <w:ind w:left="20"/>
              <w:spacing w:after="0"/>
              <w:rPr>
                <w:sz w:val="20"/>
                <w:szCs w:val="20"/>
                <w:color w:val="auto"/>
              </w:rPr>
            </w:pPr>
            <w:r>
              <w:rPr>
                <w:rFonts w:ascii="Arial" w:cs="Arial" w:eastAsia="Arial" w:hAnsi="Arial"/>
                <w:sz w:val="18"/>
                <w:szCs w:val="18"/>
                <w:b w:val="1"/>
                <w:bCs w:val="1"/>
                <w:i w:val="1"/>
                <w:iCs w:val="1"/>
                <w:color w:val="003E64"/>
              </w:rPr>
              <w:t>Shareholder Rights:</w:t>
            </w:r>
          </w:p>
        </w:tc>
        <w:tc>
          <w:tcPr>
            <w:tcW w:w="6300" w:type="dxa"/>
            <w:vAlign w:val="bottom"/>
            <w:shd w:val="clear" w:color="auto" w:fill="B7E4FF"/>
          </w:tcPr>
          <w:p>
            <w:pPr>
              <w:ind w:left="20"/>
              <w:spacing w:after="0"/>
              <w:rPr>
                <w:sz w:val="20"/>
                <w:szCs w:val="20"/>
                <w:color w:val="auto"/>
              </w:rPr>
            </w:pPr>
            <w:r>
              <w:rPr>
                <w:rFonts w:ascii="Arial" w:cs="Arial" w:eastAsia="Arial" w:hAnsi="Arial"/>
                <w:sz w:val="18"/>
                <w:szCs w:val="18"/>
                <w:color w:val="4D4D4F"/>
              </w:rPr>
              <w:t>Cumulative Voting</w:t>
            </w:r>
          </w:p>
        </w:tc>
        <w:tc>
          <w:tcPr>
            <w:tcW w:w="920" w:type="dxa"/>
            <w:vAlign w:val="bottom"/>
            <w:shd w:val="clear" w:color="auto" w:fill="B7E4FF"/>
          </w:tcPr>
          <w:p>
            <w:pPr>
              <w:ind w:left="20"/>
              <w:spacing w:after="0"/>
              <w:rPr>
                <w:sz w:val="20"/>
                <w:szCs w:val="20"/>
                <w:color w:val="auto"/>
              </w:rPr>
            </w:pPr>
            <w:r>
              <w:rPr>
                <w:rFonts w:ascii="Arial" w:cs="Arial" w:eastAsia="Arial" w:hAnsi="Arial"/>
                <w:sz w:val="18"/>
                <w:szCs w:val="18"/>
                <w:color w:val="4D4D4F"/>
              </w:rPr>
              <w:t>No</w:t>
            </w:r>
          </w:p>
        </w:tc>
      </w:tr>
      <w:tr>
        <w:trPr>
          <w:trHeight w:val="270"/>
        </w:trPr>
        <w:tc>
          <w:tcPr>
            <w:tcW w:w="1820" w:type="dxa"/>
            <w:vAlign w:val="bottom"/>
            <w:shd w:val="clear" w:color="auto" w:fill="B7E4FF"/>
          </w:tcPr>
          <w:p>
            <w:pPr>
              <w:spacing w:after="0"/>
              <w:rPr>
                <w:sz w:val="23"/>
                <w:szCs w:val="23"/>
                <w:color w:val="auto"/>
              </w:rPr>
            </w:pPr>
          </w:p>
        </w:tc>
        <w:tc>
          <w:tcPr>
            <w:tcW w:w="6300" w:type="dxa"/>
            <w:vAlign w:val="bottom"/>
            <w:shd w:val="clear" w:color="auto" w:fill="B7E4FF"/>
          </w:tcPr>
          <w:p>
            <w:pPr>
              <w:ind w:left="20"/>
              <w:spacing w:after="0"/>
              <w:rPr>
                <w:sz w:val="20"/>
                <w:szCs w:val="20"/>
                <w:color w:val="auto"/>
              </w:rPr>
            </w:pPr>
            <w:r>
              <w:rPr>
                <w:rFonts w:ascii="Arial" w:cs="Arial" w:eastAsia="Arial" w:hAnsi="Arial"/>
                <w:sz w:val="18"/>
                <w:szCs w:val="18"/>
                <w:color w:val="4D4D4F"/>
              </w:rPr>
              <w:t>Proxy Access Bylaw</w:t>
            </w:r>
          </w:p>
        </w:tc>
        <w:tc>
          <w:tcPr>
            <w:tcW w:w="920" w:type="dxa"/>
            <w:vAlign w:val="bottom"/>
            <w:shd w:val="clear" w:color="auto" w:fill="B7E4FF"/>
          </w:tcPr>
          <w:p>
            <w:pPr>
              <w:ind w:left="20"/>
              <w:spacing w:after="0"/>
              <w:rPr>
                <w:sz w:val="20"/>
                <w:szCs w:val="20"/>
                <w:color w:val="auto"/>
              </w:rPr>
            </w:pPr>
            <w:r>
              <w:rPr>
                <w:rFonts w:ascii="Arial" w:cs="Arial" w:eastAsia="Arial" w:hAnsi="Arial"/>
                <w:sz w:val="18"/>
                <w:szCs w:val="18"/>
                <w:color w:val="4D4D4F"/>
              </w:rPr>
              <w:t>Yes</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00"/>
          </w:cols>
          <w:pgMar w:left="240" w:top="121" w:right="135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116840</wp:posOffset>
            </wp:positionV>
            <wp:extent cx="7299325" cy="60858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9325" cy="6085840"/>
                    </a:xfrm>
                    <a:prstGeom prst="rect">
                      <a:avLst/>
                    </a:prstGeom>
                    <a:noFill/>
                  </pic:spPr>
                </pic:pic>
              </a:graphicData>
            </a:graphic>
          </wp:anchor>
        </w:drawing>
      </w:r>
    </w:p>
    <w:p>
      <w:pPr>
        <w:spacing w:after="0" w:line="344" w:lineRule="exact"/>
        <w:rPr>
          <w:sz w:val="20"/>
          <w:szCs w:val="20"/>
          <w:color w:val="auto"/>
        </w:rPr>
      </w:pPr>
    </w:p>
    <w:p>
      <w:pPr>
        <w:ind w:left="1020"/>
        <w:spacing w:after="0"/>
        <w:rPr>
          <w:sz w:val="20"/>
          <w:szCs w:val="20"/>
          <w:color w:val="auto"/>
        </w:rPr>
      </w:pPr>
      <w:r>
        <w:rPr>
          <w:rFonts w:ascii="Arial" w:cs="Arial" w:eastAsia="Arial" w:hAnsi="Arial"/>
          <w:sz w:val="22"/>
          <w:szCs w:val="22"/>
          <w:b w:val="1"/>
          <w:bCs w:val="1"/>
          <w:color w:val="0079C0"/>
        </w:rPr>
        <w:t>Ratification of Appointment of Independent Auditor for 2019</w:t>
      </w:r>
    </w:p>
    <w:p>
      <w:pPr>
        <w:spacing w:after="0" w:line="30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4D4D4F"/>
        </w:rPr>
        <w:t>We are asking stockholders to ratify the audit committee’s retention of BDO China Shu Lun Pan Certified Public Accountants LLP, an independent registered public accounting firm, as our independent auditor to examine and report on our consolidated financial statements for the fiscal year ending December 31, 2019.</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9C0"/>
        </w:rPr>
        <w:t>Participation in the Virtual Annual Meeting</w:t>
      </w:r>
    </w:p>
    <w:p>
      <w:pPr>
        <w:spacing w:after="0" w:line="210"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4D4D4F"/>
        </w:rPr>
        <w:t>The board of directors considers the appropriate format of our annual meeting of stockholders on an annual basis. This year the board again chose a virtual meeting format for the Annual Meeting in an effort to facilitate stockholder attendance and participation by enabling stockholders to participate fully, and equally, from any location around the world, at no cost. The virtual meeting format will allow our stockholders to engage with us at the Annual Meeting from any geographic location, using any convenient internet connected devices, including smart phones and tablets, laptop or desktop computers. We will be able to engage with all stockholders as opposed to just those who can afford to travel to an in-person meeting. The virtual format allows stockholders to submit questions and comments during the meeting.</w:t>
      </w:r>
    </w:p>
    <w:p>
      <w:pPr>
        <w:spacing w:after="0" w:line="94"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4D4D4F"/>
        </w:rPr>
        <w:t xml:space="preserve">The live audio webcast of the Annual Meeting will be available for listening by the general public, but participation in the Annual Meeting, including voting shares and submitting questions, will be limited to stockholders. To ensure they can participate, stockholders and proxyholders should visit </w:t>
      </w:r>
      <w:r>
        <w:rPr>
          <w:rFonts w:ascii="Arial" w:cs="Arial" w:eastAsia="Arial" w:hAnsi="Arial"/>
          <w:sz w:val="18"/>
          <w:szCs w:val="18"/>
          <w:i w:val="1"/>
          <w:iCs w:val="1"/>
          <w:color w:val="4D4D4F"/>
        </w:rPr>
        <w:t>virtualshareholdermeeting.com/ACMR2019</w:t>
      </w:r>
      <w:r>
        <w:rPr>
          <w:rFonts w:ascii="Arial" w:cs="Arial" w:eastAsia="Arial" w:hAnsi="Arial"/>
          <w:sz w:val="18"/>
          <w:szCs w:val="18"/>
          <w:color w:val="4D4D4F"/>
        </w:rPr>
        <w:t xml:space="preserve"> and enter the 16-digit control number included on their proxy card. If you wish to participate in the meeting and your shares are held in street name, you must obtain, from the broker, bank or other organization that holds your shares, the information required, including a 16-digit control number, in order for you to be able to participate in, and vote at, the Annual Meeting.</w:t>
      </w:r>
    </w:p>
    <w:p>
      <w:pPr>
        <w:spacing w:after="0" w:line="96"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4D4D4F"/>
        </w:rPr>
        <w:t xml:space="preserve">Stockholders can vote their shares and submit questions via the Internet during the Annual Meeting by accessing the annual meeting website at </w:t>
      </w:r>
      <w:r>
        <w:rPr>
          <w:rFonts w:ascii="Arial" w:cs="Arial" w:eastAsia="Arial" w:hAnsi="Arial"/>
          <w:sz w:val="18"/>
          <w:szCs w:val="18"/>
          <w:i w:val="1"/>
          <w:iCs w:val="1"/>
          <w:color w:val="4D4D4F"/>
        </w:rPr>
        <w:t>virtualshareholdermeeting.com/ACMR2019</w:t>
      </w:r>
      <w:r>
        <w:rPr>
          <w:rFonts w:ascii="Arial" w:cs="Arial" w:eastAsia="Arial" w:hAnsi="Arial"/>
          <w:sz w:val="18"/>
          <w:szCs w:val="18"/>
          <w:color w:val="4D4D4F"/>
        </w:rPr>
        <w:t xml:space="preserve">. We will answer any timely submitted questions on a matter to be voted on at the Annual Meeting before voting is closed on the matter. Following adjournment of the formal business of the Annual Meeting, we will address appropriate general questions from stockholders regarding ACM Research in the order in which the questions are received. Questions relating to stockholder proposals or ACM Research may be submitted in the field provided in the web portal at or before the time the questions are to be discussed. All questions received during the Annual Meeting will be presented as submitted, uncensored and unedited, except that we may omit certain personal details for data protection issues and we may edit profanity or other inappropriate language. If we receive substantially similar questions, we will group those questions together and provide a single response to avoid repetition. Additional information regarding the submission of questions during the Annual Meeting can be found in our 2019 Rules of Conduct and Procedure, available at </w:t>
      </w:r>
      <w:r>
        <w:rPr>
          <w:rFonts w:ascii="Arial" w:cs="Arial" w:eastAsia="Arial" w:hAnsi="Arial"/>
          <w:sz w:val="18"/>
          <w:szCs w:val="18"/>
          <w:i w:val="1"/>
          <w:iCs w:val="1"/>
          <w:color w:val="4D4D4F"/>
        </w:rPr>
        <w:t>virtualshareholdermeeting.com/ACMR2019.</w:t>
      </w:r>
    </w:p>
    <w:p>
      <w:pPr>
        <w:spacing w:after="0" w:line="96" w:lineRule="exact"/>
        <w:rPr>
          <w:sz w:val="20"/>
          <w:szCs w:val="20"/>
          <w:color w:val="auto"/>
        </w:rPr>
      </w:pPr>
    </w:p>
    <w:p>
      <w:pPr>
        <w:jc w:val="both"/>
        <w:ind w:left="120"/>
        <w:spacing w:after="0" w:line="254" w:lineRule="auto"/>
        <w:rPr>
          <w:sz w:val="20"/>
          <w:szCs w:val="20"/>
          <w:color w:val="auto"/>
        </w:rPr>
      </w:pPr>
      <w:r>
        <w:rPr>
          <w:rFonts w:ascii="Arial" w:cs="Arial" w:eastAsia="Arial" w:hAnsi="Arial"/>
          <w:sz w:val="17"/>
          <w:szCs w:val="17"/>
          <w:color w:val="4D4D4F"/>
        </w:rPr>
        <w:t>Online check-in to the Annual Meeting webcast will begin at 10:45 a.m., Pacific time, and you should allow ample time to log in to the meeting webcast and test your computer audio system. During online check-in and continuing through the length of the Annual Meeting, we will have technicians standing by to assist you with any technical difficulties you may have accessing the virtual meeting. If you encounter any difficulties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4D4D4F"/>
          <w:highlight w:val="white"/>
        </w:rPr>
        <w:t>accessing the Annual Meeting during the check-in or at meeting time, you should call 800-586-1548 (US) or 303-562-9288 (International).</w:t>
      </w:r>
    </w:p>
    <w:p>
      <w:pPr>
        <w:spacing w:after="0" w:line="116"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4D4D4F"/>
        </w:rPr>
        <w:t xml:space="preserve">We have designed our virtual format to enhance, rather than constrain, stockholder access, participation and communication. For example, stockholders will be able to communicate with us during the Annual Meeting so they can ask questions. An audio replay of the Annual Meeting will be made publicly available at </w:t>
      </w:r>
      <w:r>
        <w:rPr>
          <w:rFonts w:ascii="Arial" w:cs="Arial" w:eastAsia="Arial" w:hAnsi="Arial"/>
          <w:sz w:val="18"/>
          <w:szCs w:val="18"/>
          <w:i w:val="1"/>
          <w:iCs w:val="1"/>
          <w:color w:val="4D4D4F"/>
        </w:rPr>
        <w:t>http://ir.acmrcsh.com/presentations</w:t>
      </w:r>
      <w:r>
        <w:rPr>
          <w:rFonts w:ascii="Arial" w:cs="Arial" w:eastAsia="Arial" w:hAnsi="Arial"/>
          <w:sz w:val="18"/>
          <w:szCs w:val="18"/>
          <w:color w:val="4D4D4F"/>
        </w:rPr>
        <w:t xml:space="preserve"> until our 2020 annual meeting of stockholders.</w:t>
      </w:r>
    </w:p>
    <w:p>
      <w:pPr>
        <w:spacing w:after="0" w:line="94"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4D4D4F"/>
        </w:rPr>
        <w:t>This audio replay will include each stockholder question addressed during the Annual Meeting. We are utilizing technology from Broadridge Financial Solutions, Inc., or Broadridge, the leading virtual meeting solution. The Broadridge platform is expected to accommodate most, if not all, stockholders. Both we and Broadridge will test the platform technology before going “live” for the Annual Meeting.</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35"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003E64"/>
        </w:rPr>
        <w:t>Questions and Answers about the Annual Meeting</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When and where will the Annual Meeting be held?</w:t>
      </w:r>
    </w:p>
    <w:p>
      <w:pPr>
        <w:spacing w:after="0" w:line="188" w:lineRule="exact"/>
        <w:rPr>
          <w:sz w:val="20"/>
          <w:szCs w:val="20"/>
          <w:color w:val="auto"/>
        </w:rPr>
      </w:pPr>
    </w:p>
    <w:p>
      <w:pPr>
        <w:ind w:left="340" w:hanging="332"/>
        <w:spacing w:after="0" w:line="245" w:lineRule="auto"/>
        <w:tabs>
          <w:tab w:leader="none" w:pos="340" w:val="left"/>
        </w:tabs>
        <w:numPr>
          <w:ilvl w:val="0"/>
          <w:numId w:val="4"/>
        </w:numPr>
        <w:rPr>
          <w:rFonts w:ascii="Arial" w:cs="Arial" w:eastAsia="Arial" w:hAnsi="Arial"/>
          <w:sz w:val="18"/>
          <w:szCs w:val="18"/>
          <w:b w:val="1"/>
          <w:bCs w:val="1"/>
          <w:color w:val="4D4D4F"/>
        </w:rPr>
      </w:pPr>
      <w:r>
        <w:rPr>
          <w:rFonts w:ascii="Arial" w:cs="Arial" w:eastAsia="Arial" w:hAnsi="Arial"/>
          <w:sz w:val="18"/>
          <w:szCs w:val="18"/>
          <w:color w:val="4D4D4F"/>
        </w:rPr>
        <w:t xml:space="preserve">This year the Annual Meeting of Stockholders of ACM Research, Inc., which we refer to as the Annual Meeting, will again be held exclusively by webcast at </w:t>
      </w:r>
      <w:r>
        <w:rPr>
          <w:rFonts w:ascii="Arial" w:cs="Arial" w:eastAsia="Arial" w:hAnsi="Arial"/>
          <w:sz w:val="18"/>
          <w:szCs w:val="18"/>
          <w:i w:val="1"/>
          <w:iCs w:val="1"/>
          <w:color w:val="4D4D4F"/>
        </w:rPr>
        <w:t>virtualshareholdermeeting.com/ACMR2019,</w:t>
      </w:r>
      <w:r>
        <w:rPr>
          <w:rFonts w:ascii="Arial" w:cs="Arial" w:eastAsia="Arial" w:hAnsi="Arial"/>
          <w:sz w:val="18"/>
          <w:szCs w:val="18"/>
          <w:color w:val="4D4D4F"/>
        </w:rPr>
        <w:t xml:space="preserve"> beginning at 11:00 a.m., Pacific time, on June 6, 2019.</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Who may join the Annual Meeting?</w:t>
      </w:r>
    </w:p>
    <w:p>
      <w:pPr>
        <w:spacing w:after="0" w:line="215" w:lineRule="exact"/>
        <w:rPr>
          <w:sz w:val="20"/>
          <w:szCs w:val="20"/>
          <w:color w:val="auto"/>
        </w:rPr>
      </w:pPr>
    </w:p>
    <w:p>
      <w:pPr>
        <w:jc w:val="both"/>
        <w:ind w:left="340" w:hanging="332"/>
        <w:spacing w:after="0"/>
        <w:tabs>
          <w:tab w:leader="none" w:pos="340" w:val="left"/>
        </w:tabs>
        <w:numPr>
          <w:ilvl w:val="0"/>
          <w:numId w:val="5"/>
        </w:numPr>
        <w:rPr>
          <w:rFonts w:ascii="Arial" w:cs="Arial" w:eastAsia="Arial" w:hAnsi="Arial"/>
          <w:sz w:val="18"/>
          <w:szCs w:val="18"/>
          <w:b w:val="1"/>
          <w:bCs w:val="1"/>
          <w:color w:val="4D4D4F"/>
        </w:rPr>
      </w:pPr>
      <w:r>
        <w:rPr>
          <w:rFonts w:ascii="Arial" w:cs="Arial" w:eastAsia="Arial" w:hAnsi="Arial"/>
          <w:sz w:val="18"/>
          <w:szCs w:val="18"/>
          <w:color w:val="4D4D4F"/>
        </w:rPr>
        <w:t xml:space="preserve">The live audio webcast of the Annual Meeting will be available for listening by the general public, but participation in the Annual Meeting, including voting shares and submitting questions, will be limited to stockholders. To ensure they can participate, stockholders and proxyholders should visit </w:t>
      </w:r>
      <w:r>
        <w:rPr>
          <w:rFonts w:ascii="Arial" w:cs="Arial" w:eastAsia="Arial" w:hAnsi="Arial"/>
          <w:sz w:val="18"/>
          <w:szCs w:val="18"/>
          <w:i w:val="1"/>
          <w:iCs w:val="1"/>
          <w:color w:val="4D4D4F"/>
        </w:rPr>
        <w:t>virtualshareholdermeeting.com/ACMR2019</w:t>
      </w:r>
      <w:r>
        <w:rPr>
          <w:rFonts w:ascii="Arial" w:cs="Arial" w:eastAsia="Arial" w:hAnsi="Arial"/>
          <w:sz w:val="18"/>
          <w:szCs w:val="18"/>
          <w:color w:val="4D4D4F"/>
        </w:rPr>
        <w:t xml:space="preserve"> and enter the 16-digit control number included on their proxy card.</w:t>
      </w:r>
    </w:p>
    <w:p>
      <w:pPr>
        <w:spacing w:after="0" w:line="80" w:lineRule="exact"/>
        <w:rPr>
          <w:rFonts w:ascii="Arial" w:cs="Arial" w:eastAsia="Arial" w:hAnsi="Arial"/>
          <w:sz w:val="18"/>
          <w:szCs w:val="18"/>
          <w:b w:val="1"/>
          <w:bCs w:val="1"/>
          <w:color w:val="4D4D4F"/>
        </w:rPr>
      </w:pPr>
    </w:p>
    <w:p>
      <w:pPr>
        <w:ind w:left="340"/>
        <w:spacing w:after="0" w:line="245" w:lineRule="auto"/>
        <w:rPr>
          <w:rFonts w:ascii="Arial" w:cs="Arial" w:eastAsia="Arial" w:hAnsi="Arial"/>
          <w:sz w:val="18"/>
          <w:szCs w:val="18"/>
          <w:b w:val="1"/>
          <w:bCs w:val="1"/>
          <w:color w:val="4D4D4F"/>
        </w:rPr>
      </w:pPr>
      <w:r>
        <w:rPr>
          <w:rFonts w:ascii="Arial" w:cs="Arial" w:eastAsia="Arial" w:hAnsi="Arial"/>
          <w:sz w:val="18"/>
          <w:szCs w:val="18"/>
          <w:color w:val="4D4D4F"/>
        </w:rPr>
        <w:t>Online check-in to the Annual Meeting webcast will begin at 10:45 a.m., Pacific time. We encourage you to allow ample time to log in to the meeting webcast and test your computer audio system.</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What materials have been prepared for stockholders in connection with the Annual Meeting?</w:t>
      </w:r>
    </w:p>
    <w:p>
      <w:pPr>
        <w:spacing w:after="0" w:line="18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4D4D4F"/>
        </w:rPr>
      </w:pPr>
      <w:r>
        <w:rPr>
          <w:rFonts w:ascii="Arial" w:cs="Arial" w:eastAsia="Arial" w:hAnsi="Arial"/>
          <w:sz w:val="18"/>
          <w:szCs w:val="18"/>
          <w:color w:val="4D4D4F"/>
        </w:rPr>
        <w:t>We are furnishing you and other stockholders of record with the following proxy materials:</w:t>
      </w:r>
    </w:p>
    <w:p>
      <w:pPr>
        <w:spacing w:after="0" w:line="89" w:lineRule="exact"/>
        <w:rPr>
          <w:rFonts w:ascii="Arial" w:cs="Arial" w:eastAsia="Arial" w:hAnsi="Arial"/>
          <w:sz w:val="18"/>
          <w:szCs w:val="18"/>
          <w:b w:val="1"/>
          <w:bCs w:val="1"/>
          <w:color w:val="4D4D4F"/>
        </w:rPr>
      </w:pPr>
    </w:p>
    <w:p>
      <w:pPr>
        <w:ind w:left="660" w:right="20" w:hanging="328"/>
        <w:spacing w:after="0" w:line="209" w:lineRule="exact"/>
        <w:tabs>
          <w:tab w:leader="none" w:pos="660" w:val="left"/>
        </w:tabs>
        <w:numPr>
          <w:ilvl w:val="1"/>
          <w:numId w:val="6"/>
        </w:numPr>
        <w:rPr>
          <w:rFonts w:ascii="Arial" w:cs="Arial" w:eastAsia="Arial" w:hAnsi="Arial"/>
          <w:sz w:val="18"/>
          <w:szCs w:val="18"/>
          <w:color w:val="4D4D4F"/>
        </w:rPr>
      </w:pPr>
      <w:r>
        <w:rPr>
          <w:rFonts w:ascii="Arial" w:cs="Arial" w:eastAsia="Arial" w:hAnsi="Arial"/>
          <w:sz w:val="18"/>
          <w:szCs w:val="18"/>
          <w:color w:val="4D4D4F"/>
        </w:rPr>
        <w:t>our 2018 Annual Report to Stockholders, which we refer to as the 2018 Annual Report and which includes our Annual Report on Form 10</w:t>
      </w:r>
      <w:r>
        <w:rPr>
          <w:rFonts w:ascii="MS PGothic" w:cs="MS PGothic" w:eastAsia="MS PGothic" w:hAnsi="MS PGothic"/>
          <w:sz w:val="18"/>
          <w:szCs w:val="18"/>
          <w:color w:val="4D4D4F"/>
        </w:rPr>
        <w:t>‑</w:t>
      </w:r>
      <w:r>
        <w:rPr>
          <w:rFonts w:ascii="Arial" w:cs="Arial" w:eastAsia="Arial" w:hAnsi="Arial"/>
          <w:sz w:val="18"/>
          <w:szCs w:val="18"/>
          <w:color w:val="4D4D4F"/>
        </w:rPr>
        <w:t>K for the fiscal year ended December 31, 2018 (including our audited consolidated financial statements for 2018 and 2017);</w:t>
      </w:r>
    </w:p>
    <w:p>
      <w:pPr>
        <w:spacing w:after="0" w:line="68" w:lineRule="exact"/>
        <w:rPr>
          <w:rFonts w:ascii="Arial" w:cs="Arial" w:eastAsia="Arial" w:hAnsi="Arial"/>
          <w:sz w:val="18"/>
          <w:szCs w:val="18"/>
          <w:color w:val="4D4D4F"/>
        </w:rPr>
      </w:pPr>
    </w:p>
    <w:p>
      <w:pPr>
        <w:ind w:left="660" w:hanging="328"/>
        <w:spacing w:after="0" w:line="245" w:lineRule="auto"/>
        <w:tabs>
          <w:tab w:leader="none" w:pos="660" w:val="left"/>
        </w:tabs>
        <w:numPr>
          <w:ilvl w:val="1"/>
          <w:numId w:val="6"/>
        </w:numPr>
        <w:rPr>
          <w:rFonts w:ascii="Arial" w:cs="Arial" w:eastAsia="Arial" w:hAnsi="Arial"/>
          <w:sz w:val="18"/>
          <w:szCs w:val="18"/>
          <w:color w:val="4D4D4F"/>
        </w:rPr>
      </w:pPr>
      <w:r>
        <w:rPr>
          <w:rFonts w:ascii="Arial" w:cs="Arial" w:eastAsia="Arial" w:hAnsi="Arial"/>
          <w:sz w:val="18"/>
          <w:szCs w:val="18"/>
          <w:color w:val="4D4D4F"/>
        </w:rPr>
        <w:t>this Proxy Statement for the 2019 Annual Meeting, which we refer to as this Proxy Statement and which also includes a letter from our Chief Executive Officer and President to stockholders, and a Notice of 2019 Annual Meeting of Stockholders; and</w:t>
      </w:r>
    </w:p>
    <w:p>
      <w:pPr>
        <w:spacing w:after="0" w:line="76" w:lineRule="exact"/>
        <w:rPr>
          <w:rFonts w:ascii="Arial" w:cs="Arial" w:eastAsia="Arial" w:hAnsi="Arial"/>
          <w:sz w:val="18"/>
          <w:szCs w:val="18"/>
          <w:color w:val="4D4D4F"/>
        </w:rPr>
      </w:pPr>
    </w:p>
    <w:p>
      <w:pPr>
        <w:ind w:left="660" w:right="20" w:hanging="328"/>
        <w:spacing w:after="0" w:line="245" w:lineRule="auto"/>
        <w:tabs>
          <w:tab w:leader="none" w:pos="660" w:val="left"/>
        </w:tabs>
        <w:numPr>
          <w:ilvl w:val="1"/>
          <w:numId w:val="6"/>
        </w:numPr>
        <w:rPr>
          <w:rFonts w:ascii="Arial" w:cs="Arial" w:eastAsia="Arial" w:hAnsi="Arial"/>
          <w:sz w:val="18"/>
          <w:szCs w:val="18"/>
          <w:color w:val="4D4D4F"/>
        </w:rPr>
      </w:pPr>
      <w:r>
        <w:rPr>
          <w:rFonts w:ascii="Arial" w:cs="Arial" w:eastAsia="Arial" w:hAnsi="Arial"/>
          <w:sz w:val="18"/>
          <w:szCs w:val="18"/>
          <w:color w:val="4D4D4F"/>
        </w:rPr>
        <w:t>a proxy card for the Annual Meeting, which includes a control number for use in submitting proxies and accessing the Annual Meeting webcast, and a pre-addressed envelope to be used to return the completed proxy card.</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4D4D4F"/>
        </w:rPr>
        <w:t>These materials were first mailed to stockholders on or about April 30, 2019.</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Are the proxy materials available via the Internet?</w:t>
      </w:r>
    </w:p>
    <w:p>
      <w:pPr>
        <w:spacing w:after="0" w:line="170" w:lineRule="exact"/>
        <w:rPr>
          <w:sz w:val="20"/>
          <w:szCs w:val="20"/>
          <w:color w:val="auto"/>
        </w:rPr>
      </w:pPr>
    </w:p>
    <w:p>
      <w:pPr>
        <w:jc w:val="both"/>
        <w:ind w:left="340" w:hanging="332"/>
        <w:spacing w:after="0" w:line="250" w:lineRule="auto"/>
        <w:tabs>
          <w:tab w:leader="none" w:pos="340" w:val="left"/>
        </w:tabs>
        <w:numPr>
          <w:ilvl w:val="0"/>
          <w:numId w:val="7"/>
        </w:numPr>
        <w:rPr>
          <w:rFonts w:ascii="Arial" w:cs="Arial" w:eastAsia="Arial" w:hAnsi="Arial"/>
          <w:sz w:val="18"/>
          <w:szCs w:val="18"/>
          <w:b w:val="1"/>
          <w:bCs w:val="1"/>
          <w:color w:val="4D4D4F"/>
        </w:rPr>
      </w:pPr>
      <w:r>
        <w:rPr>
          <w:rFonts w:ascii="Arial" w:cs="Arial" w:eastAsia="Arial" w:hAnsi="Arial"/>
          <w:sz w:val="18"/>
          <w:szCs w:val="18"/>
          <w:color w:val="4D4D4F"/>
        </w:rPr>
        <w:t xml:space="preserve">You can access and review the proxy materials for the Annual Meeting at </w:t>
      </w:r>
      <w:r>
        <w:rPr>
          <w:rFonts w:ascii="Arial" w:cs="Arial" w:eastAsia="Arial" w:hAnsi="Arial"/>
          <w:sz w:val="18"/>
          <w:szCs w:val="18"/>
          <w:i w:val="1"/>
          <w:iCs w:val="1"/>
          <w:color w:val="4D4D4F"/>
        </w:rPr>
        <w:t>2019proxy.acmrcsh.com</w:t>
      </w:r>
      <w:r>
        <w:rPr>
          <w:rFonts w:ascii="Arial" w:cs="Arial" w:eastAsia="Arial" w:hAnsi="Arial"/>
          <w:sz w:val="18"/>
          <w:szCs w:val="18"/>
          <w:color w:val="4D4D4F"/>
        </w:rPr>
        <w:t xml:space="preserve"> or </w:t>
      </w:r>
      <w:r>
        <w:rPr>
          <w:rFonts w:ascii="Arial" w:cs="Arial" w:eastAsia="Arial" w:hAnsi="Arial"/>
          <w:sz w:val="18"/>
          <w:szCs w:val="18"/>
          <w:i w:val="1"/>
          <w:iCs w:val="1"/>
          <w:color w:val="4D4D4F"/>
        </w:rPr>
        <w:t>proxyvote.com</w:t>
      </w:r>
      <w:r>
        <w:rPr>
          <w:rFonts w:ascii="Arial" w:cs="Arial" w:eastAsia="Arial" w:hAnsi="Arial"/>
          <w:sz w:val="18"/>
          <w:szCs w:val="18"/>
          <w:color w:val="4D4D4F"/>
        </w:rPr>
        <w:t>. In order to submit your proxies or access the Annual Meeting webcast, however, you will need to refer to the proxy card mailed to you upon your request to obtain your 16-digit control number and other personal information needed to vote by proxy or virtually.</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What is a proxy?</w:t>
      </w:r>
    </w:p>
    <w:p>
      <w:pPr>
        <w:spacing w:after="0" w:line="188" w:lineRule="exact"/>
        <w:rPr>
          <w:sz w:val="20"/>
          <w:szCs w:val="20"/>
          <w:color w:val="auto"/>
        </w:rPr>
      </w:pPr>
    </w:p>
    <w:p>
      <w:pPr>
        <w:ind w:left="340" w:hanging="332"/>
        <w:spacing w:after="0" w:line="245" w:lineRule="auto"/>
        <w:tabs>
          <w:tab w:leader="none" w:pos="340" w:val="left"/>
        </w:tabs>
        <w:numPr>
          <w:ilvl w:val="0"/>
          <w:numId w:val="8"/>
        </w:numPr>
        <w:rPr>
          <w:rFonts w:ascii="Arial" w:cs="Arial" w:eastAsia="Arial" w:hAnsi="Arial"/>
          <w:sz w:val="18"/>
          <w:szCs w:val="18"/>
          <w:b w:val="1"/>
          <w:bCs w:val="1"/>
          <w:color w:val="4D4D4F"/>
        </w:rPr>
      </w:pPr>
      <w:r>
        <w:rPr>
          <w:rFonts w:ascii="Arial" w:cs="Arial" w:eastAsia="Arial" w:hAnsi="Arial"/>
          <w:sz w:val="18"/>
          <w:szCs w:val="18"/>
          <w:color w:val="4D4D4F"/>
        </w:rPr>
        <w:t>The term “proxy,” when used with respect to stockholder, refers to either a person or persons legally authorized to act on the stockholder’s behalf or a format that allows the stockholder to vote without being physically present at the Annual Meeting.</w:t>
      </w:r>
    </w:p>
    <w:p>
      <w:pPr>
        <w:spacing w:after="0" w:line="170" w:lineRule="exact"/>
        <w:rPr>
          <w:rFonts w:ascii="Arial" w:cs="Arial" w:eastAsia="Arial" w:hAnsi="Arial"/>
          <w:sz w:val="18"/>
          <w:szCs w:val="18"/>
          <w:b w:val="1"/>
          <w:bCs w:val="1"/>
          <w:color w:val="4D4D4F"/>
        </w:rPr>
      </w:pPr>
    </w:p>
    <w:p>
      <w:pPr>
        <w:jc w:val="both"/>
        <w:ind w:left="340"/>
        <w:spacing w:after="0" w:line="237" w:lineRule="auto"/>
        <w:rPr>
          <w:rFonts w:ascii="Arial" w:cs="Arial" w:eastAsia="Arial" w:hAnsi="Arial"/>
          <w:sz w:val="18"/>
          <w:szCs w:val="18"/>
          <w:b w:val="1"/>
          <w:bCs w:val="1"/>
          <w:color w:val="4D4D4F"/>
        </w:rPr>
      </w:pPr>
      <w:r>
        <w:rPr>
          <w:rFonts w:ascii="Arial" w:cs="Arial" w:eastAsia="Arial" w:hAnsi="Arial"/>
          <w:sz w:val="18"/>
          <w:szCs w:val="18"/>
          <w:color w:val="4D4D4F"/>
        </w:rPr>
        <w:t>Because it is important that as many stockholders as possible be represented at the Annual Meeting, the board of directors is asking that you review this Proxy Statement carefully and then vote by following the instructions set forth on the proxy card. In voting prior to the Annual Meeting, you will deliver your proxy to the proxy holders, which means you will authorize the proxy holders to vote your shares at the Annual Meeting in the way you instruct. The proxy holders consist of David H. Wang and Tracy Liu. All shares represented by valid proxies will be voted in accordance with the stockholder’s specific instructions.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color w:val="0079C0"/>
        </w:rPr>
        <w:t>Q: What matters will the stockholders vote on at the Annual Meeting?</w:t>
      </w:r>
    </w:p>
    <w:p>
      <w:pPr>
        <w:sectPr>
          <w:pgSz w:w="11900" w:h="16838" w:orient="portrait"/>
          <w:cols w:equalWidth="0" w:num="1">
            <w:col w:w="11420"/>
          </w:cols>
          <w:pgMar w:left="240" w:top="122" w:right="23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4D4D4F"/>
        </w:rPr>
        <w:t xml:space="preserve">A:  </w:t>
      </w:r>
      <w:r>
        <w:rPr>
          <w:rFonts w:ascii="Arial" w:cs="Arial" w:eastAsia="Arial" w:hAnsi="Arial"/>
          <w:sz w:val="18"/>
          <w:szCs w:val="18"/>
          <w:color w:val="4D4D4F"/>
        </w:rPr>
        <w:t>Proposal</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sz w:val="1"/>
          <w:szCs w:val="1"/>
          <w:color w:val="auto"/>
        </w:rPr>
        <w:drawing>
          <wp:inline distT="0" distB="0" distL="0" distR="0">
            <wp:extent cx="154305" cy="14541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4305" cy="145415"/>
                    </a:xfrm>
                    <a:prstGeom prst="rect">
                      <a:avLst/>
                    </a:prstGeom>
                    <a:noFill/>
                    <a:ln>
                      <a:noFill/>
                    </a:ln>
                  </pic:spPr>
                </pic:pic>
              </a:graphicData>
            </a:graphic>
          </wp:inline>
        </w:drawing>
      </w:r>
      <w:r>
        <w:rPr>
          <w:rFonts w:ascii="Arial" w:cs="Arial" w:eastAsia="Arial" w:hAnsi="Arial"/>
          <w:sz w:val="17"/>
          <w:szCs w:val="17"/>
          <w:color w:val="4D4D4F"/>
        </w:rPr>
        <w:t xml:space="preserve"> Election of the following six director nominees:</w:t>
      </w:r>
    </w:p>
    <w:p>
      <w:pPr>
        <w:spacing w:after="0" w:line="80" w:lineRule="exact"/>
        <w:rPr>
          <w:sz w:val="20"/>
          <w:szCs w:val="20"/>
          <w:color w:val="auto"/>
        </w:rPr>
      </w:pPr>
    </w:p>
    <w:p>
      <w:pPr>
        <w:sectPr>
          <w:pgSz w:w="11900" w:h="16838" w:orient="portrait"/>
          <w:cols w:equalWidth="0" w:num="2">
            <w:col w:w="1040" w:space="240"/>
            <w:col w:w="10140"/>
          </w:cols>
          <w:pgMar w:left="240" w:top="122" w:right="239" w:bottom="1440" w:gutter="0" w:footer="0" w:header="0"/>
          <w:type w:val="continuous"/>
        </w:sectPr>
      </w:pPr>
    </w:p>
    <w:p>
      <w:pPr>
        <w:ind w:left="1580"/>
        <w:spacing w:after="0"/>
        <w:rPr>
          <w:sz w:val="20"/>
          <w:szCs w:val="20"/>
          <w:color w:val="auto"/>
        </w:rPr>
      </w:pPr>
      <w:r>
        <w:rPr>
          <w:rFonts w:ascii="Arial" w:cs="Arial" w:eastAsia="Arial" w:hAnsi="Arial"/>
          <w:sz w:val="18"/>
          <w:szCs w:val="18"/>
          <w:color w:val="4D4D4F"/>
        </w:rPr>
        <w:t>• David H. Wang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4D4D4F"/>
        </w:rPr>
        <w:t>• Chenming C. Hu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4D4D4F"/>
        </w:rPr>
        <w:t>• Yinan Xiang</w:t>
      </w:r>
    </w:p>
    <w:p>
      <w:pPr>
        <w:spacing w:after="0" w:line="90" w:lineRule="exact"/>
        <w:rPr>
          <w:sz w:val="20"/>
          <w:szCs w:val="20"/>
          <w:color w:val="auto"/>
        </w:rPr>
      </w:pPr>
    </w:p>
    <w:p>
      <w:pPr>
        <w:sectPr>
          <w:pgSz w:w="11900" w:h="16838" w:orient="portrait"/>
          <w:cols w:equalWidth="0" w:num="3">
            <w:col w:w="3300" w:space="720"/>
            <w:col w:w="1700" w:space="720"/>
            <w:col w:w="4980"/>
          </w:cols>
          <w:pgMar w:left="240" w:top="122" w:right="239" w:bottom="1440" w:gutter="0" w:footer="0" w:header="0"/>
          <w:type w:val="continuous"/>
        </w:sectPr>
      </w:pPr>
    </w:p>
    <w:p>
      <w:pPr>
        <w:ind w:left="1580"/>
        <w:spacing w:after="0"/>
        <w:rPr>
          <w:sz w:val="20"/>
          <w:szCs w:val="20"/>
          <w:color w:val="auto"/>
        </w:rPr>
      </w:pPr>
      <w:r>
        <w:rPr>
          <w:rFonts w:ascii="Arial" w:cs="Arial" w:eastAsia="Arial" w:hAnsi="Arial"/>
          <w:sz w:val="18"/>
          <w:szCs w:val="18"/>
          <w:color w:val="4D4D4F"/>
        </w:rPr>
        <w:t>• Haiping Dun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4D4D4F"/>
        </w:rPr>
        <w:t>• Tracy Liu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4D4D4F"/>
        </w:rPr>
        <w:t>• Zhengfan Yang</w:t>
      </w:r>
    </w:p>
    <w:p>
      <w:pPr>
        <w:spacing w:after="0" w:line="149" w:lineRule="exact"/>
        <w:rPr>
          <w:sz w:val="20"/>
          <w:szCs w:val="20"/>
          <w:color w:val="auto"/>
        </w:rPr>
      </w:pPr>
    </w:p>
    <w:p>
      <w:pPr>
        <w:sectPr>
          <w:pgSz w:w="11900" w:h="16838" w:orient="portrait"/>
          <w:cols w:equalWidth="0" w:num="3">
            <w:col w:w="3300" w:space="720"/>
            <w:col w:w="1700" w:space="720"/>
            <w:col w:w="4980"/>
          </w:cols>
          <w:pgMar w:left="240" w:top="122" w:right="239" w:bottom="1440" w:gutter="0" w:footer="0" w:header="0"/>
          <w:type w:val="continuous"/>
        </w:sectPr>
      </w:pP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4D4D4F"/>
        </w:rPr>
        <w:t>Proposal</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45415" cy="1543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5415" cy="154305"/>
                    </a:xfrm>
                    <a:prstGeom prst="rect">
                      <a:avLst/>
                    </a:prstGeom>
                    <a:noFill/>
                    <a:ln>
                      <a:noFill/>
                    </a:ln>
                  </pic:spPr>
                </pic:pic>
              </a:graphicData>
            </a:graphic>
          </wp:inline>
        </w:drawing>
      </w:r>
      <w:r>
        <w:rPr>
          <w:rFonts w:ascii="Arial" w:cs="Arial" w:eastAsia="Arial" w:hAnsi="Arial"/>
          <w:sz w:val="17"/>
          <w:szCs w:val="17"/>
          <w:color w:val="4D4D4F"/>
        </w:rPr>
        <w:t xml:space="preserve"> Ratification of appointment of our independent auditor for 2019.</w:t>
      </w:r>
    </w:p>
    <w:p>
      <w:pPr>
        <w:spacing w:after="0" w:line="175" w:lineRule="exact"/>
        <w:rPr>
          <w:sz w:val="20"/>
          <w:szCs w:val="20"/>
          <w:color w:val="auto"/>
        </w:rPr>
      </w:pPr>
    </w:p>
    <w:p>
      <w:pPr>
        <w:sectPr>
          <w:pgSz w:w="11900" w:h="16838" w:orient="portrait"/>
          <w:cols w:equalWidth="0" w:num="2">
            <w:col w:w="1040" w:space="240"/>
            <w:col w:w="10140"/>
          </w:cols>
          <w:pgMar w:left="240" w:top="122" w:right="239" w:bottom="1440" w:gutter="0" w:footer="0" w:header="0"/>
          <w:type w:val="continuous"/>
        </w:sectPr>
      </w:pPr>
    </w:p>
    <w:p>
      <w:pPr>
        <w:spacing w:after="0"/>
        <w:rPr>
          <w:sz w:val="20"/>
          <w:szCs w:val="20"/>
          <w:color w:val="auto"/>
        </w:rPr>
      </w:pPr>
      <w:r>
        <w:rPr>
          <w:rFonts w:ascii="Arial" w:cs="Arial" w:eastAsia="Arial" w:hAnsi="Arial"/>
          <w:sz w:val="20"/>
          <w:szCs w:val="20"/>
          <w:b w:val="1"/>
          <w:bCs w:val="1"/>
          <w:color w:val="0079C0"/>
        </w:rPr>
        <w:t>Q: Who can vote at the Annual Meeting?</w:t>
      </w:r>
    </w:p>
    <w:p>
      <w:pPr>
        <w:spacing w:after="0" w:line="188" w:lineRule="exact"/>
        <w:rPr>
          <w:sz w:val="20"/>
          <w:szCs w:val="20"/>
          <w:color w:val="auto"/>
        </w:rPr>
      </w:pPr>
    </w:p>
    <w:p>
      <w:pPr>
        <w:jc w:val="both"/>
        <w:ind w:left="340" w:hanging="332"/>
        <w:spacing w:after="0" w:line="238" w:lineRule="auto"/>
        <w:tabs>
          <w:tab w:leader="none" w:pos="340" w:val="left"/>
        </w:tabs>
        <w:numPr>
          <w:ilvl w:val="0"/>
          <w:numId w:val="9"/>
        </w:numPr>
        <w:rPr>
          <w:rFonts w:ascii="Arial" w:cs="Arial" w:eastAsia="Arial" w:hAnsi="Arial"/>
          <w:sz w:val="18"/>
          <w:szCs w:val="18"/>
          <w:b w:val="1"/>
          <w:bCs w:val="1"/>
          <w:color w:val="4D4D4F"/>
        </w:rPr>
      </w:pPr>
      <w:r>
        <w:rPr>
          <w:rFonts w:ascii="Arial" w:cs="Arial" w:eastAsia="Arial" w:hAnsi="Arial"/>
          <w:sz w:val="18"/>
          <w:szCs w:val="18"/>
          <w:color w:val="4D4D4F"/>
        </w:rPr>
        <w:t>Stockholders of record of Class A and Class B common stock at 5 p.m. EDST on April 24, 2019 the record date, will be entitled to vote at the Annual Meeting. As of the record date, there were outstanding a total of 14,186,966 shares of Class A common stock, each of which will be entitled to one vote on each proposal, and 1,895,090 shares of Class B common stock, each of which will be entitled to twenty votes on each proposal. As a result, up to a total of 52,088,766 votes can be cast on each proposal.</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What is a stockholder of record?</w:t>
      </w:r>
    </w:p>
    <w:p>
      <w:pPr>
        <w:spacing w:after="0" w:line="201" w:lineRule="exact"/>
        <w:rPr>
          <w:sz w:val="20"/>
          <w:szCs w:val="20"/>
          <w:color w:val="auto"/>
        </w:rPr>
      </w:pPr>
    </w:p>
    <w:p>
      <w:pPr>
        <w:ind w:left="340" w:hanging="332"/>
        <w:spacing w:after="0" w:line="245" w:lineRule="auto"/>
        <w:tabs>
          <w:tab w:leader="none" w:pos="340" w:val="left"/>
        </w:tabs>
        <w:numPr>
          <w:ilvl w:val="0"/>
          <w:numId w:val="10"/>
        </w:numPr>
        <w:rPr>
          <w:rFonts w:ascii="Arial" w:cs="Arial" w:eastAsia="Arial" w:hAnsi="Arial"/>
          <w:sz w:val="18"/>
          <w:szCs w:val="18"/>
          <w:b w:val="1"/>
          <w:bCs w:val="1"/>
          <w:color w:val="4D4D4F"/>
        </w:rPr>
      </w:pPr>
      <w:r>
        <w:rPr>
          <w:rFonts w:ascii="Arial" w:cs="Arial" w:eastAsia="Arial" w:hAnsi="Arial"/>
          <w:sz w:val="18"/>
          <w:szCs w:val="18"/>
          <w:color w:val="4D4D4F"/>
        </w:rPr>
        <w:t>A stockholder of record is a stockholder whose ownership of our common stock is reflected directly on the books and records of our transfer agent, Computershare Trust Company, N.A.</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What does it mean for a broker or other nominee to hold shares in “street name”?</w:t>
      </w:r>
    </w:p>
    <w:p>
      <w:pPr>
        <w:spacing w:after="0" w:line="188" w:lineRule="exact"/>
        <w:rPr>
          <w:sz w:val="20"/>
          <w:szCs w:val="20"/>
          <w:color w:val="auto"/>
        </w:rPr>
      </w:pPr>
    </w:p>
    <w:p>
      <w:pPr>
        <w:jc w:val="both"/>
        <w:ind w:left="340" w:hanging="332"/>
        <w:spacing w:after="0" w:line="237" w:lineRule="auto"/>
        <w:tabs>
          <w:tab w:leader="none" w:pos="340" w:val="left"/>
        </w:tabs>
        <w:numPr>
          <w:ilvl w:val="0"/>
          <w:numId w:val="11"/>
        </w:numPr>
        <w:rPr>
          <w:rFonts w:ascii="Arial" w:cs="Arial" w:eastAsia="Arial" w:hAnsi="Arial"/>
          <w:sz w:val="18"/>
          <w:szCs w:val="18"/>
          <w:b w:val="1"/>
          <w:bCs w:val="1"/>
          <w:color w:val="4D4D4F"/>
        </w:rPr>
      </w:pPr>
      <w:r>
        <w:rPr>
          <w:rFonts w:ascii="Arial" w:cs="Arial" w:eastAsia="Arial" w:hAnsi="Arial"/>
          <w:sz w:val="18"/>
          <w:szCs w:val="18"/>
          <w:color w:val="4D4D4F"/>
        </w:rPr>
        <w:t>If you beneficially own shares held in an account with a broker, bank or similar organization, that organization is the stockholder of record and is considered to hold those shares in “street name.” An organization that holds your beneficially owned shares in street name will vote in accordance with the instructions you provide. If you do not provide the organization with specific voting instructions with respect to a proposal, the organization’s authority to vote your shares will, under the rules of the Nasdaq Global Market or NASDAQ, depend upon whether the proposal is considered a “routine” or a non-routine matter.</w:t>
      </w:r>
    </w:p>
    <w:p>
      <w:pPr>
        <w:spacing w:after="0" w:line="84" w:lineRule="exact"/>
        <w:rPr>
          <w:rFonts w:ascii="Arial" w:cs="Arial" w:eastAsia="Arial" w:hAnsi="Arial"/>
          <w:sz w:val="18"/>
          <w:szCs w:val="18"/>
          <w:b w:val="1"/>
          <w:bCs w:val="1"/>
          <w:color w:val="4D4D4F"/>
        </w:rPr>
      </w:pPr>
    </w:p>
    <w:p>
      <w:pPr>
        <w:jc w:val="both"/>
        <w:ind w:left="660" w:hanging="328"/>
        <w:spacing w:after="0"/>
        <w:tabs>
          <w:tab w:leader="none" w:pos="660" w:val="left"/>
        </w:tabs>
        <w:numPr>
          <w:ilvl w:val="1"/>
          <w:numId w:val="11"/>
        </w:numPr>
        <w:rPr>
          <w:rFonts w:ascii="Arial" w:cs="Arial" w:eastAsia="Arial" w:hAnsi="Arial"/>
          <w:sz w:val="18"/>
          <w:szCs w:val="18"/>
          <w:color w:val="4D4D4F"/>
        </w:rPr>
      </w:pPr>
      <w:r>
        <w:rPr>
          <w:rFonts w:ascii="Arial" w:cs="Arial" w:eastAsia="Arial" w:hAnsi="Arial"/>
          <w:sz w:val="18"/>
          <w:szCs w:val="18"/>
          <w:color w:val="4D4D4F"/>
        </w:rPr>
        <w:t>The organization generally may vote your beneficially owned shares on routine items for which you have not provided voting instructions to the organization. The only routine matter expected to be voted on at the Annual Meeting is the ratification of the appointment of our independent auditor for 2019 (Proposal 2).</w:t>
      </w:r>
    </w:p>
    <w:p>
      <w:pPr>
        <w:spacing w:after="0" w:line="67" w:lineRule="exact"/>
        <w:rPr>
          <w:rFonts w:ascii="Arial" w:cs="Arial" w:eastAsia="Arial" w:hAnsi="Arial"/>
          <w:sz w:val="18"/>
          <w:szCs w:val="18"/>
          <w:color w:val="4D4D4F"/>
        </w:rPr>
      </w:pPr>
    </w:p>
    <w:p>
      <w:pPr>
        <w:ind w:left="660" w:hanging="328"/>
        <w:spacing w:after="0" w:line="245" w:lineRule="auto"/>
        <w:tabs>
          <w:tab w:leader="none" w:pos="660" w:val="left"/>
        </w:tabs>
        <w:numPr>
          <w:ilvl w:val="1"/>
          <w:numId w:val="11"/>
        </w:numPr>
        <w:rPr>
          <w:rFonts w:ascii="Arial" w:cs="Arial" w:eastAsia="Arial" w:hAnsi="Arial"/>
          <w:sz w:val="18"/>
          <w:szCs w:val="18"/>
          <w:color w:val="4D4D4F"/>
        </w:rPr>
      </w:pPr>
      <w:r>
        <w:rPr>
          <w:rFonts w:ascii="Arial" w:cs="Arial" w:eastAsia="Arial" w:hAnsi="Arial"/>
          <w:sz w:val="18"/>
          <w:szCs w:val="18"/>
          <w:color w:val="4D4D4F"/>
        </w:rPr>
        <w:t>The organization generally may not vote on non-routine matters, including Proposal 1. Instead, it will inform the inspector of election that it does not have the authority to vote on those matters. This is referred to as a “broker non-vote.”</w:t>
      </w:r>
    </w:p>
    <w:p>
      <w:pPr>
        <w:spacing w:after="0" w:line="77" w:lineRule="exact"/>
        <w:rPr>
          <w:sz w:val="20"/>
          <w:szCs w:val="20"/>
          <w:color w:val="auto"/>
        </w:rPr>
      </w:pPr>
    </w:p>
    <w:p>
      <w:pPr>
        <w:ind w:left="340"/>
        <w:spacing w:after="0" w:line="245" w:lineRule="auto"/>
        <w:rPr>
          <w:sz w:val="20"/>
          <w:szCs w:val="20"/>
          <w:color w:val="auto"/>
        </w:rPr>
      </w:pPr>
      <w:r>
        <w:rPr>
          <w:rFonts w:ascii="Arial" w:cs="Arial" w:eastAsia="Arial" w:hAnsi="Arial"/>
          <w:sz w:val="18"/>
          <w:szCs w:val="18"/>
          <w:color w:val="4D4D4F"/>
        </w:rPr>
        <w:t>For the purpose of determining a quorum, we will treat as present at the Annual Meeting any proxies that are voted on any of the two proposals to be acted upon by the stockholders, including abstentions or proxies containing broker non-votes.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2" w:name="page13"/>
    <w:bookmarkEnd w:id="1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How do I vote my shares if I do not attend the Annual Meeting?</w:t>
      </w:r>
    </w:p>
    <w:p>
      <w:pPr>
        <w:spacing w:after="0" w:line="166"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4D4D4F"/>
        </w:rPr>
      </w:pPr>
      <w:r>
        <w:rPr>
          <w:rFonts w:ascii="Arial" w:cs="Arial" w:eastAsia="Arial" w:hAnsi="Arial"/>
          <w:sz w:val="18"/>
          <w:szCs w:val="18"/>
          <w:b w:val="1"/>
          <w:bCs w:val="1"/>
          <w:color w:val="4D4D4F"/>
        </w:rPr>
        <w:t xml:space="preserve">If you are a stockholder of record, </w:t>
      </w:r>
      <w:r>
        <w:rPr>
          <w:rFonts w:ascii="Arial" w:cs="Arial" w:eastAsia="Arial" w:hAnsi="Arial"/>
          <w:sz w:val="18"/>
          <w:szCs w:val="18"/>
          <w:color w:val="4D4D4F"/>
        </w:rPr>
        <w:t>you may vote prior to the Annual Meeting as follows:</w:t>
      </w:r>
    </w:p>
    <w:p>
      <w:pPr>
        <w:spacing w:after="0" w:line="93" w:lineRule="exact"/>
        <w:rPr>
          <w:rFonts w:ascii="Arial" w:cs="Arial" w:eastAsia="Arial" w:hAnsi="Arial"/>
          <w:sz w:val="18"/>
          <w:szCs w:val="18"/>
          <w:b w:val="1"/>
          <w:bCs w:val="1"/>
          <w:color w:val="4D4D4F"/>
        </w:rPr>
      </w:pPr>
    </w:p>
    <w:p>
      <w:pPr>
        <w:ind w:left="2600" w:hanging="2268"/>
        <w:spacing w:after="0" w:line="250" w:lineRule="auto"/>
        <w:tabs>
          <w:tab w:leader="none" w:pos="657" w:val="left"/>
        </w:tabs>
        <w:numPr>
          <w:ilvl w:val="1"/>
          <w:numId w:val="12"/>
        </w:numPr>
        <w:rPr>
          <w:rFonts w:ascii="Arial" w:cs="Arial" w:eastAsia="Arial" w:hAnsi="Arial"/>
          <w:sz w:val="18"/>
          <w:szCs w:val="18"/>
          <w:color w:val="4D4D4F"/>
        </w:rPr>
      </w:pPr>
      <w:r>
        <w:rPr>
          <w:rFonts w:ascii="Arial" w:cs="Arial" w:eastAsia="Arial" w:hAnsi="Arial"/>
          <w:sz w:val="18"/>
          <w:szCs w:val="18"/>
          <w:i w:val="1"/>
          <w:iCs w:val="1"/>
          <w:color w:val="4D4D4F"/>
        </w:rPr>
        <w:t>Via the Internet:</w:t>
      </w:r>
      <w:r>
        <w:rPr>
          <w:rFonts w:ascii="Arial" w:cs="Arial" w:eastAsia="Arial" w:hAnsi="Arial"/>
          <w:sz w:val="18"/>
          <w:szCs w:val="18"/>
          <w:color w:val="4D4D4F"/>
        </w:rPr>
        <w:t xml:space="preserve">You may vote via the Internet by going to </w:t>
      </w:r>
      <w:r>
        <w:rPr>
          <w:rFonts w:ascii="Arial" w:cs="Arial" w:eastAsia="Arial" w:hAnsi="Arial"/>
          <w:sz w:val="18"/>
          <w:szCs w:val="18"/>
          <w:i w:val="1"/>
          <w:iCs w:val="1"/>
          <w:color w:val="4D4D4F"/>
        </w:rPr>
        <w:t>proxyvote.com</w:t>
      </w:r>
      <w:r>
        <w:rPr>
          <w:rFonts w:ascii="Arial" w:cs="Arial" w:eastAsia="Arial" w:hAnsi="Arial"/>
          <w:sz w:val="18"/>
          <w:szCs w:val="18"/>
          <w:color w:val="4D4D4F"/>
        </w:rPr>
        <w:t>, in accordance with the voting instructions on the proxy card. Internet voting is available 24 hours a day until 11:59 p.m., Eastern time, on June 5, 2019. You will be given the opportunity to confirm that your instructions have been recorded properly.</w:t>
      </w:r>
    </w:p>
    <w:p>
      <w:pPr>
        <w:spacing w:after="0" w:line="54" w:lineRule="exact"/>
        <w:rPr>
          <w:rFonts w:ascii="Arial" w:cs="Arial" w:eastAsia="Arial" w:hAnsi="Arial"/>
          <w:sz w:val="18"/>
          <w:szCs w:val="18"/>
          <w:color w:val="4D4D4F"/>
        </w:rPr>
      </w:pPr>
    </w:p>
    <w:p>
      <w:pPr>
        <w:ind w:left="2600" w:hanging="2268"/>
        <w:spacing w:after="0" w:line="238" w:lineRule="auto"/>
        <w:tabs>
          <w:tab w:leader="none" w:pos="657" w:val="left"/>
        </w:tabs>
        <w:numPr>
          <w:ilvl w:val="1"/>
          <w:numId w:val="12"/>
        </w:numPr>
        <w:rPr>
          <w:rFonts w:ascii="Arial" w:cs="Arial" w:eastAsia="Arial" w:hAnsi="Arial"/>
          <w:sz w:val="18"/>
          <w:szCs w:val="18"/>
          <w:color w:val="4D4D4F"/>
        </w:rPr>
      </w:pPr>
      <w:r>
        <w:rPr>
          <w:rFonts w:ascii="Arial" w:cs="Arial" w:eastAsia="Arial" w:hAnsi="Arial"/>
          <w:sz w:val="18"/>
          <w:szCs w:val="18"/>
          <w:i w:val="1"/>
          <w:iCs w:val="1"/>
          <w:color w:val="4D4D4F"/>
        </w:rPr>
        <w:t>By Telephone</w:t>
      </w:r>
      <w:r>
        <w:rPr>
          <w:rFonts w:ascii="Arial" w:cs="Arial" w:eastAsia="Arial" w:hAnsi="Arial"/>
          <w:sz w:val="18"/>
          <w:szCs w:val="18"/>
          <w:color w:val="4D4D4F"/>
        </w:rPr>
        <w:t>:You may vote by calling +1.800.690.6903 and following the instructions provided on the telephone line. Telephone voting is available 24 hours a day until 11:59 p.m., Eastern time, on June 5, 2019. Easy-to-follow voice prompts will allow you to vote your shares and confirm that your instructions have been recorded properly.</w:t>
      </w:r>
    </w:p>
    <w:p>
      <w:pPr>
        <w:spacing w:after="0" w:line="69" w:lineRule="exact"/>
        <w:rPr>
          <w:rFonts w:ascii="Arial" w:cs="Arial" w:eastAsia="Arial" w:hAnsi="Arial"/>
          <w:sz w:val="18"/>
          <w:szCs w:val="18"/>
          <w:color w:val="4D4D4F"/>
        </w:rPr>
      </w:pPr>
    </w:p>
    <w:p>
      <w:pPr>
        <w:ind w:left="2600" w:hanging="2268"/>
        <w:spacing w:after="0" w:line="245" w:lineRule="auto"/>
        <w:tabs>
          <w:tab w:leader="none" w:pos="657" w:val="left"/>
        </w:tabs>
        <w:numPr>
          <w:ilvl w:val="1"/>
          <w:numId w:val="12"/>
        </w:numPr>
        <w:rPr>
          <w:rFonts w:ascii="Arial" w:cs="Arial" w:eastAsia="Arial" w:hAnsi="Arial"/>
          <w:sz w:val="18"/>
          <w:szCs w:val="18"/>
          <w:color w:val="4D4D4F"/>
        </w:rPr>
      </w:pPr>
      <w:r>
        <w:rPr>
          <w:rFonts w:ascii="Arial" w:cs="Arial" w:eastAsia="Arial" w:hAnsi="Arial"/>
          <w:sz w:val="18"/>
          <w:szCs w:val="18"/>
          <w:i w:val="1"/>
          <w:iCs w:val="1"/>
          <w:color w:val="4D4D4F"/>
        </w:rPr>
        <w:t>By Mail</w:t>
      </w:r>
      <w:r>
        <w:rPr>
          <w:rFonts w:ascii="Arial" w:cs="Arial" w:eastAsia="Arial" w:hAnsi="Arial"/>
          <w:sz w:val="18"/>
          <w:szCs w:val="18"/>
          <w:color w:val="4D4D4F"/>
        </w:rPr>
        <w:t>:If you obtain a proxy card by mail, you may vote by returning the completed and signed proxy card in a postage-paid return envelope that will be provided with the proxy card.</w:t>
      </w:r>
    </w:p>
    <w:p>
      <w:pPr>
        <w:spacing w:after="0" w:line="73"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b w:val="1"/>
          <w:bCs w:val="1"/>
          <w:color w:val="4D4D4F"/>
        </w:rPr>
        <w:t xml:space="preserve">If you hold shares in street name, </w:t>
      </w:r>
      <w:r>
        <w:rPr>
          <w:rFonts w:ascii="Arial" w:cs="Arial" w:eastAsia="Arial" w:hAnsi="Arial"/>
          <w:sz w:val="18"/>
          <w:szCs w:val="18"/>
          <w:color w:val="4D4D4F"/>
        </w:rPr>
        <w:t>you may vote by following the voting instructions provided by your bank, broker or other nominee. In</w:t>
      </w:r>
      <w:r>
        <w:rPr>
          <w:rFonts w:ascii="Arial" w:cs="Arial" w:eastAsia="Arial" w:hAnsi="Arial"/>
          <w:sz w:val="18"/>
          <w:szCs w:val="18"/>
          <w:b w:val="1"/>
          <w:bCs w:val="1"/>
          <w:color w:val="4D4D4F"/>
        </w:rPr>
        <w:t xml:space="preserve"> </w:t>
      </w:r>
      <w:r>
        <w:rPr>
          <w:rFonts w:ascii="Arial" w:cs="Arial" w:eastAsia="Arial" w:hAnsi="Arial"/>
          <w:sz w:val="18"/>
          <w:szCs w:val="18"/>
          <w:color w:val="4D4D4F"/>
        </w:rPr>
        <w:t>general, you may vote prior to the Annual Meeting as follows:</w:t>
      </w:r>
    </w:p>
    <w:p>
      <w:pPr>
        <w:spacing w:after="0" w:line="36" w:lineRule="exact"/>
        <w:rPr>
          <w:sz w:val="20"/>
          <w:szCs w:val="20"/>
          <w:color w:val="auto"/>
        </w:rPr>
      </w:pPr>
    </w:p>
    <w:p>
      <w:pPr>
        <w:ind w:left="2600" w:hanging="2268"/>
        <w:spacing w:after="0" w:line="250" w:lineRule="auto"/>
        <w:tabs>
          <w:tab w:leader="none" w:pos="657" w:val="left"/>
        </w:tabs>
        <w:numPr>
          <w:ilvl w:val="0"/>
          <w:numId w:val="13"/>
        </w:numPr>
        <w:rPr>
          <w:rFonts w:ascii="Arial" w:cs="Arial" w:eastAsia="Arial" w:hAnsi="Arial"/>
          <w:sz w:val="18"/>
          <w:szCs w:val="18"/>
          <w:color w:val="4D4D4F"/>
        </w:rPr>
      </w:pPr>
      <w:r>
        <w:rPr>
          <w:rFonts w:ascii="Arial" w:cs="Arial" w:eastAsia="Arial" w:hAnsi="Arial"/>
          <w:sz w:val="18"/>
          <w:szCs w:val="18"/>
          <w:i w:val="1"/>
          <w:iCs w:val="1"/>
          <w:color w:val="4D4D4F"/>
        </w:rPr>
        <w:t>Via the Internet:</w:t>
      </w:r>
      <w:r>
        <w:rPr>
          <w:rFonts w:ascii="Arial" w:cs="Arial" w:eastAsia="Arial" w:hAnsi="Arial"/>
          <w:sz w:val="18"/>
          <w:szCs w:val="18"/>
          <w:color w:val="4D4D4F"/>
        </w:rPr>
        <w:t xml:space="preserve">You may vote via the Internet by going to </w:t>
      </w:r>
      <w:r>
        <w:rPr>
          <w:rFonts w:ascii="Arial" w:cs="Arial" w:eastAsia="Arial" w:hAnsi="Arial"/>
          <w:sz w:val="18"/>
          <w:szCs w:val="18"/>
          <w:i w:val="1"/>
          <w:iCs w:val="1"/>
          <w:color w:val="4D4D4F"/>
        </w:rPr>
        <w:t>proxyvote.com</w:t>
      </w:r>
      <w:r>
        <w:rPr>
          <w:rFonts w:ascii="Arial" w:cs="Arial" w:eastAsia="Arial" w:hAnsi="Arial"/>
          <w:sz w:val="18"/>
          <w:szCs w:val="18"/>
          <w:color w:val="4D4D4F"/>
        </w:rPr>
        <w:t>, in accordance with the voting instructions on the proxy card. Internet voting is available 24 hours a day until 11:59 p.m., Eastern time, on June 5, 2019. You will be given the opportunity to confirm that your instructions have been recorded properly.</w:t>
      </w:r>
    </w:p>
    <w:p>
      <w:pPr>
        <w:spacing w:after="0" w:line="41" w:lineRule="exact"/>
        <w:rPr>
          <w:rFonts w:ascii="Arial" w:cs="Arial" w:eastAsia="Arial" w:hAnsi="Arial"/>
          <w:sz w:val="18"/>
          <w:szCs w:val="18"/>
          <w:color w:val="4D4D4F"/>
        </w:rPr>
      </w:pPr>
    </w:p>
    <w:p>
      <w:pPr>
        <w:ind w:left="2600" w:hanging="2268"/>
        <w:spacing w:after="0"/>
        <w:tabs>
          <w:tab w:leader="none" w:pos="657" w:val="left"/>
        </w:tabs>
        <w:numPr>
          <w:ilvl w:val="0"/>
          <w:numId w:val="13"/>
        </w:numPr>
        <w:rPr>
          <w:rFonts w:ascii="Arial" w:cs="Arial" w:eastAsia="Arial" w:hAnsi="Arial"/>
          <w:sz w:val="18"/>
          <w:szCs w:val="18"/>
          <w:color w:val="4D4D4F"/>
        </w:rPr>
      </w:pPr>
      <w:r>
        <w:rPr>
          <w:rFonts w:ascii="Arial" w:cs="Arial" w:eastAsia="Arial" w:hAnsi="Arial"/>
          <w:sz w:val="18"/>
          <w:szCs w:val="18"/>
          <w:i w:val="1"/>
          <w:iCs w:val="1"/>
          <w:color w:val="4D4D4F"/>
        </w:rPr>
        <w:t>By Telephone:</w:t>
      </w:r>
      <w:r>
        <w:rPr>
          <w:rFonts w:ascii="Arial" w:cs="Arial" w:eastAsia="Arial" w:hAnsi="Arial"/>
          <w:sz w:val="18"/>
          <w:szCs w:val="18"/>
          <w:color w:val="4D4D4F"/>
        </w:rPr>
        <w:t>You may vote by calling +1.800.454.8683 and following the instructions provided on the telephone line. Telephone voting is available 24 hours a day until 11:59 p.m., Eastern time, on June 5, 2019. Easy-to-follow voice prompts allow you to vote your shares and confirm that your instructions have been recorded properly.</w:t>
      </w:r>
    </w:p>
    <w:p>
      <w:pPr>
        <w:spacing w:after="0" w:line="99" w:lineRule="exact"/>
        <w:rPr>
          <w:sz w:val="20"/>
          <w:szCs w:val="20"/>
          <w:color w:val="auto"/>
        </w:rPr>
      </w:pPr>
    </w:p>
    <w:p>
      <w:pPr>
        <w:ind w:left="340"/>
        <w:spacing w:after="0" w:line="245" w:lineRule="auto"/>
        <w:rPr>
          <w:sz w:val="20"/>
          <w:szCs w:val="20"/>
          <w:color w:val="auto"/>
        </w:rPr>
      </w:pPr>
      <w:r>
        <w:rPr>
          <w:rFonts w:ascii="Arial" w:cs="Arial" w:eastAsia="Arial" w:hAnsi="Arial"/>
          <w:sz w:val="18"/>
          <w:szCs w:val="18"/>
          <w:color w:val="4D4D4F"/>
        </w:rPr>
        <w:t>For your information, voting via the Internet is the least expensive to ACM, followed by telephone voting, with voting by mail being the most expensive.</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Can I vote at the Annual Meeting?</w:t>
      </w:r>
    </w:p>
    <w:p>
      <w:pPr>
        <w:spacing w:after="0" w:line="188" w:lineRule="exact"/>
        <w:rPr>
          <w:sz w:val="20"/>
          <w:szCs w:val="20"/>
          <w:color w:val="auto"/>
        </w:rPr>
      </w:pPr>
    </w:p>
    <w:p>
      <w:pPr>
        <w:jc w:val="both"/>
        <w:ind w:left="340" w:hanging="332"/>
        <w:spacing w:after="0"/>
        <w:tabs>
          <w:tab w:leader="none" w:pos="340" w:val="left"/>
        </w:tabs>
        <w:numPr>
          <w:ilvl w:val="0"/>
          <w:numId w:val="14"/>
        </w:numPr>
        <w:rPr>
          <w:rFonts w:ascii="Arial" w:cs="Arial" w:eastAsia="Arial" w:hAnsi="Arial"/>
          <w:sz w:val="18"/>
          <w:szCs w:val="18"/>
          <w:b w:val="1"/>
          <w:bCs w:val="1"/>
          <w:color w:val="4D4D4F"/>
        </w:rPr>
      </w:pPr>
      <w:r>
        <w:rPr>
          <w:rFonts w:ascii="Arial" w:cs="Arial" w:eastAsia="Arial" w:hAnsi="Arial"/>
          <w:sz w:val="18"/>
          <w:szCs w:val="18"/>
          <w:color w:val="4D4D4F"/>
        </w:rPr>
        <w:t>If you are a stockholder of record, you may vote virtually at the Annual Meeting, whether or not you previously voted. If your shares are held in street name, you must obtain a written proxy, executed in your favor, from the stockholder of record to be able to vote at the Annual Meeting.</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Can I ask questions at the Annual Meeting?</w:t>
      </w:r>
    </w:p>
    <w:p>
      <w:pPr>
        <w:spacing w:after="0" w:line="201" w:lineRule="exact"/>
        <w:rPr>
          <w:sz w:val="20"/>
          <w:szCs w:val="20"/>
          <w:color w:val="auto"/>
        </w:rPr>
      </w:pPr>
    </w:p>
    <w:p>
      <w:pPr>
        <w:jc w:val="both"/>
        <w:ind w:left="340" w:hanging="332"/>
        <w:spacing w:after="0" w:line="236" w:lineRule="auto"/>
        <w:tabs>
          <w:tab w:leader="none" w:pos="340" w:val="left"/>
        </w:tabs>
        <w:numPr>
          <w:ilvl w:val="0"/>
          <w:numId w:val="15"/>
        </w:numPr>
        <w:rPr>
          <w:rFonts w:ascii="Arial" w:cs="Arial" w:eastAsia="Arial" w:hAnsi="Arial"/>
          <w:sz w:val="18"/>
          <w:szCs w:val="18"/>
          <w:b w:val="1"/>
          <w:bCs w:val="1"/>
          <w:color w:val="4D4D4F"/>
        </w:rPr>
      </w:pPr>
      <w:r>
        <w:rPr>
          <w:rFonts w:ascii="Arial" w:cs="Arial" w:eastAsia="Arial" w:hAnsi="Arial"/>
          <w:sz w:val="18"/>
          <w:szCs w:val="18"/>
          <w:color w:val="4D4D4F"/>
        </w:rPr>
        <w:t xml:space="preserve">You may submit questions via the Internet during the Annual Meeting by participating in the webcast at </w:t>
      </w:r>
      <w:r>
        <w:rPr>
          <w:rFonts w:ascii="Arial" w:cs="Arial" w:eastAsia="Arial" w:hAnsi="Arial"/>
          <w:sz w:val="18"/>
          <w:szCs w:val="18"/>
          <w:i w:val="1"/>
          <w:iCs w:val="1"/>
          <w:color w:val="4D4D4F"/>
        </w:rPr>
        <w:t>virtualshareholdermeeting.com/ACMR2019</w:t>
      </w:r>
      <w:r>
        <w:rPr>
          <w:rFonts w:ascii="Arial" w:cs="Arial" w:eastAsia="Arial" w:hAnsi="Arial"/>
          <w:sz w:val="18"/>
          <w:szCs w:val="18"/>
          <w:color w:val="4D4D4F"/>
        </w:rPr>
        <w:t>. We will answer any timely submitted questions on a matter to be voted on at the Annual</w:t>
      </w:r>
      <w:r>
        <w:rPr>
          <w:rFonts w:ascii="Arial" w:cs="Arial" w:eastAsia="Arial" w:hAnsi="Arial"/>
          <w:sz w:val="18"/>
          <w:szCs w:val="18"/>
          <w:i w:val="1"/>
          <w:iCs w:val="1"/>
          <w:color w:val="4D4D4F"/>
        </w:rPr>
        <w:t xml:space="preserve"> </w:t>
      </w:r>
      <w:r>
        <w:rPr>
          <w:rFonts w:ascii="Arial" w:cs="Arial" w:eastAsia="Arial" w:hAnsi="Arial"/>
          <w:sz w:val="18"/>
          <w:szCs w:val="18"/>
          <w:color w:val="4D4D4F"/>
        </w:rPr>
        <w:t xml:space="preserve">Meeting before voting is closed on the matter. Following adjournment of the formal business of the Annual Meeting, we will address appropriate general questions from stockholders regarding ACM in the order in which the questions are received. Questions relating to the stockholder proposals or ACM may be submitted in the field provided in the web portal at or before the time the questions are to be discussed. All questions received during the Annual Meeting will be presented as submitted, uncensored and unedited, except that we may omit certain personal details for data protection issues and we may edit profanity or other inappropriate language. If we receive substantially similar questions, we will group those questions together and provide a single response to avoid repetition. Additional information regarding the submission of questions during the Annual Meeting can be found in our 2019 Rules of Conduct and Procedure, available at </w:t>
      </w:r>
      <w:r>
        <w:rPr>
          <w:rFonts w:ascii="Arial" w:cs="Arial" w:eastAsia="Arial" w:hAnsi="Arial"/>
          <w:sz w:val="18"/>
          <w:szCs w:val="18"/>
          <w:i w:val="1"/>
          <w:iCs w:val="1"/>
          <w:color w:val="4D4D4F"/>
        </w:rPr>
        <w:t>http://ir.acmrcsh.com/presentations.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Why is the Annual Meeting being conducted as a virtual meeting?</w:t>
      </w:r>
    </w:p>
    <w:p>
      <w:pPr>
        <w:spacing w:after="0" w:line="188" w:lineRule="exact"/>
        <w:rPr>
          <w:sz w:val="20"/>
          <w:szCs w:val="20"/>
          <w:color w:val="auto"/>
        </w:rPr>
      </w:pPr>
    </w:p>
    <w:p>
      <w:pPr>
        <w:jc w:val="both"/>
        <w:ind w:left="340" w:hanging="332"/>
        <w:spacing w:after="0" w:line="237" w:lineRule="auto"/>
        <w:tabs>
          <w:tab w:leader="none" w:pos="340" w:val="left"/>
        </w:tabs>
        <w:numPr>
          <w:ilvl w:val="0"/>
          <w:numId w:val="16"/>
        </w:numPr>
        <w:rPr>
          <w:rFonts w:ascii="Arial" w:cs="Arial" w:eastAsia="Arial" w:hAnsi="Arial"/>
          <w:sz w:val="18"/>
          <w:szCs w:val="18"/>
          <w:b w:val="1"/>
          <w:bCs w:val="1"/>
          <w:color w:val="4D4D4F"/>
        </w:rPr>
      </w:pPr>
      <w:r>
        <w:rPr>
          <w:rFonts w:ascii="Arial" w:cs="Arial" w:eastAsia="Arial" w:hAnsi="Arial"/>
          <w:sz w:val="18"/>
          <w:szCs w:val="18"/>
          <w:color w:val="4D4D4F"/>
        </w:rPr>
        <w:t>The board considers the appropriate format of our annual meeting of stockholders on an annual basis. This year the board again chose a virtual meeting format for the Annual Meeting in an effort to facilitate stockholder attendance and participation by enabling stockholders to participate fully, and equally, from any location around the world, at no cost. The virtual meeting format will allow our stockholders to engage with us at the Annual Meeting from any geographic location, using any convenient internet-connected devices, including smart phones and tablet, laptop or desktop computers.</w:t>
      </w:r>
    </w:p>
    <w:p>
      <w:pPr>
        <w:spacing w:after="0" w:line="259" w:lineRule="exact"/>
        <w:rPr>
          <w:rFonts w:ascii="Arial" w:cs="Arial" w:eastAsia="Arial" w:hAnsi="Arial"/>
          <w:sz w:val="18"/>
          <w:szCs w:val="18"/>
          <w:b w:val="1"/>
          <w:bCs w:val="1"/>
          <w:color w:val="4D4D4F"/>
        </w:rPr>
      </w:pPr>
    </w:p>
    <w:p>
      <w:pPr>
        <w:jc w:val="both"/>
        <w:ind w:left="340"/>
        <w:spacing w:after="0" w:line="238" w:lineRule="auto"/>
        <w:rPr>
          <w:rFonts w:ascii="Arial" w:cs="Arial" w:eastAsia="Arial" w:hAnsi="Arial"/>
          <w:sz w:val="18"/>
          <w:szCs w:val="18"/>
          <w:b w:val="1"/>
          <w:bCs w:val="1"/>
          <w:color w:val="4D4D4F"/>
        </w:rPr>
      </w:pPr>
      <w:r>
        <w:rPr>
          <w:rFonts w:ascii="Arial" w:cs="Arial" w:eastAsia="Arial" w:hAnsi="Arial"/>
          <w:sz w:val="18"/>
          <w:szCs w:val="18"/>
          <w:color w:val="4D4D4F"/>
        </w:rPr>
        <w:t>We will be able to engage with all stockholders as opposed to just those who can afford to travel to an in-person meeting. The virtual format allows stockholders to submit questions and comments during the meeting. We are utilizing technology from Broadridge Financial Solutions, Inc., or Broadridge, the leading virtual meeting solution. The Broadridge platform is expected to accommodate most, if not all, stockholders. Both we and Broadridge will test the platform technology before going “live” for the Annual Meeting.</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If I am unable to participate in the live audio webcast of the Annual Meeting, may I listen at a later date?</w:t>
      </w:r>
    </w:p>
    <w:p>
      <w:pPr>
        <w:spacing w:after="0" w:line="183" w:lineRule="exact"/>
        <w:rPr>
          <w:sz w:val="20"/>
          <w:szCs w:val="20"/>
          <w:color w:val="auto"/>
        </w:rPr>
      </w:pPr>
    </w:p>
    <w:p>
      <w:pPr>
        <w:jc w:val="both"/>
        <w:ind w:left="340" w:hanging="332"/>
        <w:spacing w:after="0" w:line="250" w:lineRule="auto"/>
        <w:tabs>
          <w:tab w:leader="none" w:pos="340" w:val="left"/>
        </w:tabs>
        <w:numPr>
          <w:ilvl w:val="0"/>
          <w:numId w:val="17"/>
        </w:numPr>
        <w:rPr>
          <w:rFonts w:ascii="Arial" w:cs="Arial" w:eastAsia="Arial" w:hAnsi="Arial"/>
          <w:sz w:val="18"/>
          <w:szCs w:val="18"/>
          <w:b w:val="1"/>
          <w:bCs w:val="1"/>
          <w:color w:val="4D4D4F"/>
        </w:rPr>
      </w:pPr>
      <w:r>
        <w:rPr>
          <w:rFonts w:ascii="Arial" w:cs="Arial" w:eastAsia="Arial" w:hAnsi="Arial"/>
          <w:sz w:val="18"/>
          <w:szCs w:val="18"/>
          <w:color w:val="4D4D4F"/>
        </w:rPr>
        <w:t xml:space="preserve">An audio replay of the Annual Meeting will be posted and publicly available at </w:t>
      </w:r>
      <w:r>
        <w:rPr>
          <w:rFonts w:ascii="Arial" w:cs="Arial" w:eastAsia="Arial" w:hAnsi="Arial"/>
          <w:sz w:val="18"/>
          <w:szCs w:val="18"/>
          <w:i w:val="1"/>
          <w:iCs w:val="1"/>
          <w:color w:val="4D4D4F"/>
        </w:rPr>
        <w:t>http://ir.acmrcsh.com/presentations</w:t>
      </w:r>
      <w:r>
        <w:rPr>
          <w:rFonts w:ascii="Arial" w:cs="Arial" w:eastAsia="Arial" w:hAnsi="Arial"/>
          <w:sz w:val="18"/>
          <w:szCs w:val="18"/>
          <w:color w:val="4D4D4F"/>
        </w:rPr>
        <w:t xml:space="preserve"> following the Annual Meeting and will remain publicly available until our next annual meeting of stockholders in 2020. This audio replay will cover the entire Annual Meeting, including each stockholder question addressed during the Annual Meeting.</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May I change my vote or revoke my proxy?</w:t>
      </w:r>
    </w:p>
    <w:p>
      <w:pPr>
        <w:spacing w:after="0" w:line="188" w:lineRule="exact"/>
        <w:rPr>
          <w:sz w:val="20"/>
          <w:szCs w:val="20"/>
          <w:color w:val="auto"/>
        </w:rPr>
      </w:pPr>
    </w:p>
    <w:p>
      <w:pPr>
        <w:ind w:left="340" w:hanging="332"/>
        <w:spacing w:after="0" w:line="245" w:lineRule="auto"/>
        <w:tabs>
          <w:tab w:leader="none" w:pos="340" w:val="left"/>
        </w:tabs>
        <w:numPr>
          <w:ilvl w:val="0"/>
          <w:numId w:val="18"/>
        </w:numPr>
        <w:rPr>
          <w:rFonts w:ascii="Arial" w:cs="Arial" w:eastAsia="Arial" w:hAnsi="Arial"/>
          <w:sz w:val="18"/>
          <w:szCs w:val="18"/>
          <w:b w:val="1"/>
          <w:bCs w:val="1"/>
          <w:color w:val="4D4D4F"/>
        </w:rPr>
      </w:pPr>
      <w:r>
        <w:rPr>
          <w:rFonts w:ascii="Arial" w:cs="Arial" w:eastAsia="Arial" w:hAnsi="Arial"/>
          <w:sz w:val="18"/>
          <w:szCs w:val="18"/>
          <w:color w:val="4D4D4F"/>
        </w:rPr>
        <w:t>If you are a stockholder of record and previously delivered a proxy, you may subsequently change or revoke your proxy at any time before it is exercised by:</w:t>
      </w:r>
    </w:p>
    <w:p>
      <w:pPr>
        <w:spacing w:after="0" w:line="36" w:lineRule="exact"/>
        <w:rPr>
          <w:rFonts w:ascii="Arial" w:cs="Arial" w:eastAsia="Arial" w:hAnsi="Arial"/>
          <w:sz w:val="18"/>
          <w:szCs w:val="18"/>
          <w:b w:val="1"/>
          <w:bCs w:val="1"/>
          <w:color w:val="4D4D4F"/>
        </w:rPr>
      </w:pPr>
    </w:p>
    <w:p>
      <w:pPr>
        <w:ind w:left="660" w:hanging="328"/>
        <w:spacing w:after="0"/>
        <w:tabs>
          <w:tab w:leader="none" w:pos="660" w:val="left"/>
        </w:tabs>
        <w:numPr>
          <w:ilvl w:val="1"/>
          <w:numId w:val="18"/>
        </w:numPr>
        <w:rPr>
          <w:rFonts w:ascii="Arial" w:cs="Arial" w:eastAsia="Arial" w:hAnsi="Arial"/>
          <w:sz w:val="18"/>
          <w:szCs w:val="18"/>
          <w:color w:val="4D4D4F"/>
        </w:rPr>
      </w:pPr>
      <w:r>
        <w:rPr>
          <w:rFonts w:ascii="Arial" w:cs="Arial" w:eastAsia="Arial" w:hAnsi="Arial"/>
          <w:sz w:val="18"/>
          <w:szCs w:val="18"/>
          <w:color w:val="4D4D4F"/>
        </w:rPr>
        <w:t>voting via the Internet or telephone at a later time;</w:t>
      </w:r>
    </w:p>
    <w:p>
      <w:pPr>
        <w:spacing w:after="0" w:line="89" w:lineRule="exact"/>
        <w:rPr>
          <w:rFonts w:ascii="Arial" w:cs="Arial" w:eastAsia="Arial" w:hAnsi="Arial"/>
          <w:sz w:val="18"/>
          <w:szCs w:val="18"/>
          <w:color w:val="4D4D4F"/>
        </w:rPr>
      </w:pPr>
    </w:p>
    <w:p>
      <w:pPr>
        <w:ind w:left="660" w:hanging="328"/>
        <w:spacing w:after="0"/>
        <w:tabs>
          <w:tab w:leader="none" w:pos="660" w:val="left"/>
        </w:tabs>
        <w:numPr>
          <w:ilvl w:val="1"/>
          <w:numId w:val="18"/>
        </w:numPr>
        <w:rPr>
          <w:rFonts w:ascii="Arial" w:cs="Arial" w:eastAsia="Arial" w:hAnsi="Arial"/>
          <w:sz w:val="18"/>
          <w:szCs w:val="18"/>
          <w:color w:val="4D4D4F"/>
        </w:rPr>
      </w:pPr>
      <w:r>
        <w:rPr>
          <w:rFonts w:ascii="Arial" w:cs="Arial" w:eastAsia="Arial" w:hAnsi="Arial"/>
          <w:sz w:val="18"/>
          <w:szCs w:val="18"/>
          <w:color w:val="4D4D4F"/>
        </w:rPr>
        <w:t>submitting a completed and signed proxy card with a later date; or</w:t>
      </w:r>
    </w:p>
    <w:p>
      <w:pPr>
        <w:spacing w:after="0" w:line="76" w:lineRule="exact"/>
        <w:rPr>
          <w:rFonts w:ascii="Arial" w:cs="Arial" w:eastAsia="Arial" w:hAnsi="Arial"/>
          <w:sz w:val="18"/>
          <w:szCs w:val="18"/>
          <w:color w:val="4D4D4F"/>
        </w:rPr>
      </w:pPr>
    </w:p>
    <w:p>
      <w:pPr>
        <w:ind w:left="660" w:hanging="328"/>
        <w:spacing w:after="0"/>
        <w:tabs>
          <w:tab w:leader="none" w:pos="660" w:val="left"/>
        </w:tabs>
        <w:numPr>
          <w:ilvl w:val="1"/>
          <w:numId w:val="18"/>
        </w:numPr>
        <w:rPr>
          <w:rFonts w:ascii="Arial" w:cs="Arial" w:eastAsia="Arial" w:hAnsi="Arial"/>
          <w:sz w:val="18"/>
          <w:szCs w:val="18"/>
          <w:color w:val="4D4D4F"/>
        </w:rPr>
      </w:pPr>
      <w:r>
        <w:rPr>
          <w:rFonts w:ascii="Arial" w:cs="Arial" w:eastAsia="Arial" w:hAnsi="Arial"/>
          <w:sz w:val="18"/>
          <w:szCs w:val="18"/>
          <w:color w:val="4D4D4F"/>
        </w:rPr>
        <w:t>voting via the Internet at the Annual Meeting.</w:t>
      </w:r>
    </w:p>
    <w:p>
      <w:pPr>
        <w:spacing w:after="0" w:line="90" w:lineRule="exact"/>
        <w:rPr>
          <w:sz w:val="20"/>
          <w:szCs w:val="20"/>
          <w:color w:val="auto"/>
        </w:rPr>
      </w:pPr>
    </w:p>
    <w:p>
      <w:pPr>
        <w:ind w:left="340"/>
        <w:spacing w:after="0" w:line="245" w:lineRule="auto"/>
        <w:rPr>
          <w:sz w:val="20"/>
          <w:szCs w:val="20"/>
          <w:color w:val="auto"/>
        </w:rPr>
      </w:pPr>
      <w:r>
        <w:rPr>
          <w:rFonts w:ascii="Arial" w:cs="Arial" w:eastAsia="Arial" w:hAnsi="Arial"/>
          <w:sz w:val="18"/>
          <w:szCs w:val="18"/>
          <w:color w:val="4D4D4F"/>
        </w:rPr>
        <w:t>If you are a beneficial owner of shares held in street name, you should contact your bank, broker or other nominee for instructions as to whether, and how, you can change or revoke your proxy.</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What happens if I do not give specific voting instructions?</w:t>
      </w:r>
    </w:p>
    <w:p>
      <w:pPr>
        <w:spacing w:after="0" w:line="188" w:lineRule="exact"/>
        <w:rPr>
          <w:sz w:val="20"/>
          <w:szCs w:val="20"/>
          <w:color w:val="auto"/>
        </w:rPr>
      </w:pPr>
    </w:p>
    <w:p>
      <w:pPr>
        <w:jc w:val="both"/>
        <w:ind w:left="340" w:hanging="332"/>
        <w:spacing w:after="0"/>
        <w:tabs>
          <w:tab w:leader="none" w:pos="340" w:val="left"/>
        </w:tabs>
        <w:numPr>
          <w:ilvl w:val="0"/>
          <w:numId w:val="19"/>
        </w:numPr>
        <w:rPr>
          <w:rFonts w:ascii="Arial" w:cs="Arial" w:eastAsia="Arial" w:hAnsi="Arial"/>
          <w:sz w:val="18"/>
          <w:szCs w:val="18"/>
          <w:b w:val="1"/>
          <w:bCs w:val="1"/>
          <w:color w:val="4D4D4F"/>
        </w:rPr>
      </w:pPr>
      <w:r>
        <w:rPr>
          <w:rFonts w:ascii="Arial" w:cs="Arial" w:eastAsia="Arial" w:hAnsi="Arial"/>
          <w:sz w:val="18"/>
          <w:szCs w:val="18"/>
          <w:color w:val="4D4D4F"/>
        </w:rPr>
        <w:t>If you are a stockholder of record and you return a proxy card without giving specific voting instructions, the proxy holders will vote your shares in the manner recommended by the board on both proposals presented in this Proxy Statement and as the proxy holders may determine in its discretion on any other matters properly presented for a vote at the Annual Meeting.</w:t>
      </w:r>
    </w:p>
    <w:p>
      <w:pPr>
        <w:spacing w:after="0" w:line="174" w:lineRule="exact"/>
        <w:rPr>
          <w:rFonts w:ascii="Arial" w:cs="Arial" w:eastAsia="Arial" w:hAnsi="Arial"/>
          <w:sz w:val="18"/>
          <w:szCs w:val="18"/>
          <w:b w:val="1"/>
          <w:bCs w:val="1"/>
          <w:color w:val="4D4D4F"/>
        </w:rPr>
      </w:pPr>
    </w:p>
    <w:p>
      <w:pPr>
        <w:jc w:val="both"/>
        <w:ind w:left="340"/>
        <w:spacing w:after="0" w:line="237" w:lineRule="auto"/>
        <w:rPr>
          <w:rFonts w:ascii="Arial" w:cs="Arial" w:eastAsia="Arial" w:hAnsi="Arial"/>
          <w:sz w:val="18"/>
          <w:szCs w:val="18"/>
          <w:b w:val="1"/>
          <w:bCs w:val="1"/>
          <w:color w:val="4D4D4F"/>
        </w:rPr>
      </w:pPr>
      <w:r>
        <w:rPr>
          <w:rFonts w:ascii="Arial" w:cs="Arial" w:eastAsia="Arial" w:hAnsi="Arial"/>
          <w:sz w:val="18"/>
          <w:szCs w:val="18"/>
          <w:color w:val="4D4D4F"/>
        </w:rPr>
        <w:t>If you are a beneficial owner of shares held in street name and do not provide specific voting instructions to the broker, bank or other organization that is the stockholder of record of your shares, the organization generally may vote on routine, but not non-routine, matters. The only routine matter expected to be voted on at the Annual Meeting is the ratification of the appointment of our independent auditor for 2019 (Proposal 2). If the organization does not receive instructions from you on how to vote your shares on Proposal 1, your shares will be subject to a broker non-vote and no vote will be cast on those matters. See “</w:t>
      </w:r>
      <w:r>
        <w:rPr>
          <w:rFonts w:ascii="Arial" w:cs="Arial" w:eastAsia="Arial" w:hAnsi="Arial"/>
          <w:sz w:val="18"/>
          <w:szCs w:val="18"/>
          <w:color w:val="0079C0"/>
        </w:rPr>
        <w:t>Q. What does it mean for a broker or other nominee to hold</w:t>
      </w:r>
      <w:r>
        <w:rPr>
          <w:rFonts w:ascii="Arial" w:cs="Arial" w:eastAsia="Arial" w:hAnsi="Arial"/>
          <w:sz w:val="18"/>
          <w:szCs w:val="18"/>
          <w:color w:val="4D4D4F"/>
        </w:rPr>
        <w:t xml:space="preserve"> </w:t>
      </w:r>
      <w:r>
        <w:rPr>
          <w:rFonts w:ascii="Arial" w:cs="Arial" w:eastAsia="Arial" w:hAnsi="Arial"/>
          <w:sz w:val="18"/>
          <w:szCs w:val="18"/>
          <w:color w:val="0079C0"/>
        </w:rPr>
        <w:t>shares in ‘street name’?</w:t>
      </w:r>
      <w:r>
        <w:rPr>
          <w:rFonts w:ascii="Arial" w:cs="Arial" w:eastAsia="Arial" w:hAnsi="Arial"/>
          <w:sz w:val="18"/>
          <w:szCs w:val="18"/>
          <w:color w:val="4D4D4F"/>
        </w:rPr>
        <w:t>” above.”</w:t>
      </w:r>
    </w:p>
    <w:p>
      <w:pPr>
        <w:spacing w:after="0" w:line="136" w:lineRule="exact"/>
        <w:rPr>
          <w:sz w:val="20"/>
          <w:szCs w:val="20"/>
          <w:color w:val="auto"/>
        </w:rPr>
      </w:pPr>
    </w:p>
    <w:p>
      <w:pPr>
        <w:ind w:left="340" w:hanging="332"/>
        <w:spacing w:after="0" w:line="257" w:lineRule="auto"/>
        <w:tabs>
          <w:tab w:leader="none" w:pos="340" w:val="left"/>
        </w:tabs>
        <w:numPr>
          <w:ilvl w:val="0"/>
          <w:numId w:val="20"/>
        </w:numPr>
        <w:rPr>
          <w:rFonts w:ascii="Arial" w:cs="Arial" w:eastAsia="Arial" w:hAnsi="Arial"/>
          <w:sz w:val="20"/>
          <w:szCs w:val="20"/>
          <w:b w:val="1"/>
          <w:bCs w:val="1"/>
          <w:color w:val="0079C0"/>
        </w:rPr>
      </w:pPr>
      <w:r>
        <w:rPr>
          <w:rFonts w:ascii="Arial" w:cs="Arial" w:eastAsia="Arial" w:hAnsi="Arial"/>
          <w:sz w:val="20"/>
          <w:szCs w:val="20"/>
          <w:b w:val="1"/>
          <w:bCs w:val="1"/>
          <w:color w:val="0079C0"/>
        </w:rPr>
        <w:t>What should I do if, during check-in or the meeting, I have technical difficulties or trouble accessing the virtual meeting website?</w:t>
      </w:r>
    </w:p>
    <w:p>
      <w:pPr>
        <w:spacing w:after="0" w:line="168" w:lineRule="exact"/>
        <w:rPr>
          <w:sz w:val="20"/>
          <w:szCs w:val="20"/>
          <w:color w:val="auto"/>
        </w:rPr>
      </w:pPr>
    </w:p>
    <w:p>
      <w:pPr>
        <w:ind w:left="340" w:right="80" w:hanging="332"/>
        <w:spacing w:after="0" w:line="237" w:lineRule="auto"/>
        <w:tabs>
          <w:tab w:leader="none" w:pos="340" w:val="left"/>
        </w:tabs>
        <w:numPr>
          <w:ilvl w:val="0"/>
          <w:numId w:val="21"/>
        </w:numPr>
        <w:rPr>
          <w:rFonts w:ascii="Arial" w:cs="Arial" w:eastAsia="Arial" w:hAnsi="Arial"/>
          <w:sz w:val="18"/>
          <w:szCs w:val="18"/>
          <w:b w:val="1"/>
          <w:bCs w:val="1"/>
          <w:color w:val="4D4D4F"/>
        </w:rPr>
      </w:pPr>
      <w:r>
        <w:rPr>
          <w:rFonts w:ascii="Arial" w:cs="Arial" w:eastAsia="Arial" w:hAnsi="Arial"/>
          <w:sz w:val="18"/>
          <w:szCs w:val="18"/>
          <w:color w:val="4D4D4F"/>
        </w:rPr>
        <w:t>Online check-in to the Annual Meeting webcast will begin at 10:45 a.m., Pacific time. You should allow ample time to log in to the meeting webcast and test your computer audio system. During online check-in and continuing through the length of the Annual Meeting, we will have technicians standing by to assist you with any technical difficulties you may have accessing the Annual Meeting. If you encounter any difficulties accessing the Annual Meeting during the check-in or at meeting time, you should call 800-586-1548 (US) or 303-562-9288 (International).</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What if other matters are presented at the Annual Meeting?</w:t>
      </w:r>
    </w:p>
    <w:p>
      <w:pPr>
        <w:spacing w:after="0" w:line="188" w:lineRule="exact"/>
        <w:rPr>
          <w:sz w:val="20"/>
          <w:szCs w:val="20"/>
          <w:color w:val="auto"/>
        </w:rPr>
      </w:pPr>
    </w:p>
    <w:p>
      <w:pPr>
        <w:jc w:val="both"/>
        <w:ind w:left="340" w:hanging="332"/>
        <w:spacing w:after="0"/>
        <w:tabs>
          <w:tab w:leader="none" w:pos="340" w:val="left"/>
        </w:tabs>
        <w:numPr>
          <w:ilvl w:val="0"/>
          <w:numId w:val="22"/>
        </w:numPr>
        <w:rPr>
          <w:rFonts w:ascii="Arial" w:cs="Arial" w:eastAsia="Arial" w:hAnsi="Arial"/>
          <w:sz w:val="18"/>
          <w:szCs w:val="18"/>
          <w:b w:val="1"/>
          <w:bCs w:val="1"/>
          <w:color w:val="4D4D4F"/>
        </w:rPr>
      </w:pPr>
      <w:r>
        <w:rPr>
          <w:rFonts w:ascii="Arial" w:cs="Arial" w:eastAsia="Arial" w:hAnsi="Arial"/>
          <w:sz w:val="18"/>
          <w:szCs w:val="18"/>
          <w:color w:val="4D4D4F"/>
        </w:rPr>
        <w:t>If a stockholder of record provides a proxy by voting in any manner described in this Proxy Statement, the proxy holders will have the discretion to vote on any matters, other than the two proposals presented in this Proxy Statement, that are properly presented for consideration at the Annual Meeting. We do not know of any other matters to be presented for consideration at the Annual Meeting.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Vote Required for Election or Approval</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Introduction</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ACM’s only voting securities are the outstanding shares of Class A and Class B common stock, which we refer to collectively as common stock. As of the record date, which is 5 p.m. EDST on April 24 , 2019, there were outstanding 14,186,966 shares of Class A common stock, each of which will be entitled to one vote on each proposal, and 1,895,090 shares of Class B common stock, each of which will be entitled to twenty votes on each proposal. Based on the number of votes for each share of Class A and Class B common stock, up to a total of 52,088,766 votes can be cast on each proposal.</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Only stockholders of record as of the record date will be entitled to notice of, and to vote at, the Annual Meeting. A majority of the votes attributable to outstanding shares of common stock present virtually or represented by proxy and entitled to vote on any matters to be considered at the Annual Meeting will constitute a quorum for the transaction of business at the Annual Meeting. For the purpose of determining a quorum, we will treat as present at the Annual Meeting any proxies that are voted on any matter to be acted upon by the stockholders, as well as abstentions or any proxies containing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274320" cy="2825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4320" cy="28257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79C0"/>
        </w:rPr>
        <w:t>Election of Directors</w:t>
      </w:r>
    </w:p>
    <w:p>
      <w:pPr>
        <w:spacing w:after="0" w:line="39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Each director will be elected by a majority of the votes cast with respect to that director, with the number of votes “for” a director exceeding the number of votes “against” the director. Votes to “abstain” will not be counted for the purpose of determining whether a director is elected. Similarly, broker non-votes will not have any effect on the outcome of the election of directors, since broker non-votes are not counted as “votes cast.”</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Under our Certificate of Incorporation, our Bylaws and the Delaware General Corporation Law, a director holds office until a successor is elected and qualified or until his or her earlier resignation or removal. Each of the nominees currently serves as one of our directors. If any of the nominees is not elected at the Annual Meeting, then the Bylaws provide that the director shall offer to resign from the board of directors. Pursuant to a Director Resignation Policy approved by the board in October 2017, the nominating and governance committee will make a recommendation to the board whether to accept or reject the resignation, or whether other action should be taken. The board will consider and act on the recommendation of the nominating and governance committee and will promptly, if required, publicly disclose its decision and the rationale behind it. The director who offers his or her resignation will not participate in the decision of the nominating and governance committee or the board. If the board accepts such resignation, then the board may fill the vacancy resulting from that resignation or may reduce the number of directors that constitutes the entire board so that no vacancy exists.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274320" cy="291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4320" cy="29146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79C0"/>
        </w:rPr>
        <w:t>Ratification of Appointment of Independent Auditor for 2019</w:t>
      </w:r>
    </w:p>
    <w:p>
      <w:pPr>
        <w:spacing w:after="0" w:line="39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The ratification of BDO China Shu Lun Pan Certified Public Accountants LLP as our independent auditor for the year ending December 31, 2019 must be approved by affirmative votes constituting a majority of the votes entitled to be voted and present virtually or represented by proxy at the Annual Meeting. Abstentions will count as votes against this proposal, since shares with respect to which the stockholder abstains will be deemed present and entitled to vote. Because this proposal is considered a routine matter, discretionary votes by brokers will be counted.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Corporate Governance</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Board of Directors Overview</w:t>
      </w:r>
    </w:p>
    <w:p>
      <w:pPr>
        <w:spacing w:after="0" w:line="19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4D4D4F"/>
        </w:rPr>
        <w:t>Under our Bylaws and the Delaware General Corporation Law, our business and affairs are managed by or under the direction of the board of directors, which selectively delegates responsibilities to its standing committees.</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 xml:space="preserve">The board has adopted and operates under Governance Guidelines that reflect our current governance practices in accordance with applicable statutory and regulatory requirements, including those of the SEC and Nasdaq. The Governance Guidelines are available on our website at </w:t>
      </w:r>
      <w:r>
        <w:rPr>
          <w:rFonts w:ascii="Arial" w:cs="Arial" w:eastAsia="Arial" w:hAnsi="Arial"/>
          <w:sz w:val="18"/>
          <w:szCs w:val="18"/>
          <w:i w:val="1"/>
          <w:iCs w:val="1"/>
          <w:color w:val="4D4D4F"/>
        </w:rPr>
        <w:t xml:space="preserve">http://ir.acmrcsh.com/static-files/3446be5b-f608-4932-86c9-d9eff14ca2ac </w:t>
      </w:r>
      <w:r>
        <w:rPr>
          <w:rFonts w:ascii="Arial" w:cs="Arial" w:eastAsia="Arial" w:hAnsi="Arial"/>
          <w:sz w:val="18"/>
          <w:szCs w:val="18"/>
          <w:color w:val="4D4D4F"/>
        </w:rPr>
        <w:t>Under the Governance Guidelines, we expect directors to regularly</w:t>
      </w:r>
      <w:r>
        <w:rPr>
          <w:rFonts w:ascii="Arial" w:cs="Arial" w:eastAsia="Arial" w:hAnsi="Arial"/>
          <w:sz w:val="18"/>
          <w:szCs w:val="18"/>
          <w:i w:val="1"/>
          <w:iCs w:val="1"/>
          <w:color w:val="4D4D4F"/>
        </w:rPr>
        <w:t xml:space="preserve"> </w:t>
      </w:r>
      <w:r>
        <w:rPr>
          <w:rFonts w:ascii="Arial" w:cs="Arial" w:eastAsia="Arial" w:hAnsi="Arial"/>
          <w:sz w:val="18"/>
          <w:szCs w:val="18"/>
          <w:color w:val="4D4D4F"/>
        </w:rPr>
        <w:t>attend meetings of the board and of all committees on which they serve and to review the materials sent to them in advance of those meetings. We expect nominees for election at each annual meeting of stockholders to participate in the Annual Meeting. Our last annual meeting was held on June 14, 2018. We did not hold a stockholder meeting in 2017.</w:t>
      </w:r>
    </w:p>
    <w:p>
      <w:pPr>
        <w:spacing w:after="0" w:line="1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The board generally expects to hold four regular meetings per year and to meet on other occasions when circumstances require. Directors spend additional time preparing for board and committee meetings, and we may call upon directors for advice between meetings. We encourage our directors to attend director education programs. The board held seven meetings in 2018. No director attended less than 75% of the total number of board meetings during the director’s term.</w:t>
      </w:r>
    </w:p>
    <w:p>
      <w:pPr>
        <w:spacing w:after="0" w:line="16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4D4D4F"/>
        </w:rPr>
        <w:t>The Governance Guidelines provide that the board will meet in executive session at least twice a year without management in attendance. The Lead Director presides at each executive session.</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The board maintains an audit committee, a compensation committee and a nominating and governance committee. The board has adopted charters for each of the committees, and those charters are to be reviewed annually by the committees and the board. Our website provides access to:</w:t>
      </w:r>
    </w:p>
    <w:p>
      <w:pPr>
        <w:spacing w:after="0" w:line="67" w:lineRule="exact"/>
        <w:rPr>
          <w:sz w:val="20"/>
          <w:szCs w:val="20"/>
          <w:color w:val="auto"/>
        </w:rPr>
      </w:pPr>
    </w:p>
    <w:p>
      <w:pPr>
        <w:ind w:left="340" w:right="5020" w:hanging="332"/>
        <w:spacing w:after="0" w:line="344" w:lineRule="auto"/>
        <w:tabs>
          <w:tab w:leader="none" w:pos="340" w:val="left"/>
        </w:tabs>
        <w:numPr>
          <w:ilvl w:val="0"/>
          <w:numId w:val="23"/>
        </w:numPr>
        <w:rPr>
          <w:rFonts w:ascii="Arial" w:cs="Arial" w:eastAsia="Arial" w:hAnsi="Arial"/>
          <w:sz w:val="18"/>
          <w:szCs w:val="18"/>
          <w:color w:val="4D4D4F"/>
        </w:rPr>
      </w:pPr>
      <w:r>
        <w:rPr>
          <w:rFonts w:ascii="Arial" w:cs="Arial" w:eastAsia="Arial" w:hAnsi="Arial"/>
          <w:sz w:val="18"/>
          <w:szCs w:val="18"/>
          <w:color w:val="4D4D4F"/>
        </w:rPr>
        <w:t xml:space="preserve">the audit committee charter at: </w:t>
      </w:r>
      <w:r>
        <w:rPr>
          <w:rFonts w:ascii="Arial" w:cs="Arial" w:eastAsia="Arial" w:hAnsi="Arial"/>
          <w:sz w:val="18"/>
          <w:szCs w:val="18"/>
          <w:i w:val="1"/>
          <w:iCs w:val="1"/>
          <w:color w:val="000000"/>
        </w:rPr>
        <w:t>media.corporate-ir.net/media_files/IROL/25/254659/acm-ac-charter-final.pdf</w:t>
      </w:r>
      <w:r>
        <w:rPr>
          <w:rFonts w:ascii="Arial" w:cs="Arial" w:eastAsia="Arial" w:hAnsi="Arial"/>
          <w:sz w:val="18"/>
          <w:szCs w:val="18"/>
          <w:color w:val="4D4D4F"/>
        </w:rPr>
        <w:t>;</w:t>
      </w:r>
    </w:p>
    <w:p>
      <w:pPr>
        <w:ind w:left="340" w:right="4680" w:hanging="332"/>
        <w:spacing w:after="0" w:line="336" w:lineRule="auto"/>
        <w:tabs>
          <w:tab w:leader="none" w:pos="340" w:val="left"/>
        </w:tabs>
        <w:numPr>
          <w:ilvl w:val="0"/>
          <w:numId w:val="23"/>
        </w:numPr>
        <w:rPr>
          <w:rFonts w:ascii="Arial" w:cs="Arial" w:eastAsia="Arial" w:hAnsi="Arial"/>
          <w:sz w:val="18"/>
          <w:szCs w:val="18"/>
          <w:color w:val="4D4D4F"/>
        </w:rPr>
      </w:pPr>
      <w:r>
        <w:rPr>
          <w:rFonts w:ascii="Arial" w:cs="Arial" w:eastAsia="Arial" w:hAnsi="Arial"/>
          <w:sz w:val="18"/>
          <w:szCs w:val="18"/>
          <w:color w:val="4D4D4F"/>
        </w:rPr>
        <w:t xml:space="preserve">the compensation committee charter at: </w:t>
      </w:r>
      <w:r>
        <w:rPr>
          <w:rFonts w:ascii="Arial" w:cs="Arial" w:eastAsia="Arial" w:hAnsi="Arial"/>
          <w:sz w:val="18"/>
          <w:szCs w:val="18"/>
          <w:i w:val="1"/>
          <w:iCs w:val="1"/>
          <w:color w:val="000000"/>
        </w:rPr>
        <w:t>media.corporate-ir.net/media_files/IROL/25/254659/acm-cc-charter-final.pdf</w:t>
      </w:r>
      <w:r>
        <w:rPr>
          <w:rFonts w:ascii="Arial" w:cs="Arial" w:eastAsia="Arial" w:hAnsi="Arial"/>
          <w:sz w:val="18"/>
          <w:szCs w:val="18"/>
          <w:color w:val="4D4D4F"/>
        </w:rPr>
        <w:t>; and</w:t>
      </w:r>
    </w:p>
    <w:p>
      <w:pPr>
        <w:ind w:left="340" w:hanging="332"/>
        <w:spacing w:after="0"/>
        <w:tabs>
          <w:tab w:leader="none" w:pos="340" w:val="left"/>
        </w:tabs>
        <w:numPr>
          <w:ilvl w:val="0"/>
          <w:numId w:val="23"/>
        </w:numPr>
        <w:rPr>
          <w:rFonts w:ascii="Arial" w:cs="Arial" w:eastAsia="Arial" w:hAnsi="Arial"/>
          <w:sz w:val="18"/>
          <w:szCs w:val="18"/>
          <w:color w:val="4D4D4F"/>
        </w:rPr>
      </w:pPr>
      <w:r>
        <w:rPr>
          <w:rFonts w:ascii="Arial" w:cs="Arial" w:eastAsia="Arial" w:hAnsi="Arial"/>
          <w:sz w:val="18"/>
          <w:szCs w:val="18"/>
          <w:color w:val="4D4D4F"/>
        </w:rPr>
        <w:t>the nominating and governance committee charter at:</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media.corporate-ir.net/media_files/IROL/25/254659/acm-ngc-charter-final.pdf</w:t>
      </w:r>
      <w:r>
        <w:rPr>
          <w:rFonts w:ascii="Arial" w:cs="Arial" w:eastAsia="Arial" w:hAnsi="Arial"/>
          <w:sz w:val="18"/>
          <w:szCs w:val="18"/>
          <w:i w:val="1"/>
          <w:iCs w:val="1"/>
          <w:color w:val="4D4D4F"/>
        </w:rPr>
        <w: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4D4D4F"/>
        </w:rPr>
        <w:t>The committees have the functions and responsibilities described in the sections below.</w:t>
      </w:r>
    </w:p>
    <w:p>
      <w:pPr>
        <w:spacing w:after="0" w:line="18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So long as the outstanding shares of Class B common stock represent a majority of the combined voting power of Class A and Class B common stock voting together, all directors will be elected for annual terms and we will not have a classified board. If outstanding shares of Class B common stock represent less than a majority of the combined voting power of common stock at any time, we thereafter will have a classified board consisting of three classes of approximately equal size, each serving staggered three-year terms. Our directors would be allocated by the then-current board among the three classes.</w:t>
      </w:r>
    </w:p>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In November 2017, the board adopted Communications Policies pursuant to which our Chief Executive Officer, our Chief Financial Officer and their designees are the only individuals authorized to communicate on our behalf with the media, industry and trade organizations, market professionals and stockholders. The Communications Policies were designed to limit the persons whose statements trigger our public disclosure obligations under Regulation FD of the SEC. By limiting the number of spokespersons, the Communications Policies help ensure that all communications to members of the public are made by persons who are fully informed about both our company and the guidelines and risks applicable to external communications, and they reduce the risk of inconsistent statements to the public. We believe these precautions are particularly appropriate given our status as a newly public and our executives and directors relatively limited experience in speaking to the public on our behalf.</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Independence of Directors</w:t>
      </w:r>
    </w:p>
    <w:p>
      <w:pPr>
        <w:spacing w:after="0" w:line="19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4D4D4F"/>
        </w:rPr>
        <w:t>The board of directors must consist of a majority of independent directors not only under the requirements of Nasdaq but also under the Governance Guidelines.</w:t>
      </w:r>
    </w:p>
    <w:p>
      <w:pPr>
        <w:spacing w:after="0" w:line="17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Under Nasdaq rules, independent directors must comprise a majority of a listed company’s board within twelve months from the date of listing. In addition, Nasdaq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Securities Exchange Act, and compensation committee members must also satisfy additional independence criteria, including those set forth in Rule 10C-1 of the Securities Exchange Act. Under Nasdaq rules, a director will qualify as an “independent director” only if, in the opinion of that company’s board, that person does not have a relationship that would interfere with the exercise of independent judgment in carrying out the responsibilities of a director. In order to be considered independent for purposes of Rule 10A-3 under the Securities Exchange Act, a member of an audit committee of a listed company may not, other than in his or her capacity as a member of the audit committee, the board or any other board committee: (a) accept, directly or indirectly, any consulting, advisory or other compensatory fee from the listed company or any of its subsidiaries, other than compensation for board service; or (b) be an affiliated person of the listed company or any of its subsidiaries.</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In order to be considered independent for purposes of Rule 10C-1 under the Securities Exchange Act, each member of the compensation committee must be a member of the board of the listed company and must otherwise be independent. In determining independence requirements for members of compensation committees, the national securities exchanges and national securities associations are to consider relevant factors, including: (a) the source of compensation of a member of the board of a listed company, including any consulting, advisory or other compensatory fee paid by the listed company to such member; and (b) whether a member of the board of a listed company is affiliated with the listed company, a subsidiary of the listed company or an affiliate of a subsidiary of the listed company.</w:t>
      </w:r>
    </w:p>
    <w:p>
      <w:pPr>
        <w:spacing w:after="0" w:line="16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 xml:space="preserve">The board annually reviews the independence of all non-employee directors. In April 2018 the board established categorical standards consistent with the corporate governance standards of Nasdaq to assist the board in making determinations of the independence of board members. A copy of our Standards for Director Independence is posted on our website at </w:t>
      </w:r>
      <w:r>
        <w:rPr>
          <w:rFonts w:ascii="Arial" w:cs="Arial" w:eastAsia="Arial" w:hAnsi="Arial"/>
          <w:sz w:val="18"/>
          <w:szCs w:val="18"/>
          <w:i w:val="1"/>
          <w:iCs w:val="1"/>
          <w:color w:val="4D4D4F"/>
        </w:rPr>
        <w:t>http://ir.acmrcsh.com/static-files/4211086b-a968-414e-888d-007c1906489d</w:t>
      </w:r>
      <w:r>
        <w:rPr>
          <w:rFonts w:ascii="Arial" w:cs="Arial" w:eastAsia="Arial" w:hAnsi="Arial"/>
          <w:sz w:val="18"/>
          <w:szCs w:val="18"/>
          <w:color w:val="4D4D4F"/>
        </w:rPr>
        <w:t>. These categorical standards require that, to be independent, a director may not have a material relationship with</w:t>
      </w:r>
      <w:r>
        <w:rPr>
          <w:rFonts w:ascii="Arial" w:cs="Arial" w:eastAsia="Arial" w:hAnsi="Arial"/>
          <w:sz w:val="18"/>
          <w:szCs w:val="18"/>
          <w:i w:val="1"/>
          <w:iCs w:val="1"/>
          <w:color w:val="4D4D4F"/>
        </w:rPr>
        <w:t xml:space="preserve"> </w:t>
      </w:r>
      <w:r>
        <w:rPr>
          <w:rFonts w:ascii="Arial" w:cs="Arial" w:eastAsia="Arial" w:hAnsi="Arial"/>
          <w:sz w:val="18"/>
          <w:szCs w:val="18"/>
          <w:color w:val="4D4D4F"/>
        </w:rPr>
        <w:t>ACM. Even if a director meets all categorical standards for independence, the board reviews other relationships with ACM in order to conclude that each independent director has no material relationship with ACM either directly or indirectly.</w:t>
      </w:r>
    </w:p>
    <w:p>
      <w:pPr>
        <w:spacing w:after="0" w:line="17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Based upon information requested from and provided by each director concerning the director’s background, employment and affiliations, including family relationships, the board has determined that each of Haiping Dun, Tracy Liu, Yinan Xiang and Zhengfan Yang qualify as independent directors in accordance with the rules of Nasdaq and Rules 10C-1 and 10A-3 under the Securities Exchange Act. The board has also determined that Chenming Hu will qualify as an independent director in accordance with the rules of Nasdaq and Rules 10C-1 and 10A-3 under the Securities Exchange Act as of May 31, 2019. The independent members of the board will hold separate regularly scheduled executive session meetings at which only independent directors are present.</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Director Nomination Rights</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In connection with our sale and issuance of capital stock in 2017, we, and certain other stockholders, have entered into a voting agreement with Shanghai S&amp;T Venture Capital (Group) Co. Ltd., or SSTVC, and a nomination and voting agreement with Xinxin (Hongkong) Capital Co., Limited, or XinXin.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Pursuant to our voting agreement with SSTVC, SSTVC has the right to designate one individual for nomination to the board of directors. The rights and obligations of the parties under the voting agreement will be in effect as long as SSTVC continues to beneficially own all of the 1,666,170 shares of Class A common stock that have been issued to SSTVC. Yinan Xiang was initially designated by SSTVC and was appointed as a member of the board effective upon the completion of our initial public offering in November 2017. Ms. Xiang is the designee of SSTVC, and has been nominated by the board, for re-election at the Annual Meeting.</w:t>
      </w:r>
    </w:p>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Pursuant to our nomination and voting agreement with Xinxin, Xinxin has the right to designate one individual for nomination to the board. In addition, holders who will have 53.8% of the voting power of Class A and Class B common stock, voting together, as of the record date of the Annual Meeting, including David H. Wang, our Chair of the Board, Chief Executive Officer and President, and Haiping Dun, our Lead Director, have agreed to vote their shares of common stock for the election of the nominee designated by Xinxin. The rights and obligations of the parties under the nomination and voting agreement with Xinxin will be in effect as long as Xinxin and its affiliates continue to hold at least 625,000 shares of Class A common stock that have been issued to Xinxin. Zhengfan Yang was initially designated by XinXin and was appointed as a member of the board in January 2018. Mr. Yang is the designee of Xinxin, and has been nominated by the board, for re-election at the Annual Meeting.</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Code of Business Conduct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4D4D4F"/>
        </w:rPr>
        <w:t>We have a Code of Business Conduct applicable to all directors, officers and employees of ACM Research and its subsidiaries. We have</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4D4D4F"/>
        </w:rPr>
        <w:t xml:space="preserve">posted the Code of Business Conduct on our website at </w:t>
      </w:r>
      <w:r>
        <w:rPr>
          <w:rFonts w:ascii="Arial" w:cs="Arial" w:eastAsia="Arial" w:hAnsi="Arial"/>
          <w:sz w:val="18"/>
          <w:szCs w:val="18"/>
          <w:i w:val="1"/>
          <w:iCs w:val="1"/>
          <w:color w:val="4D4D4F"/>
        </w:rPr>
        <w:t>http://ir.acmrcsh.com/static-files/fdff1cd1-dfea-4a25-a8a6-ae2394fa5d53</w:t>
      </w:r>
      <w:r>
        <w:rPr>
          <w:rFonts w:ascii="Arial" w:cs="Arial" w:eastAsia="Arial" w:hAnsi="Arial"/>
          <w:sz w:val="18"/>
          <w:szCs w:val="18"/>
          <w:color w:val="4D4D4F"/>
        </w:rPr>
        <w:t>. We will post</w:t>
      </w:r>
    </w:p>
    <w:p>
      <w:pPr>
        <w:spacing w:after="0" w:line="21"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any amendments to the Code of Business Conduct on our website. In accordance with the requirements of the SEC and Nasdaq, we will also post waivers applicable to any of our officers or directors from provisions of the Code of Business Conduct on our website. We have not granted any such waivers to date.</w:t>
      </w:r>
    </w:p>
    <w:p>
      <w:pPr>
        <w:spacing w:after="0" w:line="67"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We have implemented whistleblower procedures, which establish format protocols for receiving and handling complaints from employees. Any concerns regarding accounting or auditing matters reported under these procedures are to be communicated promptly to the audit committee of the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Board Oversight of Risk</w:t>
      </w:r>
    </w:p>
    <w:p>
      <w:pPr>
        <w:spacing w:after="0" w:line="21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The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the board to understand our risk identification, risk management and risk mitigation strategies with respect to areas of potential material risk, including operations, finance, legal, regulatory, strategic and reputational risk.</w:t>
      </w:r>
    </w:p>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The audit committee of the board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governance committee of the board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4D4D4F"/>
        </w:rPr>
        <w:t>Matters of significant strategic risk are considered by the board as a whole.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Board Leadership Structure</w:t>
      </w:r>
    </w:p>
    <w:p>
      <w:pPr>
        <w:spacing w:after="0" w:line="19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The board of directors recognizes that it is important to determine an optimal board leadership structure to ensure the independent oversight of management as the company continues to grow. We do not have a policy on whether the offices of Chair of the Board and Chief Executive Officer should be separate and, if they are to be separate, whether the Chair of the Board should be selected from among the independent directors or should be an employee. Our board has determined that it is in our best interests to have both a Chair of the Board and a Lead Director. Our board has appointed David H. Wang, our Chief Executive Officer and President, to serve as Chair of the Board and Haiping Dun, an independent director, to serve as Lead Director. Among other things, the Chair of the Board shall prepare agendas for, and preside over, meetings of the board and the Lead Director shall assist the Chair of the Board in preparing agendas and shall serve as the principal liaison between the Chair of the Board and the other directors. Our board believes that this is the appropriate leadership structure for us at this time and will allow the board to fulfill its role with appropriate independence.</w:t>
      </w:r>
    </w:p>
    <w:p>
      <w:pPr>
        <w:spacing w:after="0" w:line="17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4D4D4F"/>
        </w:rPr>
        <w:t>The board has concluded that our current leadership structure is appropriate at this time. However, the board will continue to periodically review our leadership structure and may make such changes in the future as it deems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Audit Committee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4D4D4F"/>
        </w:rPr>
        <w:t>The principal responsibilities of the audit committee include:</w:t>
      </w:r>
    </w:p>
    <w:p>
      <w:pPr>
        <w:spacing w:after="0" w:line="171"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4D4D4F"/>
        </w:rPr>
      </w:pPr>
      <w:r>
        <w:rPr>
          <w:rFonts w:ascii="Arial" w:cs="Arial" w:eastAsia="Arial" w:hAnsi="Arial"/>
          <w:sz w:val="18"/>
          <w:szCs w:val="18"/>
          <w:color w:val="4D4D4F"/>
        </w:rPr>
        <w:t>appointing, approving the compensation of, and assessing the independence of our registered public accounting firm;</w:t>
      </w:r>
    </w:p>
    <w:p>
      <w:pPr>
        <w:spacing w:after="0" w:line="89" w:lineRule="exact"/>
        <w:rPr>
          <w:rFonts w:ascii="Arial" w:cs="Arial" w:eastAsia="Arial" w:hAnsi="Arial"/>
          <w:sz w:val="18"/>
          <w:szCs w:val="18"/>
          <w:color w:val="4D4D4F"/>
        </w:rPr>
      </w:pPr>
    </w:p>
    <w:p>
      <w:pPr>
        <w:ind w:left="340" w:hanging="332"/>
        <w:spacing w:after="0"/>
        <w:tabs>
          <w:tab w:leader="none" w:pos="340" w:val="left"/>
        </w:tabs>
        <w:numPr>
          <w:ilvl w:val="0"/>
          <w:numId w:val="24"/>
        </w:numPr>
        <w:rPr>
          <w:rFonts w:ascii="Arial" w:cs="Arial" w:eastAsia="Arial" w:hAnsi="Arial"/>
          <w:sz w:val="18"/>
          <w:szCs w:val="18"/>
          <w:color w:val="4D4D4F"/>
        </w:rPr>
      </w:pPr>
      <w:r>
        <w:rPr>
          <w:rFonts w:ascii="Arial" w:cs="Arial" w:eastAsia="Arial" w:hAnsi="Arial"/>
          <w:sz w:val="18"/>
          <w:szCs w:val="18"/>
          <w:color w:val="4D4D4F"/>
        </w:rPr>
        <w:t>overseeing the work of our registered public accounting firm, including through the receipt and consideration of reports from such firm;</w:t>
      </w:r>
    </w:p>
    <w:p>
      <w:pPr>
        <w:spacing w:after="0" w:line="89" w:lineRule="exact"/>
        <w:rPr>
          <w:rFonts w:ascii="Arial" w:cs="Arial" w:eastAsia="Arial" w:hAnsi="Arial"/>
          <w:sz w:val="18"/>
          <w:szCs w:val="18"/>
          <w:color w:val="4D4D4F"/>
        </w:rPr>
      </w:pPr>
    </w:p>
    <w:p>
      <w:pPr>
        <w:ind w:left="340" w:hanging="332"/>
        <w:spacing w:after="0" w:line="245" w:lineRule="auto"/>
        <w:tabs>
          <w:tab w:leader="none" w:pos="340" w:val="left"/>
        </w:tabs>
        <w:numPr>
          <w:ilvl w:val="0"/>
          <w:numId w:val="24"/>
        </w:numPr>
        <w:rPr>
          <w:rFonts w:ascii="Arial" w:cs="Arial" w:eastAsia="Arial" w:hAnsi="Arial"/>
          <w:sz w:val="18"/>
          <w:szCs w:val="18"/>
          <w:color w:val="4D4D4F"/>
        </w:rPr>
      </w:pPr>
      <w:r>
        <w:rPr>
          <w:rFonts w:ascii="Arial" w:cs="Arial" w:eastAsia="Arial" w:hAnsi="Arial"/>
          <w:sz w:val="18"/>
          <w:szCs w:val="18"/>
          <w:color w:val="4D4D4F"/>
        </w:rPr>
        <w:t>reviewing and discussing with management and the registered public accounting firm our annual and quarterly financial statements and related disclosures;</w:t>
      </w:r>
    </w:p>
    <w:p>
      <w:pPr>
        <w:spacing w:after="0" w:line="76" w:lineRule="exact"/>
        <w:rPr>
          <w:rFonts w:ascii="Arial" w:cs="Arial" w:eastAsia="Arial" w:hAnsi="Arial"/>
          <w:sz w:val="18"/>
          <w:szCs w:val="18"/>
          <w:color w:val="4D4D4F"/>
        </w:rPr>
      </w:pPr>
    </w:p>
    <w:p>
      <w:pPr>
        <w:ind w:left="340" w:hanging="332"/>
        <w:spacing w:after="0"/>
        <w:tabs>
          <w:tab w:leader="none" w:pos="340" w:val="left"/>
        </w:tabs>
        <w:numPr>
          <w:ilvl w:val="0"/>
          <w:numId w:val="24"/>
        </w:numPr>
        <w:rPr>
          <w:rFonts w:ascii="Arial" w:cs="Arial" w:eastAsia="Arial" w:hAnsi="Arial"/>
          <w:sz w:val="18"/>
          <w:szCs w:val="18"/>
          <w:color w:val="4D4D4F"/>
        </w:rPr>
      </w:pPr>
      <w:r>
        <w:rPr>
          <w:rFonts w:ascii="Arial" w:cs="Arial" w:eastAsia="Arial" w:hAnsi="Arial"/>
          <w:sz w:val="18"/>
          <w:szCs w:val="18"/>
          <w:color w:val="4D4D4F"/>
        </w:rPr>
        <w:t>monitoring our internal control over financial reporting and our disclosure controls and procedures;</w:t>
      </w:r>
    </w:p>
    <w:p>
      <w:pPr>
        <w:spacing w:after="0" w:line="89" w:lineRule="exact"/>
        <w:rPr>
          <w:rFonts w:ascii="Arial" w:cs="Arial" w:eastAsia="Arial" w:hAnsi="Arial"/>
          <w:sz w:val="18"/>
          <w:szCs w:val="18"/>
          <w:color w:val="4D4D4F"/>
        </w:rPr>
      </w:pPr>
    </w:p>
    <w:p>
      <w:pPr>
        <w:ind w:left="340" w:hanging="332"/>
        <w:spacing w:after="0"/>
        <w:tabs>
          <w:tab w:leader="none" w:pos="340" w:val="left"/>
        </w:tabs>
        <w:numPr>
          <w:ilvl w:val="0"/>
          <w:numId w:val="24"/>
        </w:numPr>
        <w:rPr>
          <w:rFonts w:ascii="Arial" w:cs="Arial" w:eastAsia="Arial" w:hAnsi="Arial"/>
          <w:sz w:val="18"/>
          <w:szCs w:val="18"/>
          <w:color w:val="4D4D4F"/>
        </w:rPr>
      </w:pPr>
      <w:r>
        <w:rPr>
          <w:rFonts w:ascii="Arial" w:cs="Arial" w:eastAsia="Arial" w:hAnsi="Arial"/>
          <w:sz w:val="18"/>
          <w:szCs w:val="18"/>
          <w:color w:val="4D4D4F"/>
        </w:rPr>
        <w:t>meeting independently with our registered public accounting firm and management;</w:t>
      </w:r>
    </w:p>
    <w:p>
      <w:pPr>
        <w:spacing w:after="0" w:line="89" w:lineRule="exact"/>
        <w:rPr>
          <w:rFonts w:ascii="Arial" w:cs="Arial" w:eastAsia="Arial" w:hAnsi="Arial"/>
          <w:sz w:val="18"/>
          <w:szCs w:val="18"/>
          <w:color w:val="4D4D4F"/>
        </w:rPr>
      </w:pPr>
    </w:p>
    <w:p>
      <w:pPr>
        <w:ind w:left="340" w:hanging="332"/>
        <w:spacing w:after="0"/>
        <w:tabs>
          <w:tab w:leader="none" w:pos="340" w:val="left"/>
        </w:tabs>
        <w:numPr>
          <w:ilvl w:val="0"/>
          <w:numId w:val="24"/>
        </w:numPr>
        <w:rPr>
          <w:rFonts w:ascii="Arial" w:cs="Arial" w:eastAsia="Arial" w:hAnsi="Arial"/>
          <w:sz w:val="18"/>
          <w:szCs w:val="18"/>
          <w:color w:val="4D4D4F"/>
        </w:rPr>
      </w:pPr>
      <w:r>
        <w:rPr>
          <w:rFonts w:ascii="Arial" w:cs="Arial" w:eastAsia="Arial" w:hAnsi="Arial"/>
          <w:sz w:val="18"/>
          <w:szCs w:val="18"/>
          <w:color w:val="4D4D4F"/>
        </w:rPr>
        <w:t>furnishing the audit committee report required by SEC rules;</w:t>
      </w:r>
    </w:p>
    <w:p>
      <w:pPr>
        <w:spacing w:after="0" w:line="89" w:lineRule="exact"/>
        <w:rPr>
          <w:rFonts w:ascii="Arial" w:cs="Arial" w:eastAsia="Arial" w:hAnsi="Arial"/>
          <w:sz w:val="18"/>
          <w:szCs w:val="18"/>
          <w:color w:val="4D4D4F"/>
        </w:rPr>
      </w:pPr>
    </w:p>
    <w:p>
      <w:pPr>
        <w:ind w:left="340" w:hanging="332"/>
        <w:spacing w:after="0"/>
        <w:tabs>
          <w:tab w:leader="none" w:pos="340" w:val="left"/>
        </w:tabs>
        <w:numPr>
          <w:ilvl w:val="0"/>
          <w:numId w:val="24"/>
        </w:numPr>
        <w:rPr>
          <w:rFonts w:ascii="Arial" w:cs="Arial" w:eastAsia="Arial" w:hAnsi="Arial"/>
          <w:sz w:val="18"/>
          <w:szCs w:val="18"/>
          <w:color w:val="4D4D4F"/>
        </w:rPr>
      </w:pPr>
      <w:r>
        <w:rPr>
          <w:rFonts w:ascii="Arial" w:cs="Arial" w:eastAsia="Arial" w:hAnsi="Arial"/>
          <w:sz w:val="18"/>
          <w:szCs w:val="18"/>
          <w:color w:val="4D4D4F"/>
        </w:rPr>
        <w:t>reviewing and reassessing the adequacy of our conflict of interest policy; and</w:t>
      </w:r>
    </w:p>
    <w:p>
      <w:pPr>
        <w:spacing w:after="0" w:line="89" w:lineRule="exact"/>
        <w:rPr>
          <w:rFonts w:ascii="Arial" w:cs="Arial" w:eastAsia="Arial" w:hAnsi="Arial"/>
          <w:sz w:val="18"/>
          <w:szCs w:val="18"/>
          <w:color w:val="4D4D4F"/>
        </w:rPr>
      </w:pPr>
    </w:p>
    <w:p>
      <w:pPr>
        <w:ind w:left="340" w:hanging="332"/>
        <w:spacing w:after="0"/>
        <w:tabs>
          <w:tab w:leader="none" w:pos="340" w:val="left"/>
        </w:tabs>
        <w:numPr>
          <w:ilvl w:val="0"/>
          <w:numId w:val="24"/>
        </w:numPr>
        <w:rPr>
          <w:rFonts w:ascii="Arial" w:cs="Arial" w:eastAsia="Arial" w:hAnsi="Arial"/>
          <w:sz w:val="18"/>
          <w:szCs w:val="18"/>
          <w:color w:val="4D4D4F"/>
        </w:rPr>
      </w:pPr>
      <w:r>
        <w:rPr>
          <w:rFonts w:ascii="Arial" w:cs="Arial" w:eastAsia="Arial" w:hAnsi="Arial"/>
          <w:sz w:val="18"/>
          <w:szCs w:val="18"/>
          <w:color w:val="4D4D4F"/>
        </w:rPr>
        <w:t>overseeing our risk assessment and risk management policies.</w:t>
      </w:r>
    </w:p>
    <w:p>
      <w:pPr>
        <w:spacing w:after="0" w:line="33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4D4D4F"/>
        </w:rPr>
        <w:t>Our independent auditor is ultimately accountable to the audit committee. The audit committee has the ultimate authority and responsibility to select, evaluate, approve terms of retention and compensation of, and, where appropriate, replace the independent auditor.</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The current members of the audit committee are Tracy Liu, who serves as chair, Haiping Dun and Yinan Xiang. All three members are standing for re-election at the Annual Meeting. The board has determined that each of the audit committee members is financially literate and is a “non-employee director” as defined in Rule 16b-3 promulgated under the Securities Exchange Act. The board also determined that each of the current members of the audit committee is independent, as defined in the listing standards of Nasdaq, and is an “outside director” as that term is defined in Internal Revenue Code Section 162(m). The board has also determined that Ms. Liu is an audit committee financial expert in accordance with the standards of the SEC.</w:t>
      </w:r>
    </w:p>
    <w:p>
      <w:pPr>
        <w:spacing w:after="0" w:line="23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4D4D4F"/>
        </w:rPr>
        <w:t>The audit committee held four meetings in 2018. No member attended less than 75% of the total number of audit committee meetings held while the member served on the audit committee.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Nominating and Governance Committee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4D4D4F"/>
        </w:rPr>
        <w:t xml:space="preserve">The principal responsibilities of the </w:t>
      </w:r>
      <w:r>
        <w:rPr>
          <w:rFonts w:ascii="Arial" w:cs="Arial" w:eastAsia="Arial" w:hAnsi="Arial"/>
          <w:sz w:val="18"/>
          <w:szCs w:val="18"/>
          <w:color w:val="595959"/>
        </w:rPr>
        <w:t>nominating and governance committee</w:t>
      </w:r>
      <w:r>
        <w:rPr>
          <w:rFonts w:ascii="Arial" w:cs="Arial" w:eastAsia="Arial" w:hAnsi="Arial"/>
          <w:sz w:val="18"/>
          <w:szCs w:val="18"/>
          <w:color w:val="4D4D4F"/>
        </w:rPr>
        <w:t xml:space="preserve"> include:</w:t>
      </w:r>
    </w:p>
    <w:p>
      <w:pPr>
        <w:spacing w:after="0" w:line="184" w:lineRule="exact"/>
        <w:rPr>
          <w:sz w:val="20"/>
          <w:szCs w:val="20"/>
          <w:color w:val="auto"/>
        </w:rPr>
      </w:pPr>
    </w:p>
    <w:p>
      <w:pPr>
        <w:ind w:left="340" w:right="20" w:hanging="332"/>
        <w:spacing w:after="0" w:line="245" w:lineRule="auto"/>
        <w:tabs>
          <w:tab w:leader="none" w:pos="340" w:val="left"/>
        </w:tabs>
        <w:numPr>
          <w:ilvl w:val="0"/>
          <w:numId w:val="25"/>
        </w:numPr>
        <w:rPr>
          <w:rFonts w:ascii="Arial" w:cs="Arial" w:eastAsia="Arial" w:hAnsi="Arial"/>
          <w:sz w:val="18"/>
          <w:szCs w:val="18"/>
          <w:color w:val="4D4D4F"/>
        </w:rPr>
      </w:pPr>
      <w:r>
        <w:rPr>
          <w:rFonts w:ascii="Arial" w:cs="Arial" w:eastAsia="Arial" w:hAnsi="Arial"/>
          <w:sz w:val="18"/>
          <w:szCs w:val="18"/>
          <w:color w:val="4D4D4F"/>
        </w:rPr>
        <w:t>identifying, evaluating, and making recommendations to the board of directors and our stockholders concerning nominees for election to the board, to each of the board’s committees and as committee chairs;</w:t>
      </w:r>
    </w:p>
    <w:p>
      <w:pPr>
        <w:spacing w:after="0" w:line="63" w:lineRule="exact"/>
        <w:rPr>
          <w:rFonts w:ascii="Arial" w:cs="Arial" w:eastAsia="Arial" w:hAnsi="Arial"/>
          <w:sz w:val="18"/>
          <w:szCs w:val="18"/>
          <w:color w:val="4D4D4F"/>
        </w:rPr>
      </w:pPr>
    </w:p>
    <w:p>
      <w:pPr>
        <w:ind w:left="340" w:hanging="332"/>
        <w:spacing w:after="0"/>
        <w:tabs>
          <w:tab w:leader="none" w:pos="340" w:val="left"/>
        </w:tabs>
        <w:numPr>
          <w:ilvl w:val="0"/>
          <w:numId w:val="25"/>
        </w:numPr>
        <w:rPr>
          <w:rFonts w:ascii="Arial" w:cs="Arial" w:eastAsia="Arial" w:hAnsi="Arial"/>
          <w:sz w:val="18"/>
          <w:szCs w:val="18"/>
          <w:color w:val="4D4D4F"/>
        </w:rPr>
      </w:pPr>
      <w:r>
        <w:rPr>
          <w:rFonts w:ascii="Arial" w:cs="Arial" w:eastAsia="Arial" w:hAnsi="Arial"/>
          <w:sz w:val="18"/>
          <w:szCs w:val="18"/>
          <w:color w:val="4D4D4F"/>
        </w:rPr>
        <w:t>annually reviewing the performance and effectiveness of the board and developing and overseeing a performance evaluation process;</w:t>
      </w:r>
    </w:p>
    <w:p>
      <w:pPr>
        <w:spacing w:after="0" w:line="89" w:lineRule="exact"/>
        <w:rPr>
          <w:rFonts w:ascii="Arial" w:cs="Arial" w:eastAsia="Arial" w:hAnsi="Arial"/>
          <w:sz w:val="18"/>
          <w:szCs w:val="18"/>
          <w:color w:val="4D4D4F"/>
        </w:rPr>
      </w:pPr>
    </w:p>
    <w:p>
      <w:pPr>
        <w:ind w:left="340" w:hanging="332"/>
        <w:spacing w:after="0" w:line="245" w:lineRule="auto"/>
        <w:tabs>
          <w:tab w:leader="none" w:pos="340" w:val="left"/>
        </w:tabs>
        <w:numPr>
          <w:ilvl w:val="0"/>
          <w:numId w:val="25"/>
        </w:numPr>
        <w:rPr>
          <w:rFonts w:ascii="Arial" w:cs="Arial" w:eastAsia="Arial" w:hAnsi="Arial"/>
          <w:sz w:val="18"/>
          <w:szCs w:val="18"/>
          <w:color w:val="4D4D4F"/>
        </w:rPr>
      </w:pPr>
      <w:r>
        <w:rPr>
          <w:rFonts w:ascii="Arial" w:cs="Arial" w:eastAsia="Arial" w:hAnsi="Arial"/>
          <w:sz w:val="18"/>
          <w:szCs w:val="18"/>
          <w:color w:val="4D4D4F"/>
        </w:rPr>
        <w:t>annually evaluating the performance of management, the board and each board committee against their duties and responsibilities relating to corporate governance;</w:t>
      </w:r>
    </w:p>
    <w:p>
      <w:pPr>
        <w:spacing w:after="0" w:line="76" w:lineRule="exact"/>
        <w:rPr>
          <w:rFonts w:ascii="Arial" w:cs="Arial" w:eastAsia="Arial" w:hAnsi="Arial"/>
          <w:sz w:val="18"/>
          <w:szCs w:val="18"/>
          <w:color w:val="4D4D4F"/>
        </w:rPr>
      </w:pPr>
    </w:p>
    <w:p>
      <w:pPr>
        <w:ind w:left="340" w:hanging="332"/>
        <w:spacing w:after="0"/>
        <w:tabs>
          <w:tab w:leader="none" w:pos="340" w:val="left"/>
        </w:tabs>
        <w:numPr>
          <w:ilvl w:val="0"/>
          <w:numId w:val="25"/>
        </w:numPr>
        <w:rPr>
          <w:rFonts w:ascii="Arial" w:cs="Arial" w:eastAsia="Arial" w:hAnsi="Arial"/>
          <w:sz w:val="18"/>
          <w:szCs w:val="18"/>
          <w:color w:val="4D4D4F"/>
        </w:rPr>
      </w:pPr>
      <w:r>
        <w:rPr>
          <w:rFonts w:ascii="Arial" w:cs="Arial" w:eastAsia="Arial" w:hAnsi="Arial"/>
          <w:sz w:val="18"/>
          <w:szCs w:val="18"/>
          <w:color w:val="4D4D4F"/>
        </w:rPr>
        <w:t>annually evaluating adequacy of our corporate governance structure, policies and procedures; and</w:t>
      </w:r>
    </w:p>
    <w:p>
      <w:pPr>
        <w:spacing w:after="0" w:line="76" w:lineRule="exact"/>
        <w:rPr>
          <w:rFonts w:ascii="Arial" w:cs="Arial" w:eastAsia="Arial" w:hAnsi="Arial"/>
          <w:sz w:val="18"/>
          <w:szCs w:val="18"/>
          <w:color w:val="4D4D4F"/>
        </w:rPr>
      </w:pPr>
    </w:p>
    <w:p>
      <w:pPr>
        <w:ind w:left="340" w:hanging="332"/>
        <w:spacing w:after="0"/>
        <w:tabs>
          <w:tab w:leader="none" w:pos="340" w:val="left"/>
        </w:tabs>
        <w:numPr>
          <w:ilvl w:val="0"/>
          <w:numId w:val="25"/>
        </w:numPr>
        <w:rPr>
          <w:rFonts w:ascii="Arial" w:cs="Arial" w:eastAsia="Arial" w:hAnsi="Arial"/>
          <w:sz w:val="18"/>
          <w:szCs w:val="18"/>
          <w:color w:val="4D4D4F"/>
        </w:rPr>
      </w:pPr>
      <w:r>
        <w:rPr>
          <w:rFonts w:ascii="Arial" w:cs="Arial" w:eastAsia="Arial" w:hAnsi="Arial"/>
          <w:sz w:val="18"/>
          <w:szCs w:val="18"/>
          <w:color w:val="4D4D4F"/>
        </w:rPr>
        <w:t>providing reports to the board regarding the committee’s nominations for election to the board and its committees.</w:t>
      </w:r>
    </w:p>
    <w:p>
      <w:pPr>
        <w:spacing w:after="0" w:line="265"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4D4D4F"/>
        </w:rPr>
        <w:t xml:space="preserve">The current members of the </w:t>
      </w:r>
      <w:r>
        <w:rPr>
          <w:rFonts w:ascii="Arial" w:cs="Arial" w:eastAsia="Arial" w:hAnsi="Arial"/>
          <w:sz w:val="18"/>
          <w:szCs w:val="18"/>
          <w:color w:val="595959"/>
        </w:rPr>
        <w:t>nominating and governance committee</w:t>
      </w:r>
      <w:r>
        <w:rPr>
          <w:rFonts w:ascii="Arial" w:cs="Arial" w:eastAsia="Arial" w:hAnsi="Arial"/>
          <w:sz w:val="18"/>
          <w:szCs w:val="18"/>
          <w:color w:val="4D4D4F"/>
        </w:rPr>
        <w:t xml:space="preserve"> are Chenming Hu, who serves as chair, Tracy Liu and Zhengfan Yang. All three members are standing for re-election at the Annual Meeting. The board has determined that each of Ms. Liu and Mr. Yang is independent, as defined in the listing standards of Nasdaq.</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The board has determined that Dr. Hu is not independent under the requirements contemplated by the Securities Exchange Act or the listing standards of Nasdaq. See “Certain Relationships and Related-Person Transactions—Advisory Board Agreement.” In accordance with NASDAQ Listing Rule IM-5605-6 and our nominating and governance committee charter, Dr. Hu continued to serve on the nominating and governance committee despite his status as a non-independent director as the board determined that, due to exceptional and limited circumstances, Dr. Hu’s membership on the committee is required by the best interests of ACM and its stockholders. The board believes that relying on these provisions has not and will not materially adversely affect the ability of the nominating and governance committee to act independently, to perform its duties, and to fulfill its obligations to ACM and its stockholders. Additionally, the board has determined that Dr. Hu will qualify as independent, as defined in the listing standards of Nasdaq, as of May 31, 2019.</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 xml:space="preserve">The </w:t>
      </w:r>
      <w:r>
        <w:rPr>
          <w:rFonts w:ascii="Arial" w:cs="Arial" w:eastAsia="Arial" w:hAnsi="Arial"/>
          <w:sz w:val="18"/>
          <w:szCs w:val="18"/>
          <w:color w:val="595959"/>
        </w:rPr>
        <w:t>nominating and governance committee</w:t>
      </w:r>
      <w:r>
        <w:rPr>
          <w:rFonts w:ascii="Arial" w:cs="Arial" w:eastAsia="Arial" w:hAnsi="Arial"/>
          <w:sz w:val="18"/>
          <w:szCs w:val="18"/>
          <w:color w:val="4D4D4F"/>
        </w:rPr>
        <w:t xml:space="preserve"> has the sole authority to retain, oversee and terminate any consulting or search firm to be used to identify director candidates or assist in evaluating director compensation and to approve any such firm’s fees and retention terms. The nominating and governance committee held four meetings in 2018. No member attended less than 75% of the total number of nominating and governance committee meetings held while the member served on the nominating and governance committee.</w:t>
      </w:r>
    </w:p>
    <w:p>
      <w:pPr>
        <w:spacing w:after="0" w:line="16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4D4D4F"/>
        </w:rPr>
        <w:t>The nominating and governance committee will consider director nominees recommended by our stockholders in accordance with our Policy and Procedure for Stockholder Nominations to the Board adopted by the nominating and governance committee and approved by the board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4D4D4F"/>
        </w:rPr>
        <w:t xml:space="preserve">April  2018,  a  copy  of  which  is  posted  on  our  website  at  </w:t>
      </w:r>
      <w:r>
        <w:rPr>
          <w:rFonts w:ascii="Arial" w:cs="Arial" w:eastAsia="Arial" w:hAnsi="Arial"/>
          <w:sz w:val="18"/>
          <w:szCs w:val="18"/>
          <w:i w:val="1"/>
          <w:iCs w:val="1"/>
          <w:color w:val="4D4D4F"/>
        </w:rPr>
        <w:t>http://ir.acmrcsh.com/static-files/01b22d4f-d523-4d9e-a1ac-56030666adad</w:t>
      </w:r>
      <w:r>
        <w:rPr>
          <w:rFonts w:ascii="Arial" w:cs="Arial" w:eastAsia="Arial" w:hAnsi="Arial"/>
          <w:sz w:val="18"/>
          <w:szCs w:val="18"/>
          <w:color w:val="4D4D4F"/>
        </w:rPr>
        <w:t>.</w:t>
      </w:r>
    </w:p>
    <w:p>
      <w:pPr>
        <w:spacing w:after="0" w:line="2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Recommendations should be submitted to our Corporate Secretary in writing at ACM Research, Inc., 42307 Osgood Road, Suite I, Fremont, California 94539, along with additional required information about the nominee and the stockholder making the recommendation. Information on qualifications for nominations to the board and procedures for stockholder nominations to the board is included below under “Proposal 1. Election of Directors—Director Qualifications” and “—Identifying and Evaluating Nominees for Directors.”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Compensation Committee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4D4D4F"/>
        </w:rPr>
        <w:t>The principal responsibilities of the compensation committee include:</w:t>
      </w:r>
    </w:p>
    <w:p>
      <w:pPr>
        <w:spacing w:after="0" w:line="76" w:lineRule="exact"/>
        <w:rPr>
          <w:sz w:val="20"/>
          <w:szCs w:val="20"/>
          <w:color w:val="auto"/>
        </w:rPr>
      </w:pPr>
    </w:p>
    <w:p>
      <w:pPr>
        <w:ind w:left="340" w:right="20" w:hanging="332"/>
        <w:spacing w:after="0" w:line="245" w:lineRule="auto"/>
        <w:tabs>
          <w:tab w:leader="none" w:pos="340" w:val="left"/>
        </w:tabs>
        <w:numPr>
          <w:ilvl w:val="0"/>
          <w:numId w:val="26"/>
        </w:numPr>
        <w:rPr>
          <w:rFonts w:ascii="Arial" w:cs="Arial" w:eastAsia="Arial" w:hAnsi="Arial"/>
          <w:sz w:val="18"/>
          <w:szCs w:val="18"/>
          <w:color w:val="4D4D4F"/>
        </w:rPr>
      </w:pPr>
      <w:r>
        <w:rPr>
          <w:rFonts w:ascii="Arial" w:cs="Arial" w:eastAsia="Arial" w:hAnsi="Arial"/>
          <w:sz w:val="18"/>
          <w:szCs w:val="18"/>
          <w:color w:val="4D4D4F"/>
        </w:rPr>
        <w:t>evaluating the performance of our Chief Executive Officer and determining the Chief Executive Officer’s salary and contingent compensation based on his or her performance and other relevant criteria;</w:t>
      </w:r>
    </w:p>
    <w:p>
      <w:pPr>
        <w:spacing w:after="0" w:line="76" w:lineRule="exact"/>
        <w:rPr>
          <w:rFonts w:ascii="Arial" w:cs="Arial" w:eastAsia="Arial" w:hAnsi="Arial"/>
          <w:sz w:val="18"/>
          <w:szCs w:val="18"/>
          <w:color w:val="4D4D4F"/>
        </w:rPr>
      </w:pPr>
    </w:p>
    <w:p>
      <w:pPr>
        <w:ind w:left="340" w:hanging="332"/>
        <w:spacing w:after="0"/>
        <w:tabs>
          <w:tab w:leader="none" w:pos="340" w:val="left"/>
        </w:tabs>
        <w:numPr>
          <w:ilvl w:val="0"/>
          <w:numId w:val="26"/>
        </w:numPr>
        <w:rPr>
          <w:rFonts w:ascii="Arial" w:cs="Arial" w:eastAsia="Arial" w:hAnsi="Arial"/>
          <w:sz w:val="18"/>
          <w:szCs w:val="18"/>
          <w:color w:val="4D4D4F"/>
        </w:rPr>
      </w:pPr>
      <w:r>
        <w:rPr>
          <w:rFonts w:ascii="Arial" w:cs="Arial" w:eastAsia="Arial" w:hAnsi="Arial"/>
          <w:sz w:val="18"/>
          <w:szCs w:val="18"/>
          <w:color w:val="4D4D4F"/>
        </w:rPr>
        <w:t>identifying the corporate and individual objectives governing the Chief Executive Officer’s compensation;</w:t>
      </w:r>
    </w:p>
    <w:p>
      <w:pPr>
        <w:spacing w:after="0" w:line="89" w:lineRule="exact"/>
        <w:rPr>
          <w:rFonts w:ascii="Arial" w:cs="Arial" w:eastAsia="Arial" w:hAnsi="Arial"/>
          <w:sz w:val="18"/>
          <w:szCs w:val="18"/>
          <w:color w:val="4D4D4F"/>
        </w:rPr>
      </w:pPr>
    </w:p>
    <w:p>
      <w:pPr>
        <w:ind w:left="340" w:hanging="332"/>
        <w:spacing w:after="0"/>
        <w:tabs>
          <w:tab w:leader="none" w:pos="340" w:val="left"/>
        </w:tabs>
        <w:numPr>
          <w:ilvl w:val="0"/>
          <w:numId w:val="26"/>
        </w:numPr>
        <w:rPr>
          <w:rFonts w:ascii="Arial" w:cs="Arial" w:eastAsia="Arial" w:hAnsi="Arial"/>
          <w:sz w:val="18"/>
          <w:szCs w:val="18"/>
          <w:color w:val="4D4D4F"/>
        </w:rPr>
      </w:pPr>
      <w:r>
        <w:rPr>
          <w:rFonts w:ascii="Arial" w:cs="Arial" w:eastAsia="Arial" w:hAnsi="Arial"/>
          <w:sz w:val="18"/>
          <w:szCs w:val="18"/>
          <w:color w:val="4D4D4F"/>
        </w:rPr>
        <w:t>approving the compensation of our other executive officers;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66"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4D4D4F"/>
        </w:rPr>
      </w:pPr>
      <w:r>
        <w:rPr>
          <w:rFonts w:ascii="Arial" w:cs="Arial" w:eastAsia="Arial" w:hAnsi="Arial"/>
          <w:sz w:val="18"/>
          <w:szCs w:val="18"/>
          <w:color w:val="4D4D4F"/>
        </w:rPr>
        <w:t>making recommendations to the board with respect to director compensation;</w:t>
      </w:r>
    </w:p>
    <w:p>
      <w:pPr>
        <w:spacing w:after="0" w:line="89" w:lineRule="exact"/>
        <w:rPr>
          <w:rFonts w:ascii="Arial" w:cs="Arial" w:eastAsia="Arial" w:hAnsi="Arial"/>
          <w:sz w:val="18"/>
          <w:szCs w:val="18"/>
          <w:color w:val="4D4D4F"/>
        </w:rPr>
      </w:pPr>
    </w:p>
    <w:p>
      <w:pPr>
        <w:ind w:left="340" w:hanging="332"/>
        <w:spacing w:after="0"/>
        <w:tabs>
          <w:tab w:leader="none" w:pos="340" w:val="left"/>
        </w:tabs>
        <w:numPr>
          <w:ilvl w:val="0"/>
          <w:numId w:val="27"/>
        </w:numPr>
        <w:rPr>
          <w:rFonts w:ascii="Arial" w:cs="Arial" w:eastAsia="Arial" w:hAnsi="Arial"/>
          <w:sz w:val="18"/>
          <w:szCs w:val="18"/>
          <w:color w:val="4D4D4F"/>
        </w:rPr>
      </w:pPr>
      <w:r>
        <w:rPr>
          <w:rFonts w:ascii="Arial" w:cs="Arial" w:eastAsia="Arial" w:hAnsi="Arial"/>
          <w:sz w:val="18"/>
          <w:szCs w:val="18"/>
          <w:color w:val="4D4D4F"/>
        </w:rPr>
        <w:t>reviewing and approving the terms of certain material agreements;</w:t>
      </w:r>
    </w:p>
    <w:p>
      <w:pPr>
        <w:spacing w:after="0" w:line="76" w:lineRule="exact"/>
        <w:rPr>
          <w:rFonts w:ascii="Arial" w:cs="Arial" w:eastAsia="Arial" w:hAnsi="Arial"/>
          <w:sz w:val="18"/>
          <w:szCs w:val="18"/>
          <w:color w:val="4D4D4F"/>
        </w:rPr>
      </w:pPr>
    </w:p>
    <w:p>
      <w:pPr>
        <w:ind w:left="340" w:hanging="332"/>
        <w:spacing w:after="0"/>
        <w:tabs>
          <w:tab w:leader="none" w:pos="340" w:val="left"/>
        </w:tabs>
        <w:numPr>
          <w:ilvl w:val="0"/>
          <w:numId w:val="27"/>
        </w:numPr>
        <w:rPr>
          <w:rFonts w:ascii="Arial" w:cs="Arial" w:eastAsia="Arial" w:hAnsi="Arial"/>
          <w:sz w:val="18"/>
          <w:szCs w:val="18"/>
          <w:color w:val="4D4D4F"/>
        </w:rPr>
      </w:pPr>
      <w:r>
        <w:rPr>
          <w:rFonts w:ascii="Arial" w:cs="Arial" w:eastAsia="Arial" w:hAnsi="Arial"/>
          <w:sz w:val="18"/>
          <w:szCs w:val="18"/>
          <w:color w:val="4D4D4F"/>
        </w:rPr>
        <w:t>overseeing and administering our equity incentive plans and employee benefit plans;</w:t>
      </w:r>
    </w:p>
    <w:p>
      <w:pPr>
        <w:spacing w:after="0" w:line="89" w:lineRule="exact"/>
        <w:rPr>
          <w:rFonts w:ascii="Arial" w:cs="Arial" w:eastAsia="Arial" w:hAnsi="Arial"/>
          <w:sz w:val="18"/>
          <w:szCs w:val="18"/>
          <w:color w:val="4D4D4F"/>
        </w:rPr>
      </w:pPr>
    </w:p>
    <w:p>
      <w:pPr>
        <w:ind w:left="340" w:hanging="332"/>
        <w:spacing w:after="0"/>
        <w:tabs>
          <w:tab w:leader="none" w:pos="340" w:val="left"/>
        </w:tabs>
        <w:numPr>
          <w:ilvl w:val="0"/>
          <w:numId w:val="27"/>
        </w:numPr>
        <w:rPr>
          <w:rFonts w:ascii="Arial" w:cs="Arial" w:eastAsia="Arial" w:hAnsi="Arial"/>
          <w:sz w:val="18"/>
          <w:szCs w:val="18"/>
          <w:color w:val="4D4D4F"/>
        </w:rPr>
      </w:pPr>
      <w:r>
        <w:rPr>
          <w:rFonts w:ascii="Arial" w:cs="Arial" w:eastAsia="Arial" w:hAnsi="Arial"/>
          <w:sz w:val="18"/>
          <w:szCs w:val="18"/>
          <w:color w:val="4D4D4F"/>
        </w:rPr>
        <w:t>preparing the annual compensation committee report required by SEC rules; and</w:t>
      </w:r>
    </w:p>
    <w:p>
      <w:pPr>
        <w:spacing w:after="0" w:line="89" w:lineRule="exact"/>
        <w:rPr>
          <w:rFonts w:ascii="Arial" w:cs="Arial" w:eastAsia="Arial" w:hAnsi="Arial"/>
          <w:sz w:val="18"/>
          <w:szCs w:val="18"/>
          <w:color w:val="4D4D4F"/>
        </w:rPr>
      </w:pPr>
    </w:p>
    <w:p>
      <w:pPr>
        <w:ind w:left="340" w:hanging="332"/>
        <w:spacing w:after="0" w:line="245" w:lineRule="auto"/>
        <w:tabs>
          <w:tab w:leader="none" w:pos="340" w:val="left"/>
        </w:tabs>
        <w:numPr>
          <w:ilvl w:val="0"/>
          <w:numId w:val="27"/>
        </w:numPr>
        <w:rPr>
          <w:rFonts w:ascii="Arial" w:cs="Arial" w:eastAsia="Arial" w:hAnsi="Arial"/>
          <w:sz w:val="18"/>
          <w:szCs w:val="18"/>
          <w:color w:val="4D4D4F"/>
        </w:rPr>
      </w:pPr>
      <w:r>
        <w:rPr>
          <w:rFonts w:ascii="Arial" w:cs="Arial" w:eastAsia="Arial" w:hAnsi="Arial"/>
          <w:sz w:val="18"/>
          <w:szCs w:val="18"/>
          <w:color w:val="4D4D4F"/>
        </w:rPr>
        <w:t>conducting a review of executive officer succession planning, as necessary, reporting its findings and recommendations to the board, and working with the board in evaluating potential successors to executive officer positions.</w:t>
      </w:r>
    </w:p>
    <w:p>
      <w:pPr>
        <w:spacing w:after="0" w:line="25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The current members of the compensation committee are Haiping Dun, who serves as chair, and Tracy Liu. Each of the compensation committee members is standing for re-election at the Annual Meeting. The board has determined that each of Dr. Dun and Ms. Liu is independent, as defined in the listing standards of Nasdaq, is a “non-employee director” as defined in Rule 16b-3 promulgated under the Securities Exchange Act and is an “outside director” as that term is defined in Internal Revenue Code Section 162(m).</w:t>
      </w:r>
    </w:p>
    <w:p>
      <w:pPr>
        <w:spacing w:after="0" w:line="164"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The compensation committee held one meeting in 2018. Each then-serving member participated in the meeting of the compensation committee. The compensation committee has the sole authority to retain, oversee and terminate any compensation consultant to be used to assist in the evaluation of executive compensation and to approve the consultant’s fees and retention terms.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Compensation Committee Interlocks and Insider Participation</w:t>
      </w:r>
    </w:p>
    <w:p>
      <w:pPr>
        <w:spacing w:after="0" w:line="197"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4D4D4F"/>
        </w:rPr>
        <w:t>During 2018 none of the members of the compensation committee was an officer or employee of our company or our subsidiaries and none of our executive officers served as a member of the board of directors or compensation committee of any entity that has one or more executive officers serving on the board or compensation committee.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Certain Relationships and Related-Person Transactions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4D4D4F"/>
        </w:rPr>
        <w:t xml:space="preserve">In October 2017 the board of directors adopted a Conflict of Interest Policy applicable to all directors, officers and employees of our company and our subsidiaries. We have posted the Conflict of Interest Policy on our website at </w:t>
      </w:r>
      <w:r>
        <w:rPr>
          <w:rFonts w:ascii="Arial" w:cs="Arial" w:eastAsia="Arial" w:hAnsi="Arial"/>
          <w:sz w:val="18"/>
          <w:szCs w:val="18"/>
          <w:i w:val="1"/>
          <w:iCs w:val="1"/>
          <w:color w:val="4D4D4F"/>
        </w:rPr>
        <w:t>http://ir.acmrcsh.com/static-files/c9bb9bf0-847b-4f79-b747-bf7e5bb06994</w:t>
      </w:r>
      <w:r>
        <w:rPr>
          <w:rFonts w:ascii="Arial" w:cs="Arial" w:eastAsia="Arial" w:hAnsi="Arial"/>
          <w:sz w:val="18"/>
          <w:szCs w:val="18"/>
          <w:color w:val="4D4D4F"/>
        </w:rPr>
        <w:t>. We will post any amendments to the Conflict of Interest Policy on our website.</w:t>
      </w:r>
    </w:p>
    <w:p>
      <w:pPr>
        <w:spacing w:after="0" w:line="15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4D4D4F"/>
        </w:rPr>
        <w:t>The Conflict of Interest Policy requires each director and executive officer, including their immediate family members, to provide written notice of any potential related-party transaction, defined by the policy to mirror the definition of Item 404 of Regulation S-K of the SEC (with the exception that the policy includes a monetary threshold of $100,000 as opposed to the threshold of $120,000 set by Item 404 of Regulation S-</w:t>
      </w:r>
    </w:p>
    <w:p>
      <w:pPr>
        <w:spacing w:after="0" w:line="2" w:lineRule="exact"/>
        <w:rPr>
          <w:sz w:val="20"/>
          <w:szCs w:val="20"/>
          <w:color w:val="auto"/>
        </w:rPr>
      </w:pPr>
    </w:p>
    <w:p>
      <w:pPr>
        <w:jc w:val="both"/>
        <w:ind w:firstLine="8"/>
        <w:spacing w:after="0" w:line="236" w:lineRule="auto"/>
        <w:tabs>
          <w:tab w:leader="none" w:pos="251" w:val="left"/>
        </w:tabs>
        <w:numPr>
          <w:ilvl w:val="0"/>
          <w:numId w:val="28"/>
        </w:numPr>
        <w:rPr>
          <w:rFonts w:ascii="Arial" w:cs="Arial" w:eastAsia="Arial" w:hAnsi="Arial"/>
          <w:sz w:val="18"/>
          <w:szCs w:val="18"/>
          <w:color w:val="4D4D4F"/>
        </w:rPr>
      </w:pPr>
      <w:r>
        <w:rPr>
          <w:rFonts w:ascii="Arial" w:cs="Arial" w:eastAsia="Arial" w:hAnsi="Arial"/>
          <w:sz w:val="18"/>
          <w:szCs w:val="18"/>
          <w:color w:val="4D4D4F"/>
        </w:rPr>
        <w:t>to the Chair of the Board (or to the Chief Executive Officer if such transaction involves the Chair of the Board, or to the Chief Financial Officer if such transaction involves the Chief Executive Officer), including all information that the Chair of the Board, the Chief Executive Officer or the Chief Financial Officer may request. Upon receiving all relevant information, the board may approve the transaction if it determines that the transaction is in the best interests of, and fair to, us, may require modifications to the transaction to make it acceptable for approval, or may reject it. The board may also establish guidelines for ongoing management of a specific related-party transaction. The policy requires that continuing related-party transactions are reviewed on at least an annual basis. Additionally, the policy requires that all directors and executive officers complete a questionnaire in connection with each of our annual proxy statements, in which they are asked to disclose family relationships and other related-party transactions.</w:t>
      </w:r>
    </w:p>
    <w:p>
      <w:pPr>
        <w:spacing w:after="0" w:line="16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The following is a description of transactions since January 1, 2017 to which we have been a party, in which the amount involved exceeded or will exceed $120,000 and in which any of our directors, executive officers or beneficial owners of more than 5% of any series or class of our preferred or common stock, or an affiliate or immediate family member thereof, had or will have a direct or indirect material interest, other than compensation, termination and change-in-control arrangements. The transactions set forth below were approved by a majority of the board, including a majority of the independent and disinterested members of the board. We believe we have executed all of the transactions set forth below on terms no less favorable to us than we could have obtained from unaffiliated third parties. It is our intention to ensure that all future transactions between us and our officers, directors and principal stockholders and their affiliates are approved by the audit committee and a majority of the members of the board, including a majority of the independent and disinterested members of the board, and are on terms no less favorable to us than those that we could obtain from unaffiliated third parties.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Issuance and Exercise of Warrant</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In December 2016 Shengxin (Shanghai) Management Consulting Limited Partnership, or SMC, paid 20,123,500 RMB (approximately $3.0 million as of the date of funding) to ACM Shanghai for potential investment pursuant to terms to be subsequently negotiated. SMC is a PRC limited partnership owned by Jian Wang and other employees of our subsidiary ACM Shanghai. Jian Wang, who is the general partner of SMC, is our Vice President, Research and Development and the brother of our Chief Executive Officer and President David H. Wang.</w:t>
      </w:r>
    </w:p>
    <w:p>
      <w:pPr>
        <w:spacing w:after="0" w:line="177"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4D4D4F"/>
        </w:rPr>
        <w:t>In March 2017 we issued to SMC a warrant exercisable to purchase 397,502 shares of Class A common stock at a price of $7.50 per share, for a total exercise price of approximately $3.0 million. The warrant was exercisable for cash or on a cashless basis, at the option of SMC, at any time on or before May 17, 2023 to acquire all, but not less than all, of the shares of Class A common stock subject to the warrant.</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In March 2018 we entered into a warrant exercise agreement with ACM Shanghai and SMC pursuant to which SMC exercised the SMC warrant in full by issuance to us of a senior secured promissory note in the principal amount of approximately $ 3.0 million. We transferred the SMC note to ACM Shanghai, in exchange for an intercompany promissory note issued by ACM Shanghai to us in the principal amount of approximately $3.0 million. Each of the two notes bears interest at a rate of 3.01% per annum and matures on August 17, 2023. As security for its performance of its obligations under its note, SMC granted to ACM Shanghai a security interest in the 397,502 shares of Class A common stock issued to SMC upon its exercise of the warrant.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Advisory Board Agreement</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In May 2016 we entered into an Advisory Board Agreement with one of our directors, Chenming Hu, under which Dr. Hu agreed to serve as a member of our advisory board and to use commercially reasonable efforts to provide us with various advisory services for a term extending until May 2020. We agreed to pay to Dr. Hu consulting fees of $25,000 per calendar quarter during the terms of the agreement and we granted to Dr. Hu in May 2016 an option to purchase up to 83,333 shares of common stock at $3.00 per share, all of which have vested.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Director and Executive Compensation and Indemnification Agreements</w:t>
      </w:r>
    </w:p>
    <w:p>
      <w:pPr>
        <w:spacing w:after="0" w:line="21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4D4D4F"/>
        </w:rPr>
        <w:t>Please see “Director Compensation” and “Executive Compensation” for a discussion regarding the compensation of our non-employee directors and our executive officers.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In April 2017 we entered enter into indemnification agreements with our directors and executive officers. Under these agreements, we agree to indemnify, to the fullest extent permitted by Delaware law (subject to certain limitations), each of our directors and executive officers against any and all expenses incurred by the director or officer in connection with proceedings because of his or her status as one of our directors or executive officers. In addition, these indemnification agreements provide that, to the fullest extent permitted by Delaware law, we will pay for all expenses incurred by our directors and executive officers in connection with a legal proceeding arising out of their service to us.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Director Compensation</w:t>
      </w:r>
    </w:p>
    <w:p>
      <w:pPr>
        <w:spacing w:after="0" w:line="3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Our director compensation program is intended to enhance our ability to attract, retain and motivate non-employee directors of exceptional ability and to promote the common interest of directors and stockholders in enhancing the value of the common stock. The board of directors reviews director compensation at least annually based on recommendations by the nominating and governance committee. The nominating and governance committee has the sole authority to engage a consulting firm to evaluate director compensation.</w:t>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In October 2017 we adopted a policy with respect to the compensation payable to certain of our non-employee directors, which became effective upon the completion of our initial public offering on November 7, 2017. Under this policy, each qualifying non-employee director is eligible to receive compensation for board and committee service consisting of annual cash retainers and equity awards. Our qualifying non-employee directors receive the following annual cash retainers for their service: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D4D4F"/>
        </w:rPr>
        <w:t>DIRECTOR ANNUAL CASH RETAINERS</w:t>
      </w:r>
    </w:p>
    <w:p>
      <w:pPr>
        <w:spacing w:after="0" w:line="1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340" w:type="dxa"/>
            <w:vAlign w:val="bottom"/>
            <w:shd w:val="clear" w:color="auto" w:fill="003E64"/>
          </w:tcPr>
          <w:p>
            <w:pPr>
              <w:spacing w:after="0"/>
              <w:rPr>
                <w:sz w:val="20"/>
                <w:szCs w:val="20"/>
                <w:color w:val="auto"/>
              </w:rPr>
            </w:pPr>
            <w:r>
              <w:rPr>
                <w:rFonts w:ascii="Arial" w:cs="Arial" w:eastAsia="Arial" w:hAnsi="Arial"/>
                <w:sz w:val="14"/>
                <w:szCs w:val="14"/>
                <w:b w:val="1"/>
                <w:bCs w:val="1"/>
                <w:color w:val="FFFFFF"/>
              </w:rPr>
              <w:t>Position</w:t>
            </w:r>
          </w:p>
        </w:tc>
        <w:tc>
          <w:tcPr>
            <w:tcW w:w="1500" w:type="dxa"/>
            <w:vAlign w:val="bottom"/>
            <w:shd w:val="clear" w:color="auto" w:fill="003E64"/>
          </w:tcPr>
          <w:p>
            <w:pPr>
              <w:jc w:val="right"/>
              <w:spacing w:after="0"/>
              <w:rPr>
                <w:sz w:val="20"/>
                <w:szCs w:val="20"/>
                <w:color w:val="auto"/>
              </w:rPr>
            </w:pPr>
            <w:r>
              <w:rPr>
                <w:rFonts w:ascii="Arial" w:cs="Arial" w:eastAsia="Arial" w:hAnsi="Arial"/>
                <w:sz w:val="14"/>
                <w:szCs w:val="14"/>
                <w:b w:val="1"/>
                <w:bCs w:val="1"/>
                <w:color w:val="FFFFFF"/>
              </w:rPr>
              <w:t>Retainer</w:t>
            </w:r>
          </w:p>
        </w:tc>
      </w:tr>
      <w:tr>
        <w:trPr>
          <w:trHeight w:val="202"/>
        </w:trPr>
        <w:tc>
          <w:tcPr>
            <w:tcW w:w="5340" w:type="dxa"/>
            <w:vAlign w:val="bottom"/>
            <w:shd w:val="clear" w:color="auto" w:fill="B7E4FF"/>
          </w:tcPr>
          <w:p>
            <w:pPr>
              <w:spacing w:after="0" w:line="202" w:lineRule="exact"/>
              <w:rPr>
                <w:sz w:val="20"/>
                <w:szCs w:val="20"/>
                <w:color w:val="auto"/>
              </w:rPr>
            </w:pPr>
            <w:r>
              <w:rPr>
                <w:rFonts w:ascii="Arial" w:cs="Arial" w:eastAsia="Arial" w:hAnsi="Arial"/>
                <w:sz w:val="18"/>
                <w:szCs w:val="18"/>
                <w:color w:val="4D4D4F"/>
              </w:rPr>
              <w:t>Lead Director</w:t>
            </w:r>
          </w:p>
        </w:tc>
        <w:tc>
          <w:tcPr>
            <w:tcW w:w="1500" w:type="dxa"/>
            <w:vAlign w:val="bottom"/>
            <w:shd w:val="clear" w:color="auto" w:fill="B7E4FF"/>
          </w:tcPr>
          <w:p>
            <w:pPr>
              <w:jc w:val="right"/>
              <w:spacing w:after="0" w:line="202" w:lineRule="exact"/>
              <w:rPr>
                <w:sz w:val="20"/>
                <w:szCs w:val="20"/>
                <w:color w:val="auto"/>
              </w:rPr>
            </w:pPr>
            <w:r>
              <w:rPr>
                <w:rFonts w:ascii="Arial" w:cs="Arial" w:eastAsia="Arial" w:hAnsi="Arial"/>
                <w:sz w:val="18"/>
                <w:szCs w:val="18"/>
                <w:color w:val="4D4D4F"/>
              </w:rPr>
              <w:t>$20,000</w:t>
            </w:r>
          </w:p>
        </w:tc>
      </w:tr>
      <w:tr>
        <w:trPr>
          <w:trHeight w:val="202"/>
        </w:trPr>
        <w:tc>
          <w:tcPr>
            <w:tcW w:w="5340" w:type="dxa"/>
            <w:vAlign w:val="bottom"/>
          </w:tcPr>
          <w:p>
            <w:pPr>
              <w:spacing w:after="0" w:line="202" w:lineRule="exact"/>
              <w:rPr>
                <w:sz w:val="20"/>
                <w:szCs w:val="20"/>
                <w:color w:val="auto"/>
              </w:rPr>
            </w:pPr>
            <w:r>
              <w:rPr>
                <w:rFonts w:ascii="Arial" w:cs="Arial" w:eastAsia="Arial" w:hAnsi="Arial"/>
                <w:sz w:val="18"/>
                <w:szCs w:val="18"/>
                <w:color w:val="4D4D4F"/>
              </w:rPr>
              <w:t>Other Directors</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4D4D4F"/>
              </w:rPr>
              <w:t>15,000</w:t>
            </w:r>
          </w:p>
        </w:tc>
      </w:tr>
      <w:tr>
        <w:trPr>
          <w:trHeight w:val="202"/>
        </w:trPr>
        <w:tc>
          <w:tcPr>
            <w:tcW w:w="5340" w:type="dxa"/>
            <w:vAlign w:val="bottom"/>
            <w:shd w:val="clear" w:color="auto" w:fill="B7E4FF"/>
          </w:tcPr>
          <w:p>
            <w:pPr>
              <w:spacing w:after="0" w:line="202" w:lineRule="exact"/>
              <w:rPr>
                <w:sz w:val="20"/>
                <w:szCs w:val="20"/>
                <w:color w:val="auto"/>
              </w:rPr>
            </w:pPr>
            <w:r>
              <w:rPr>
                <w:rFonts w:ascii="Arial" w:cs="Arial" w:eastAsia="Arial" w:hAnsi="Arial"/>
                <w:sz w:val="18"/>
                <w:szCs w:val="18"/>
                <w:color w:val="4D4D4F"/>
              </w:rPr>
              <w:t>Audit Committee Chair</w:t>
            </w:r>
          </w:p>
        </w:tc>
        <w:tc>
          <w:tcPr>
            <w:tcW w:w="1500" w:type="dxa"/>
            <w:vAlign w:val="bottom"/>
            <w:shd w:val="clear" w:color="auto" w:fill="B7E4FF"/>
          </w:tcPr>
          <w:p>
            <w:pPr>
              <w:jc w:val="right"/>
              <w:spacing w:after="0" w:line="202" w:lineRule="exact"/>
              <w:rPr>
                <w:sz w:val="20"/>
                <w:szCs w:val="20"/>
                <w:color w:val="auto"/>
              </w:rPr>
            </w:pPr>
            <w:r>
              <w:rPr>
                <w:rFonts w:ascii="Arial" w:cs="Arial" w:eastAsia="Arial" w:hAnsi="Arial"/>
                <w:sz w:val="18"/>
                <w:szCs w:val="18"/>
                <w:color w:val="4D4D4F"/>
              </w:rPr>
              <w:t>4,000</w:t>
            </w:r>
          </w:p>
        </w:tc>
      </w:tr>
      <w:tr>
        <w:trPr>
          <w:trHeight w:val="202"/>
        </w:trPr>
        <w:tc>
          <w:tcPr>
            <w:tcW w:w="5340" w:type="dxa"/>
            <w:vAlign w:val="bottom"/>
          </w:tcPr>
          <w:p>
            <w:pPr>
              <w:spacing w:after="0" w:line="202" w:lineRule="exact"/>
              <w:rPr>
                <w:sz w:val="20"/>
                <w:szCs w:val="20"/>
                <w:color w:val="auto"/>
              </w:rPr>
            </w:pPr>
            <w:r>
              <w:rPr>
                <w:rFonts w:ascii="Arial" w:cs="Arial" w:eastAsia="Arial" w:hAnsi="Arial"/>
                <w:sz w:val="18"/>
                <w:szCs w:val="18"/>
                <w:color w:val="4D4D4F"/>
              </w:rPr>
              <w:t>Other Audit Committee Members</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4D4D4F"/>
              </w:rPr>
              <w:t>3,000</w:t>
            </w:r>
          </w:p>
        </w:tc>
      </w:tr>
      <w:tr>
        <w:trPr>
          <w:trHeight w:val="202"/>
        </w:trPr>
        <w:tc>
          <w:tcPr>
            <w:tcW w:w="5340" w:type="dxa"/>
            <w:vAlign w:val="bottom"/>
            <w:shd w:val="clear" w:color="auto" w:fill="B7E4FF"/>
          </w:tcPr>
          <w:p>
            <w:pPr>
              <w:spacing w:after="0" w:line="202" w:lineRule="exact"/>
              <w:rPr>
                <w:sz w:val="20"/>
                <w:szCs w:val="20"/>
                <w:color w:val="auto"/>
              </w:rPr>
            </w:pPr>
            <w:r>
              <w:rPr>
                <w:rFonts w:ascii="Arial" w:cs="Arial" w:eastAsia="Arial" w:hAnsi="Arial"/>
                <w:sz w:val="18"/>
                <w:szCs w:val="18"/>
                <w:color w:val="4D4D4F"/>
              </w:rPr>
              <w:t>Compensation Committee Chair</w:t>
            </w:r>
          </w:p>
        </w:tc>
        <w:tc>
          <w:tcPr>
            <w:tcW w:w="1500" w:type="dxa"/>
            <w:vAlign w:val="bottom"/>
            <w:shd w:val="clear" w:color="auto" w:fill="B7E4FF"/>
          </w:tcPr>
          <w:p>
            <w:pPr>
              <w:jc w:val="right"/>
              <w:spacing w:after="0" w:line="202" w:lineRule="exact"/>
              <w:rPr>
                <w:sz w:val="20"/>
                <w:szCs w:val="20"/>
                <w:color w:val="auto"/>
              </w:rPr>
            </w:pPr>
            <w:r>
              <w:rPr>
                <w:rFonts w:ascii="Arial" w:cs="Arial" w:eastAsia="Arial" w:hAnsi="Arial"/>
                <w:sz w:val="18"/>
                <w:szCs w:val="18"/>
                <w:color w:val="4D4D4F"/>
              </w:rPr>
              <w:t>4,000</w:t>
            </w:r>
          </w:p>
        </w:tc>
      </w:tr>
      <w:tr>
        <w:trPr>
          <w:trHeight w:val="202"/>
        </w:trPr>
        <w:tc>
          <w:tcPr>
            <w:tcW w:w="5340" w:type="dxa"/>
            <w:vAlign w:val="bottom"/>
          </w:tcPr>
          <w:p>
            <w:pPr>
              <w:spacing w:after="0" w:line="202" w:lineRule="exact"/>
              <w:rPr>
                <w:sz w:val="20"/>
                <w:szCs w:val="20"/>
                <w:color w:val="auto"/>
              </w:rPr>
            </w:pPr>
            <w:r>
              <w:rPr>
                <w:rFonts w:ascii="Arial" w:cs="Arial" w:eastAsia="Arial" w:hAnsi="Arial"/>
                <w:sz w:val="18"/>
                <w:szCs w:val="18"/>
                <w:color w:val="4D4D4F"/>
              </w:rPr>
              <w:t>Other Compensation Committee Members</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4D4D4F"/>
              </w:rPr>
              <w:t>3,000</w:t>
            </w:r>
          </w:p>
        </w:tc>
      </w:tr>
      <w:tr>
        <w:trPr>
          <w:trHeight w:val="202"/>
        </w:trPr>
        <w:tc>
          <w:tcPr>
            <w:tcW w:w="5340" w:type="dxa"/>
            <w:vAlign w:val="bottom"/>
            <w:shd w:val="clear" w:color="auto" w:fill="B7E4FF"/>
          </w:tcPr>
          <w:p>
            <w:pPr>
              <w:spacing w:after="0" w:line="202" w:lineRule="exact"/>
              <w:rPr>
                <w:sz w:val="20"/>
                <w:szCs w:val="20"/>
                <w:color w:val="auto"/>
              </w:rPr>
            </w:pPr>
            <w:r>
              <w:rPr>
                <w:rFonts w:ascii="Arial" w:cs="Arial" w:eastAsia="Arial" w:hAnsi="Arial"/>
                <w:sz w:val="18"/>
                <w:szCs w:val="18"/>
                <w:color w:val="4D4D4F"/>
              </w:rPr>
              <w:t>Nominating and Governance Committee Chair</w:t>
            </w:r>
          </w:p>
        </w:tc>
        <w:tc>
          <w:tcPr>
            <w:tcW w:w="1500" w:type="dxa"/>
            <w:vAlign w:val="bottom"/>
            <w:shd w:val="clear" w:color="auto" w:fill="B7E4FF"/>
          </w:tcPr>
          <w:p>
            <w:pPr>
              <w:jc w:val="right"/>
              <w:spacing w:after="0" w:line="202" w:lineRule="exact"/>
              <w:rPr>
                <w:sz w:val="20"/>
                <w:szCs w:val="20"/>
                <w:color w:val="auto"/>
              </w:rPr>
            </w:pPr>
            <w:r>
              <w:rPr>
                <w:rFonts w:ascii="Arial" w:cs="Arial" w:eastAsia="Arial" w:hAnsi="Arial"/>
                <w:sz w:val="18"/>
                <w:szCs w:val="18"/>
                <w:color w:val="4D4D4F"/>
              </w:rPr>
              <w:t>4,000</w:t>
            </w:r>
          </w:p>
        </w:tc>
      </w:tr>
      <w:tr>
        <w:trPr>
          <w:trHeight w:val="217"/>
        </w:trPr>
        <w:tc>
          <w:tcPr>
            <w:tcW w:w="5340" w:type="dxa"/>
            <w:vAlign w:val="bottom"/>
          </w:tcPr>
          <w:p>
            <w:pPr>
              <w:spacing w:after="0"/>
              <w:rPr>
                <w:sz w:val="20"/>
                <w:szCs w:val="20"/>
                <w:color w:val="auto"/>
              </w:rPr>
            </w:pPr>
            <w:r>
              <w:rPr>
                <w:rFonts w:ascii="Arial" w:cs="Arial" w:eastAsia="Arial" w:hAnsi="Arial"/>
                <w:sz w:val="18"/>
                <w:szCs w:val="18"/>
                <w:color w:val="4D4D4F"/>
              </w:rPr>
              <w:t>Other Nominating and Governance Committee Members</w:t>
            </w:r>
          </w:p>
        </w:tc>
        <w:tc>
          <w:tcPr>
            <w:tcW w:w="1500" w:type="dxa"/>
            <w:vAlign w:val="bottom"/>
          </w:tcPr>
          <w:p>
            <w:pPr>
              <w:jc w:val="right"/>
              <w:spacing w:after="0"/>
              <w:rPr>
                <w:sz w:val="20"/>
                <w:szCs w:val="20"/>
                <w:color w:val="auto"/>
              </w:rPr>
            </w:pPr>
            <w:r>
              <w:rPr>
                <w:rFonts w:ascii="Arial" w:cs="Arial" w:eastAsia="Arial" w:hAnsi="Arial"/>
                <w:sz w:val="18"/>
                <w:szCs w:val="18"/>
                <w:color w:val="4D4D4F"/>
              </w:rPr>
              <w:t>3,000</w:t>
            </w:r>
          </w:p>
        </w:tc>
      </w:tr>
    </w:tbl>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Equity awards for qualifying non-employee directors will consist of (a) an initial equity award with a value of $75,000, upon initial election to the board, subject to vesting and to continued service on the board, and (b) annual equity awards with a value of $35,000, subject to vesting and continued service on the board.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4D4D4F"/>
        </w:rPr>
        <w:t>Directors may be reimbursed for reasonable out-of-pocket expenses incurred in attending board and committee meetings.</w:t>
      </w:r>
    </w:p>
    <w:p>
      <w:pPr>
        <w:spacing w:after="0" w:line="184" w:lineRule="exact"/>
        <w:rPr>
          <w:sz w:val="20"/>
          <w:szCs w:val="20"/>
          <w:color w:val="auto"/>
        </w:rPr>
      </w:pPr>
    </w:p>
    <w:p>
      <w:pPr>
        <w:jc w:val="both"/>
        <w:spacing w:after="0" w:line="204" w:lineRule="exact"/>
        <w:rPr>
          <w:sz w:val="20"/>
          <w:szCs w:val="20"/>
          <w:color w:val="auto"/>
        </w:rPr>
      </w:pPr>
      <w:r>
        <w:rPr>
          <w:rFonts w:ascii="Arial" w:cs="Arial" w:eastAsia="Arial" w:hAnsi="Arial"/>
          <w:sz w:val="18"/>
          <w:szCs w:val="18"/>
          <w:color w:val="4D4D4F"/>
        </w:rPr>
        <w:t>In October 2017 the board adopted a Director Compensation Policy. Under this policy, each director receives $ 75,000 in restricted stock units upon his or her initial election to the board. These restricted stock units are subject to vesting restrictions that are contingent upon continued board service. Additionally, on the date of each annual meeting of stockholders, each director who (a) is not a designee nominated to the board pursuant to existing agreements to which ACM is a party and (b) is continuing his or her board service following the date of the then</w:t>
      </w:r>
      <w:r>
        <w:rPr>
          <w:rFonts w:ascii="MS PGothic" w:cs="MS PGothic" w:eastAsia="MS PGothic" w:hAnsi="MS PGothic"/>
          <w:sz w:val="18"/>
          <w:szCs w:val="18"/>
          <w:color w:val="4D4D4F"/>
        </w:rPr>
        <w:t>‑</w:t>
      </w:r>
      <w:r>
        <w:rPr>
          <w:rFonts w:ascii="Arial" w:cs="Arial" w:eastAsia="Arial" w:hAnsi="Arial"/>
          <w:sz w:val="18"/>
          <w:szCs w:val="18"/>
          <w:color w:val="4D4D4F"/>
        </w:rPr>
        <w:t>current annual meeting of stockholders, shall receive $35,000 in restricted stock units, subject to vesting restrictions. Pursuant to the terms of the Director Compensation Policy, none of our directors were eligible to receive this annual equity compensation in 2018. Mr. Dun will be eligible beginning on the date of the Annual Meeting, Ms. Liu will be eligible beginning on the date of our 2020 annual meeting of stockholders and Dr. Hu will be eligible beginning on the date of our 2021 annual meeting of stockholders. Ms. Xiang and Mr. Yang do not qualify for eligibility to receive this annual equity compensation because they are designees nominated to the board pursuant to existing agreements to which ACM is a party, as described under “Corporate Governance—Director Nomination Rights.”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80"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4D4D4F"/>
        </w:rPr>
        <w:t>The following table shows the total compensation for non-employee directors during 2018. David H. Wang, our sole executive officer who served as a member of the board during 2018, did not receive any additional compensation for such service as a director.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D4D4F"/>
        </w:rPr>
        <w:t>2018 DIRECTOR COMPENSATION TABLE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060" w:type="dxa"/>
            <w:vAlign w:val="bottom"/>
            <w:tcBorders>
              <w:top w:val="single" w:sz="8" w:color="auto"/>
            </w:tcBorders>
            <w:shd w:val="clear" w:color="auto" w:fill="003E64"/>
          </w:tcPr>
          <w:p>
            <w:pPr>
              <w:spacing w:after="0"/>
              <w:rPr>
                <w:sz w:val="13"/>
                <w:szCs w:val="13"/>
                <w:color w:val="auto"/>
              </w:rPr>
            </w:pPr>
          </w:p>
        </w:tc>
        <w:tc>
          <w:tcPr>
            <w:tcW w:w="3060" w:type="dxa"/>
            <w:vAlign w:val="bottom"/>
            <w:tcBorders>
              <w:top w:val="single" w:sz="8" w:color="auto"/>
            </w:tcBorders>
            <w:shd w:val="clear" w:color="auto" w:fill="003E64"/>
          </w:tcPr>
          <w:p>
            <w:pPr>
              <w:ind w:left="1260"/>
              <w:spacing w:after="0" w:line="155" w:lineRule="exact"/>
              <w:rPr>
                <w:sz w:val="20"/>
                <w:szCs w:val="20"/>
                <w:color w:val="auto"/>
              </w:rPr>
            </w:pPr>
            <w:r>
              <w:rPr>
                <w:rFonts w:ascii="Arial" w:cs="Arial" w:eastAsia="Arial" w:hAnsi="Arial"/>
                <w:sz w:val="14"/>
                <w:szCs w:val="14"/>
                <w:b w:val="1"/>
                <w:bCs w:val="1"/>
                <w:color w:val="FFFFFF"/>
              </w:rPr>
              <w:t>Fees Earned or</w:t>
            </w:r>
          </w:p>
        </w:tc>
        <w:tc>
          <w:tcPr>
            <w:tcW w:w="2800" w:type="dxa"/>
            <w:vAlign w:val="bottom"/>
            <w:tcBorders>
              <w:top w:val="single" w:sz="8" w:color="auto"/>
            </w:tcBorders>
            <w:shd w:val="clear" w:color="auto" w:fill="003E64"/>
          </w:tcPr>
          <w:p>
            <w:pPr>
              <w:spacing w:after="0"/>
              <w:rPr>
                <w:sz w:val="13"/>
                <w:szCs w:val="13"/>
                <w:color w:val="auto"/>
              </w:rPr>
            </w:pPr>
          </w:p>
        </w:tc>
        <w:tc>
          <w:tcPr>
            <w:tcW w:w="2500" w:type="dxa"/>
            <w:vAlign w:val="bottom"/>
            <w:tcBorders>
              <w:top w:val="single" w:sz="8" w:color="auto"/>
            </w:tcBorders>
            <w:shd w:val="clear" w:color="auto" w:fill="003E64"/>
          </w:tcPr>
          <w:p>
            <w:pPr>
              <w:spacing w:after="0"/>
              <w:rPr>
                <w:sz w:val="13"/>
                <w:szCs w:val="13"/>
                <w:color w:val="auto"/>
              </w:rPr>
            </w:pPr>
          </w:p>
        </w:tc>
      </w:tr>
      <w:tr>
        <w:trPr>
          <w:trHeight w:val="182"/>
        </w:trPr>
        <w:tc>
          <w:tcPr>
            <w:tcW w:w="3060" w:type="dxa"/>
            <w:vAlign w:val="bottom"/>
            <w:tcBorders>
              <w:bottom w:val="single" w:sz="8" w:color="auto"/>
            </w:tcBorders>
            <w:shd w:val="clear" w:color="auto" w:fill="003E64"/>
          </w:tcPr>
          <w:p>
            <w:pPr>
              <w:spacing w:after="0"/>
              <w:rPr>
                <w:sz w:val="20"/>
                <w:szCs w:val="20"/>
                <w:color w:val="auto"/>
              </w:rPr>
            </w:pPr>
            <w:r>
              <w:rPr>
                <w:rFonts w:ascii="Arial" w:cs="Arial" w:eastAsia="Arial" w:hAnsi="Arial"/>
                <w:sz w:val="14"/>
                <w:szCs w:val="14"/>
                <w:b w:val="1"/>
                <w:bCs w:val="1"/>
                <w:color w:val="FFFFFF"/>
              </w:rPr>
              <w:t>Director</w:t>
            </w:r>
          </w:p>
        </w:tc>
        <w:tc>
          <w:tcPr>
            <w:tcW w:w="3060" w:type="dxa"/>
            <w:vAlign w:val="bottom"/>
            <w:tcBorders>
              <w:bottom w:val="single" w:sz="8" w:color="auto"/>
            </w:tcBorders>
            <w:shd w:val="clear" w:color="auto" w:fill="003E64"/>
          </w:tcPr>
          <w:p>
            <w:pPr>
              <w:ind w:left="1260"/>
              <w:spacing w:after="0"/>
              <w:rPr>
                <w:sz w:val="20"/>
                <w:szCs w:val="20"/>
                <w:color w:val="auto"/>
              </w:rPr>
            </w:pPr>
            <w:r>
              <w:rPr>
                <w:rFonts w:ascii="Arial" w:cs="Arial" w:eastAsia="Arial" w:hAnsi="Arial"/>
                <w:sz w:val="14"/>
                <w:szCs w:val="14"/>
                <w:b w:val="1"/>
                <w:bCs w:val="1"/>
                <w:color w:val="FFFFFF"/>
              </w:rPr>
              <w:t>Paid in Cash($)</w:t>
            </w:r>
          </w:p>
        </w:tc>
        <w:tc>
          <w:tcPr>
            <w:tcW w:w="2800" w:type="dxa"/>
            <w:vAlign w:val="bottom"/>
            <w:tcBorders>
              <w:bottom w:val="single" w:sz="8" w:color="auto"/>
            </w:tcBorders>
            <w:shd w:val="clear" w:color="auto" w:fill="003E64"/>
          </w:tcPr>
          <w:p>
            <w:pPr>
              <w:jc w:val="center"/>
              <w:spacing w:after="0"/>
              <w:rPr>
                <w:sz w:val="20"/>
                <w:szCs w:val="20"/>
                <w:color w:val="auto"/>
              </w:rPr>
            </w:pPr>
            <w:r>
              <w:rPr>
                <w:rFonts w:ascii="Arial" w:cs="Arial" w:eastAsia="Arial" w:hAnsi="Arial"/>
                <w:sz w:val="14"/>
                <w:szCs w:val="14"/>
                <w:b w:val="1"/>
                <w:bCs w:val="1"/>
                <w:color w:val="FFFFFF"/>
              </w:rPr>
              <w:t>Option Awards($)</w:t>
            </w:r>
          </w:p>
        </w:tc>
        <w:tc>
          <w:tcPr>
            <w:tcW w:w="2500" w:type="dxa"/>
            <w:vAlign w:val="bottom"/>
            <w:tcBorders>
              <w:bottom w:val="single" w:sz="8" w:color="auto"/>
            </w:tcBorders>
            <w:shd w:val="clear" w:color="auto" w:fill="003E64"/>
          </w:tcPr>
          <w:p>
            <w:pPr>
              <w:ind w:left="940"/>
              <w:spacing w:after="0"/>
              <w:rPr>
                <w:sz w:val="20"/>
                <w:szCs w:val="20"/>
                <w:color w:val="auto"/>
              </w:rPr>
            </w:pPr>
            <w:r>
              <w:rPr>
                <w:rFonts w:ascii="Arial" w:cs="Arial" w:eastAsia="Arial" w:hAnsi="Arial"/>
                <w:sz w:val="14"/>
                <w:szCs w:val="14"/>
                <w:b w:val="1"/>
                <w:bCs w:val="1"/>
                <w:color w:val="FFFFFF"/>
              </w:rPr>
              <w:t>Total($)</w:t>
            </w:r>
          </w:p>
        </w:tc>
      </w:tr>
      <w:tr>
        <w:trPr>
          <w:trHeight w:val="202"/>
        </w:trPr>
        <w:tc>
          <w:tcPr>
            <w:tcW w:w="3060" w:type="dxa"/>
            <w:vAlign w:val="bottom"/>
            <w:shd w:val="clear" w:color="auto" w:fill="B7E4FF"/>
          </w:tcPr>
          <w:p>
            <w:pPr>
              <w:spacing w:after="0" w:line="202" w:lineRule="exact"/>
              <w:rPr>
                <w:sz w:val="20"/>
                <w:szCs w:val="20"/>
                <w:color w:val="auto"/>
              </w:rPr>
            </w:pPr>
            <w:r>
              <w:rPr>
                <w:rFonts w:ascii="Arial" w:cs="Arial" w:eastAsia="Arial" w:hAnsi="Arial"/>
                <w:sz w:val="18"/>
                <w:szCs w:val="18"/>
                <w:color w:val="4D4D4F"/>
              </w:rPr>
              <w:t>Haiping Dun(1)</w:t>
            </w:r>
          </w:p>
        </w:tc>
        <w:tc>
          <w:tcPr>
            <w:tcW w:w="3060" w:type="dxa"/>
            <w:vAlign w:val="bottom"/>
            <w:shd w:val="clear" w:color="auto" w:fill="B7E4FF"/>
          </w:tcPr>
          <w:p>
            <w:pPr>
              <w:jc w:val="center"/>
              <w:ind w:left="415"/>
              <w:spacing w:after="0" w:line="202" w:lineRule="exact"/>
              <w:rPr>
                <w:sz w:val="20"/>
                <w:szCs w:val="20"/>
                <w:color w:val="auto"/>
              </w:rPr>
            </w:pPr>
            <w:r>
              <w:rPr>
                <w:rFonts w:ascii="Arial" w:cs="Arial" w:eastAsia="Arial" w:hAnsi="Arial"/>
                <w:sz w:val="18"/>
                <w:szCs w:val="18"/>
                <w:color w:val="4D4D4F"/>
                <w:w w:val="98"/>
              </w:rPr>
              <w:t>$27,000</w:t>
            </w:r>
          </w:p>
        </w:tc>
        <w:tc>
          <w:tcPr>
            <w:tcW w:w="2800" w:type="dxa"/>
            <w:vAlign w:val="bottom"/>
            <w:shd w:val="clear" w:color="auto" w:fill="B7E4FF"/>
          </w:tcPr>
          <w:p>
            <w:pPr>
              <w:jc w:val="center"/>
              <w:ind w:right="13"/>
              <w:spacing w:after="0" w:line="202" w:lineRule="exact"/>
              <w:rPr>
                <w:sz w:val="20"/>
                <w:szCs w:val="20"/>
                <w:color w:val="auto"/>
              </w:rPr>
            </w:pPr>
            <w:r>
              <w:rPr>
                <w:rFonts w:ascii="Arial" w:cs="Arial" w:eastAsia="Arial" w:hAnsi="Arial"/>
                <w:sz w:val="18"/>
                <w:szCs w:val="18"/>
                <w:color w:val="4D4D4F"/>
                <w:w w:val="99"/>
              </w:rPr>
              <w:t>—</w:t>
            </w:r>
          </w:p>
        </w:tc>
        <w:tc>
          <w:tcPr>
            <w:tcW w:w="2500" w:type="dxa"/>
            <w:vAlign w:val="bottom"/>
            <w:shd w:val="clear" w:color="auto" w:fill="B7E4FF"/>
          </w:tcPr>
          <w:p>
            <w:pPr>
              <w:jc w:val="center"/>
              <w:ind w:right="53"/>
              <w:spacing w:after="0" w:line="202" w:lineRule="exact"/>
              <w:rPr>
                <w:sz w:val="20"/>
                <w:szCs w:val="20"/>
                <w:color w:val="auto"/>
              </w:rPr>
            </w:pPr>
            <w:r>
              <w:rPr>
                <w:rFonts w:ascii="Arial" w:cs="Arial" w:eastAsia="Arial" w:hAnsi="Arial"/>
                <w:sz w:val="18"/>
                <w:szCs w:val="18"/>
                <w:color w:val="4D4D4F"/>
                <w:w w:val="98"/>
              </w:rPr>
              <w:t>$27,000</w:t>
            </w:r>
          </w:p>
        </w:tc>
      </w:tr>
      <w:tr>
        <w:trPr>
          <w:trHeight w:val="202"/>
        </w:trPr>
        <w:tc>
          <w:tcPr>
            <w:tcW w:w="3060" w:type="dxa"/>
            <w:vAlign w:val="bottom"/>
          </w:tcPr>
          <w:p>
            <w:pPr>
              <w:spacing w:after="0" w:line="202" w:lineRule="exact"/>
              <w:rPr>
                <w:sz w:val="20"/>
                <w:szCs w:val="20"/>
                <w:color w:val="auto"/>
              </w:rPr>
            </w:pPr>
            <w:r>
              <w:rPr>
                <w:rFonts w:ascii="Arial" w:cs="Arial" w:eastAsia="Arial" w:hAnsi="Arial"/>
                <w:sz w:val="18"/>
                <w:szCs w:val="18"/>
                <w:color w:val="4D4D4F"/>
              </w:rPr>
              <w:t>Chenming C. Hu(1)(2)</w:t>
            </w:r>
          </w:p>
        </w:tc>
        <w:tc>
          <w:tcPr>
            <w:tcW w:w="3060" w:type="dxa"/>
            <w:vAlign w:val="bottom"/>
          </w:tcPr>
          <w:p>
            <w:pPr>
              <w:jc w:val="center"/>
              <w:ind w:left="415"/>
              <w:spacing w:after="0" w:line="202" w:lineRule="exact"/>
              <w:rPr>
                <w:sz w:val="20"/>
                <w:szCs w:val="20"/>
                <w:color w:val="auto"/>
              </w:rPr>
            </w:pPr>
            <w:r>
              <w:rPr>
                <w:rFonts w:ascii="Arial" w:cs="Arial" w:eastAsia="Arial" w:hAnsi="Arial"/>
                <w:sz w:val="18"/>
                <w:szCs w:val="18"/>
                <w:color w:val="4D4D4F"/>
              </w:rPr>
              <w:t>24,000</w:t>
            </w:r>
          </w:p>
        </w:tc>
        <w:tc>
          <w:tcPr>
            <w:tcW w:w="2800" w:type="dxa"/>
            <w:vAlign w:val="bottom"/>
          </w:tcPr>
          <w:p>
            <w:pPr>
              <w:jc w:val="center"/>
              <w:ind w:right="13"/>
              <w:spacing w:after="0" w:line="202" w:lineRule="exact"/>
              <w:rPr>
                <w:sz w:val="20"/>
                <w:szCs w:val="20"/>
                <w:color w:val="auto"/>
              </w:rPr>
            </w:pPr>
            <w:r>
              <w:rPr>
                <w:rFonts w:ascii="Arial" w:cs="Arial" w:eastAsia="Arial" w:hAnsi="Arial"/>
                <w:sz w:val="18"/>
                <w:szCs w:val="18"/>
                <w:color w:val="4D4D4F"/>
                <w:w w:val="99"/>
              </w:rPr>
              <w:t>—</w:t>
            </w:r>
          </w:p>
        </w:tc>
        <w:tc>
          <w:tcPr>
            <w:tcW w:w="2500" w:type="dxa"/>
            <w:vAlign w:val="bottom"/>
          </w:tcPr>
          <w:p>
            <w:pPr>
              <w:jc w:val="center"/>
              <w:ind w:right="33"/>
              <w:spacing w:after="0" w:line="202" w:lineRule="exact"/>
              <w:rPr>
                <w:sz w:val="20"/>
                <w:szCs w:val="20"/>
                <w:color w:val="auto"/>
              </w:rPr>
            </w:pPr>
            <w:r>
              <w:rPr>
                <w:rFonts w:ascii="Arial" w:cs="Arial" w:eastAsia="Arial" w:hAnsi="Arial"/>
                <w:sz w:val="18"/>
                <w:szCs w:val="18"/>
                <w:color w:val="4D4D4F"/>
                <w:w w:val="98"/>
              </w:rPr>
              <w:t>24,000</w:t>
            </w:r>
          </w:p>
        </w:tc>
      </w:tr>
      <w:tr>
        <w:trPr>
          <w:trHeight w:val="202"/>
        </w:trPr>
        <w:tc>
          <w:tcPr>
            <w:tcW w:w="3060" w:type="dxa"/>
            <w:vAlign w:val="bottom"/>
            <w:shd w:val="clear" w:color="auto" w:fill="B7E4FF"/>
          </w:tcPr>
          <w:p>
            <w:pPr>
              <w:spacing w:after="0" w:line="202" w:lineRule="exact"/>
              <w:rPr>
                <w:sz w:val="20"/>
                <w:szCs w:val="20"/>
                <w:color w:val="auto"/>
              </w:rPr>
            </w:pPr>
            <w:r>
              <w:rPr>
                <w:rFonts w:ascii="Arial" w:cs="Arial" w:eastAsia="Arial" w:hAnsi="Arial"/>
                <w:sz w:val="18"/>
                <w:szCs w:val="18"/>
                <w:color w:val="4D4D4F"/>
              </w:rPr>
              <w:t>Tracy Liu(1)</w:t>
            </w:r>
          </w:p>
        </w:tc>
        <w:tc>
          <w:tcPr>
            <w:tcW w:w="3060" w:type="dxa"/>
            <w:vAlign w:val="bottom"/>
            <w:shd w:val="clear" w:color="auto" w:fill="B7E4FF"/>
          </w:tcPr>
          <w:p>
            <w:pPr>
              <w:jc w:val="center"/>
              <w:ind w:left="415"/>
              <w:spacing w:after="0" w:line="202" w:lineRule="exact"/>
              <w:rPr>
                <w:sz w:val="20"/>
                <w:szCs w:val="20"/>
                <w:color w:val="auto"/>
              </w:rPr>
            </w:pPr>
            <w:r>
              <w:rPr>
                <w:rFonts w:ascii="Arial" w:cs="Arial" w:eastAsia="Arial" w:hAnsi="Arial"/>
                <w:sz w:val="18"/>
                <w:szCs w:val="18"/>
                <w:color w:val="4D4D4F"/>
                <w:w w:val="97"/>
              </w:rPr>
              <w:t>7,000</w:t>
            </w:r>
          </w:p>
        </w:tc>
        <w:tc>
          <w:tcPr>
            <w:tcW w:w="2800" w:type="dxa"/>
            <w:vAlign w:val="bottom"/>
            <w:shd w:val="clear" w:color="auto" w:fill="B7E4FF"/>
          </w:tcPr>
          <w:p>
            <w:pPr>
              <w:jc w:val="center"/>
              <w:ind w:right="13"/>
              <w:spacing w:after="0" w:line="202" w:lineRule="exact"/>
              <w:rPr>
                <w:sz w:val="20"/>
                <w:szCs w:val="20"/>
                <w:color w:val="auto"/>
              </w:rPr>
            </w:pPr>
            <w:r>
              <w:rPr>
                <w:rFonts w:ascii="Arial" w:cs="Arial" w:eastAsia="Arial" w:hAnsi="Arial"/>
                <w:sz w:val="18"/>
                <w:szCs w:val="18"/>
                <w:color w:val="4D4D4F"/>
                <w:w w:val="99"/>
              </w:rPr>
              <w:t>—</w:t>
            </w:r>
          </w:p>
        </w:tc>
        <w:tc>
          <w:tcPr>
            <w:tcW w:w="2500" w:type="dxa"/>
            <w:vAlign w:val="bottom"/>
            <w:shd w:val="clear" w:color="auto" w:fill="B7E4FF"/>
          </w:tcPr>
          <w:p>
            <w:pPr>
              <w:jc w:val="center"/>
              <w:ind w:right="33"/>
              <w:spacing w:after="0" w:line="202" w:lineRule="exact"/>
              <w:rPr>
                <w:sz w:val="20"/>
                <w:szCs w:val="20"/>
                <w:color w:val="auto"/>
              </w:rPr>
            </w:pPr>
            <w:r>
              <w:rPr>
                <w:rFonts w:ascii="Arial" w:cs="Arial" w:eastAsia="Arial" w:hAnsi="Arial"/>
                <w:sz w:val="18"/>
                <w:szCs w:val="18"/>
                <w:color w:val="4D4D4F"/>
                <w:w w:val="98"/>
              </w:rPr>
              <w:t>22,000</w:t>
            </w:r>
          </w:p>
        </w:tc>
      </w:tr>
      <w:tr>
        <w:trPr>
          <w:trHeight w:val="202"/>
        </w:trPr>
        <w:tc>
          <w:tcPr>
            <w:tcW w:w="3060" w:type="dxa"/>
            <w:vAlign w:val="bottom"/>
          </w:tcPr>
          <w:p>
            <w:pPr>
              <w:spacing w:after="0" w:line="202" w:lineRule="exact"/>
              <w:rPr>
                <w:sz w:val="20"/>
                <w:szCs w:val="20"/>
                <w:color w:val="auto"/>
              </w:rPr>
            </w:pPr>
            <w:r>
              <w:rPr>
                <w:rFonts w:ascii="Arial" w:cs="Arial" w:eastAsia="Arial" w:hAnsi="Arial"/>
                <w:sz w:val="18"/>
                <w:szCs w:val="18"/>
                <w:color w:val="4D4D4F"/>
              </w:rPr>
              <w:t>Zhengfan Yang</w:t>
            </w:r>
          </w:p>
        </w:tc>
        <w:tc>
          <w:tcPr>
            <w:tcW w:w="3060" w:type="dxa"/>
            <w:vAlign w:val="bottom"/>
          </w:tcPr>
          <w:p>
            <w:pPr>
              <w:jc w:val="center"/>
              <w:ind w:left="415"/>
              <w:spacing w:after="0" w:line="202" w:lineRule="exact"/>
              <w:rPr>
                <w:sz w:val="20"/>
                <w:szCs w:val="20"/>
                <w:color w:val="auto"/>
              </w:rPr>
            </w:pPr>
            <w:r>
              <w:rPr>
                <w:rFonts w:ascii="Arial" w:cs="Arial" w:eastAsia="Arial" w:hAnsi="Arial"/>
                <w:sz w:val="18"/>
                <w:szCs w:val="18"/>
                <w:color w:val="4D4D4F"/>
                <w:w w:val="97"/>
              </w:rPr>
              <w:t>3,000</w:t>
            </w:r>
          </w:p>
        </w:tc>
        <w:tc>
          <w:tcPr>
            <w:tcW w:w="2800" w:type="dxa"/>
            <w:vAlign w:val="bottom"/>
          </w:tcPr>
          <w:p>
            <w:pPr>
              <w:jc w:val="center"/>
              <w:ind w:right="13"/>
              <w:spacing w:after="0" w:line="202" w:lineRule="exact"/>
              <w:rPr>
                <w:sz w:val="20"/>
                <w:szCs w:val="20"/>
                <w:color w:val="auto"/>
              </w:rPr>
            </w:pPr>
            <w:r>
              <w:rPr>
                <w:rFonts w:ascii="Arial" w:cs="Arial" w:eastAsia="Arial" w:hAnsi="Arial"/>
                <w:sz w:val="18"/>
                <w:szCs w:val="18"/>
                <w:color w:val="4D4D4F"/>
                <w:w w:val="99"/>
              </w:rPr>
              <w:t>—</w:t>
            </w:r>
          </w:p>
        </w:tc>
        <w:tc>
          <w:tcPr>
            <w:tcW w:w="2500" w:type="dxa"/>
            <w:vAlign w:val="bottom"/>
          </w:tcPr>
          <w:p>
            <w:pPr>
              <w:jc w:val="center"/>
              <w:ind w:right="33"/>
              <w:spacing w:after="0" w:line="202" w:lineRule="exact"/>
              <w:rPr>
                <w:sz w:val="20"/>
                <w:szCs w:val="20"/>
                <w:color w:val="auto"/>
              </w:rPr>
            </w:pPr>
            <w:r>
              <w:rPr>
                <w:rFonts w:ascii="Arial" w:cs="Arial" w:eastAsia="Arial" w:hAnsi="Arial"/>
                <w:sz w:val="18"/>
                <w:szCs w:val="18"/>
                <w:color w:val="4D4D4F"/>
                <w:w w:val="98"/>
              </w:rPr>
              <w:t>18,000</w:t>
            </w:r>
          </w:p>
        </w:tc>
      </w:tr>
      <w:tr>
        <w:trPr>
          <w:trHeight w:val="202"/>
        </w:trPr>
        <w:tc>
          <w:tcPr>
            <w:tcW w:w="3060" w:type="dxa"/>
            <w:vAlign w:val="bottom"/>
            <w:shd w:val="clear" w:color="auto" w:fill="B7E4FF"/>
          </w:tcPr>
          <w:p>
            <w:pPr>
              <w:spacing w:after="0" w:line="202" w:lineRule="exact"/>
              <w:rPr>
                <w:sz w:val="20"/>
                <w:szCs w:val="20"/>
                <w:color w:val="auto"/>
              </w:rPr>
            </w:pPr>
            <w:r>
              <w:rPr>
                <w:rFonts w:ascii="Arial" w:cs="Arial" w:eastAsia="Arial" w:hAnsi="Arial"/>
                <w:sz w:val="18"/>
                <w:szCs w:val="18"/>
                <w:color w:val="4D4D4F"/>
              </w:rPr>
              <w:t>Yinan Xiang</w:t>
            </w:r>
          </w:p>
        </w:tc>
        <w:tc>
          <w:tcPr>
            <w:tcW w:w="3060" w:type="dxa"/>
            <w:vAlign w:val="bottom"/>
            <w:shd w:val="clear" w:color="auto" w:fill="B7E4FF"/>
          </w:tcPr>
          <w:p>
            <w:pPr>
              <w:jc w:val="center"/>
              <w:ind w:left="415"/>
              <w:spacing w:after="0" w:line="202" w:lineRule="exact"/>
              <w:rPr>
                <w:sz w:val="20"/>
                <w:szCs w:val="20"/>
                <w:color w:val="auto"/>
              </w:rPr>
            </w:pPr>
            <w:r>
              <w:rPr>
                <w:rFonts w:ascii="Arial" w:cs="Arial" w:eastAsia="Arial" w:hAnsi="Arial"/>
                <w:sz w:val="18"/>
                <w:szCs w:val="18"/>
                <w:color w:val="4D4D4F"/>
                <w:w w:val="97"/>
              </w:rPr>
              <w:t>3,500</w:t>
            </w:r>
          </w:p>
        </w:tc>
        <w:tc>
          <w:tcPr>
            <w:tcW w:w="2800" w:type="dxa"/>
            <w:vAlign w:val="bottom"/>
            <w:shd w:val="clear" w:color="auto" w:fill="B7E4FF"/>
          </w:tcPr>
          <w:p>
            <w:pPr>
              <w:jc w:val="center"/>
              <w:ind w:right="13"/>
              <w:spacing w:after="0" w:line="202" w:lineRule="exact"/>
              <w:rPr>
                <w:sz w:val="20"/>
                <w:szCs w:val="20"/>
                <w:color w:val="auto"/>
              </w:rPr>
            </w:pPr>
            <w:r>
              <w:rPr>
                <w:rFonts w:ascii="Arial" w:cs="Arial" w:eastAsia="Arial" w:hAnsi="Arial"/>
                <w:sz w:val="18"/>
                <w:szCs w:val="18"/>
                <w:color w:val="4D4D4F"/>
                <w:w w:val="99"/>
              </w:rPr>
              <w:t>—</w:t>
            </w:r>
          </w:p>
        </w:tc>
        <w:tc>
          <w:tcPr>
            <w:tcW w:w="2500" w:type="dxa"/>
            <w:vAlign w:val="bottom"/>
            <w:shd w:val="clear" w:color="auto" w:fill="B7E4FF"/>
          </w:tcPr>
          <w:p>
            <w:pPr>
              <w:jc w:val="center"/>
              <w:ind w:right="33"/>
              <w:spacing w:after="0" w:line="202" w:lineRule="exact"/>
              <w:rPr>
                <w:sz w:val="20"/>
                <w:szCs w:val="20"/>
                <w:color w:val="auto"/>
              </w:rPr>
            </w:pPr>
            <w:r>
              <w:rPr>
                <w:rFonts w:ascii="Arial" w:cs="Arial" w:eastAsia="Arial" w:hAnsi="Arial"/>
                <w:sz w:val="18"/>
                <w:szCs w:val="18"/>
                <w:color w:val="4D4D4F"/>
                <w:w w:val="98"/>
              </w:rPr>
              <w:t>18,500</w:t>
            </w:r>
          </w:p>
        </w:tc>
      </w:tr>
    </w:tbl>
    <w:p>
      <w:pPr>
        <w:spacing w:after="0" w:line="59"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4D4D4F"/>
        </w:rPr>
      </w:pPr>
      <w:r>
        <w:rPr>
          <w:rFonts w:ascii="Arial" w:cs="Arial" w:eastAsia="Arial" w:hAnsi="Arial"/>
          <w:sz w:val="14"/>
          <w:szCs w:val="14"/>
          <w:color w:val="4D4D4F"/>
        </w:rPr>
        <w:t>Chair of a board committee during 2018.</w:t>
      </w:r>
    </w:p>
    <w:p>
      <w:pPr>
        <w:spacing w:after="0" w:line="176" w:lineRule="exact"/>
        <w:rPr>
          <w:rFonts w:ascii="Arial" w:cs="Arial" w:eastAsia="Arial" w:hAnsi="Arial"/>
          <w:sz w:val="14"/>
          <w:szCs w:val="14"/>
          <w:color w:val="4D4D4F"/>
        </w:rPr>
      </w:pPr>
    </w:p>
    <w:p>
      <w:pPr>
        <w:jc w:val="both"/>
        <w:ind w:left="340" w:hanging="332"/>
        <w:spacing w:after="0" w:line="243" w:lineRule="auto"/>
        <w:tabs>
          <w:tab w:leader="none" w:pos="340" w:val="left"/>
        </w:tabs>
        <w:numPr>
          <w:ilvl w:val="0"/>
          <w:numId w:val="29"/>
        </w:numPr>
        <w:rPr>
          <w:rFonts w:ascii="Arial" w:cs="Arial" w:eastAsia="Arial" w:hAnsi="Arial"/>
          <w:sz w:val="14"/>
          <w:szCs w:val="14"/>
          <w:color w:val="4D4D4F"/>
        </w:rPr>
      </w:pPr>
      <w:r>
        <w:rPr>
          <w:rFonts w:ascii="Arial" w:cs="Arial" w:eastAsia="Arial" w:hAnsi="Arial"/>
          <w:sz w:val="14"/>
          <w:szCs w:val="14"/>
          <w:color w:val="4D4D4F"/>
        </w:rPr>
        <w:t>The board determined in 2018 that Dr. Hu is not independent under the requirements contemplated by Rule 10A-3 of the Securities Exchange Act or the listing standards of Nasdaq. See “Certain Relationships and Related-Person Transactions—Advisory Board Agreement.” However, Dr. Hu served as a member of the audit committee and the compensation committee until November 7, 2018, the first anniversary of the closing of our initial public offering, in accordance with the phase-in provisions of the Nasdaq listing standards and the Securities Exchange Act. The board believes that relying on these provisions did not materially adversely affect the ability of the audit committee to act independently, to perform its duties, and to fulfill its obligations to ACM and its stockholders. Dr. Hu served as a member of our nominating and governance committee. In accordance with NASDAQ Listing Rule IM-5605-6 and our Nominating and Governance Committee charter, Dr. Hu continued to serve on the nominating and governance committee despite his status as a non-independent director as the board determined that, due to exceptional and limited circumstances, Dr. Hu’s membership on the committee is required by the best interests of ACM and its stockholders. The board believes that relying on these provisions has not and will not materially adversely affect the ability of the nominating and governance committee to act independently, to perform its duties, and to fulfill its obligations to ACM and its stockholders. The board has also determined that Dr. Hu will qualify as independent, as defined in the listing standards of Nasdaq, as of May 31, 2019.</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 xml:space="preserve">Proposal </w:t>
      </w:r>
      <w:r>
        <w:rPr>
          <w:sz w:val="1"/>
          <w:szCs w:val="1"/>
          <w:color w:val="auto"/>
        </w:rPr>
        <w:drawing>
          <wp:inline distT="0" distB="0" distL="0" distR="0">
            <wp:extent cx="240030" cy="24828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0030" cy="248285"/>
                    </a:xfrm>
                    <a:prstGeom prst="rect">
                      <a:avLst/>
                    </a:prstGeom>
                    <a:noFill/>
                    <a:ln>
                      <a:noFill/>
                    </a:ln>
                  </pic:spPr>
                </pic:pic>
              </a:graphicData>
            </a:graphic>
          </wp:inline>
        </w:drawing>
      </w:r>
      <w:r>
        <w:rPr>
          <w:rFonts w:ascii="Arial" w:cs="Arial" w:eastAsia="Arial" w:hAnsi="Arial"/>
          <w:sz w:val="25"/>
          <w:szCs w:val="25"/>
          <w:b w:val="1"/>
          <w:bCs w:val="1"/>
          <w:color w:val="003E64"/>
        </w:rPr>
        <w:t xml:space="preserve"> — Election of Directors</w:t>
      </w:r>
    </w:p>
    <w:p>
      <w:pPr>
        <w:spacing w:after="0" w:line="18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595959"/>
        </w:rPr>
        <w:t>At the Annual Meeting, stockholders will elect the entire board of directors to serve for the ensuing year and until their successors are elected and qualified. The board has designated as nominees for election the six persons named below, each of whom currently serves as a director.</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595959"/>
        </w:rPr>
        <w:t>Shares of common stock that are voted as recommended by the board will be voted in favor of the election as directors of the nominees named below. If any nominee becomes unavailable for any reason or if a vacancy should occur before the election, which we do not anticipate, the shares represented by a duly completed proxy may be voted in favor of such other person as may be determined by the proxy holders.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Director Qualifications</w:t>
      </w:r>
    </w:p>
    <w:p>
      <w:pPr>
        <w:spacing w:after="0" w:line="19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595959"/>
        </w:rPr>
        <w:t xml:space="preserve">The board of directors has determined that, as a whole, it must have the right mix of characteristics, skills and diversity to provide effective oversight of our Company. In April 2018 </w:t>
      </w:r>
      <w:r>
        <w:rPr>
          <w:rFonts w:ascii="Arial" w:cs="Arial" w:eastAsia="Arial" w:hAnsi="Arial"/>
          <w:sz w:val="18"/>
          <w:szCs w:val="18"/>
          <w:color w:val="4D4D4F"/>
        </w:rPr>
        <w:t>the nominating and governance committee adopted Qualifications for Nomination to the board, a copy</w:t>
      </w:r>
      <w:r>
        <w:rPr>
          <w:rFonts w:ascii="Arial" w:cs="Arial" w:eastAsia="Arial" w:hAnsi="Arial"/>
          <w:sz w:val="18"/>
          <w:szCs w:val="18"/>
          <w:color w:val="595959"/>
        </w:rPr>
        <w:t xml:space="preserve"> </w:t>
      </w:r>
      <w:r>
        <w:rPr>
          <w:rFonts w:ascii="Arial" w:cs="Arial" w:eastAsia="Arial" w:hAnsi="Arial"/>
          <w:sz w:val="18"/>
          <w:szCs w:val="18"/>
          <w:color w:val="4D4D4F"/>
        </w:rPr>
        <w:t xml:space="preserve">of which is posted on our website at </w:t>
      </w:r>
      <w:r>
        <w:rPr>
          <w:rFonts w:ascii="Arial" w:cs="Arial" w:eastAsia="Arial" w:hAnsi="Arial"/>
          <w:sz w:val="18"/>
          <w:szCs w:val="18"/>
          <w:i w:val="1"/>
          <w:iCs w:val="1"/>
          <w:color w:val="4D4D4F"/>
        </w:rPr>
        <w:t>media.corporate-ir.net/media_files/IROL/25/254659/acm-bd-qualifications.pdf.</w:t>
      </w:r>
      <w:r>
        <w:rPr>
          <w:rFonts w:ascii="Arial" w:cs="Arial" w:eastAsia="Arial" w:hAnsi="Arial"/>
          <w:sz w:val="18"/>
          <w:szCs w:val="18"/>
          <w:color w:val="4D4D4F"/>
        </w:rPr>
        <w:t xml:space="preserve"> The Qualifications for Nomination provide that, in selecting directors, the board should seek to achieve a mix of directors that enhances the diversity of background, skills and experience on the board, including with respect to age, gender, international background, ethnicity and specialized experience. Directors should have relevant expertise and experience and be able to offer advice and guidance to our Chief Executive Officer based on that expertise and experience. Also, a majority of directors should be independent under applicable Nasdaq listing standards, board and committee guidelines, and applicable laws and regulations. Each director is also expected to:</w:t>
      </w:r>
    </w:p>
    <w:p>
      <w:pPr>
        <w:spacing w:after="0" w:line="85"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4D4D4F"/>
        </w:rPr>
      </w:pPr>
      <w:r>
        <w:rPr>
          <w:rFonts w:ascii="Arial" w:cs="Arial" w:eastAsia="Arial" w:hAnsi="Arial"/>
          <w:sz w:val="18"/>
          <w:szCs w:val="18"/>
          <w:color w:val="4D4D4F"/>
        </w:rPr>
        <w:t>be of the highest ethical character and share the values of ACM as reflected in its Code of Conduct;</w:t>
      </w:r>
    </w:p>
    <w:p>
      <w:pPr>
        <w:spacing w:after="0" w:line="76" w:lineRule="exact"/>
        <w:rPr>
          <w:rFonts w:ascii="Arial" w:cs="Arial" w:eastAsia="Arial" w:hAnsi="Arial"/>
          <w:sz w:val="18"/>
          <w:szCs w:val="18"/>
          <w:color w:val="4D4D4F"/>
        </w:rPr>
      </w:pPr>
    </w:p>
    <w:p>
      <w:pPr>
        <w:ind w:left="340" w:hanging="332"/>
        <w:spacing w:after="0"/>
        <w:tabs>
          <w:tab w:leader="none" w:pos="340" w:val="left"/>
        </w:tabs>
        <w:numPr>
          <w:ilvl w:val="0"/>
          <w:numId w:val="30"/>
        </w:numPr>
        <w:rPr>
          <w:rFonts w:ascii="Arial" w:cs="Arial" w:eastAsia="Arial" w:hAnsi="Arial"/>
          <w:sz w:val="18"/>
          <w:szCs w:val="18"/>
          <w:color w:val="4D4D4F"/>
        </w:rPr>
      </w:pPr>
      <w:r>
        <w:rPr>
          <w:rFonts w:ascii="Arial" w:cs="Arial" w:eastAsia="Arial" w:hAnsi="Arial"/>
          <w:sz w:val="18"/>
          <w:szCs w:val="18"/>
          <w:color w:val="4D4D4F"/>
        </w:rPr>
        <w:t>be highly accomplished in his or her field, with superior credentials and recognition;</w:t>
      </w:r>
    </w:p>
    <w:p>
      <w:pPr>
        <w:spacing w:after="0" w:line="89" w:lineRule="exact"/>
        <w:rPr>
          <w:rFonts w:ascii="Arial" w:cs="Arial" w:eastAsia="Arial" w:hAnsi="Arial"/>
          <w:sz w:val="18"/>
          <w:szCs w:val="18"/>
          <w:color w:val="4D4D4F"/>
        </w:rPr>
      </w:pPr>
    </w:p>
    <w:p>
      <w:pPr>
        <w:ind w:left="340" w:hanging="332"/>
        <w:spacing w:after="0" w:line="245" w:lineRule="auto"/>
        <w:tabs>
          <w:tab w:leader="none" w:pos="340" w:val="left"/>
        </w:tabs>
        <w:numPr>
          <w:ilvl w:val="0"/>
          <w:numId w:val="30"/>
        </w:numPr>
        <w:rPr>
          <w:rFonts w:ascii="Arial" w:cs="Arial" w:eastAsia="Arial" w:hAnsi="Arial"/>
          <w:sz w:val="18"/>
          <w:szCs w:val="18"/>
          <w:color w:val="4D4D4F"/>
        </w:rPr>
      </w:pPr>
      <w:r>
        <w:rPr>
          <w:rFonts w:ascii="Arial" w:cs="Arial" w:eastAsia="Arial" w:hAnsi="Arial"/>
          <w:sz w:val="18"/>
          <w:szCs w:val="18"/>
          <w:color w:val="4D4D4F"/>
        </w:rPr>
        <w:t>have sound business judgment, be able to work effectively with others, have sufficient time to devote to our affairs, and be free from conflicts of interest; and</w:t>
      </w:r>
    </w:p>
    <w:p>
      <w:pPr>
        <w:spacing w:after="0" w:line="76" w:lineRule="exact"/>
        <w:rPr>
          <w:rFonts w:ascii="Arial" w:cs="Arial" w:eastAsia="Arial" w:hAnsi="Arial"/>
          <w:sz w:val="18"/>
          <w:szCs w:val="18"/>
          <w:color w:val="4D4D4F"/>
        </w:rPr>
      </w:pPr>
    </w:p>
    <w:p>
      <w:pPr>
        <w:ind w:left="340" w:hanging="332"/>
        <w:spacing w:after="0"/>
        <w:tabs>
          <w:tab w:leader="none" w:pos="340" w:val="left"/>
        </w:tabs>
        <w:numPr>
          <w:ilvl w:val="0"/>
          <w:numId w:val="30"/>
        </w:numPr>
        <w:rPr>
          <w:rFonts w:ascii="Arial" w:cs="Arial" w:eastAsia="Arial" w:hAnsi="Arial"/>
          <w:sz w:val="18"/>
          <w:szCs w:val="18"/>
          <w:color w:val="4D4D4F"/>
        </w:rPr>
      </w:pPr>
      <w:r>
        <w:rPr>
          <w:rFonts w:ascii="Arial" w:cs="Arial" w:eastAsia="Arial" w:hAnsi="Arial"/>
          <w:sz w:val="18"/>
          <w:szCs w:val="18"/>
          <w:color w:val="4D4D4F"/>
        </w:rPr>
        <w:t>be independent of any particular constituency and able to represent all of our stockholders.</w:t>
      </w:r>
    </w:p>
    <w:p>
      <w:pPr>
        <w:spacing w:after="0" w:line="2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595959"/>
        </w:rPr>
        <w:t>The board is to conduct a self-assessment process every year and to periodically review the diversity of skills and characteristics needed in the board’s oversight of our company, as well as the effectiveness of the mix of skills and experience. The board considers the skill areas represented on the board, those skill areas represented by any directors who are expected to retire or leave the board in the near future, and recommendations of directors regarding skills that could improve the ability of the board to carry out its responsibilities.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Identifying and Evaluating Nominees for Directors</w:t>
      </w:r>
    </w:p>
    <w:p>
      <w:pPr>
        <w:spacing w:after="0" w:line="19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595959"/>
        </w:rPr>
        <w:t>When the board of directors or its nominating and governance committee has identified the need to add a new director with specific qualifications or to fill a vacancy on the board, the chair of the nominating and governance committee will initiate a search, seeking input from other directors and senior management, review any candidates that the nominating and governance committee has previously identified, and, if necessary, hire a search firm. The nominating and governance committee will identify the initial list of candidates who satisfy the specific criteria and otherwise qualify for membership on the board. At least one member of the nominating and governance committee (preferably the chair) and the Chair of the Board and Chief Executive Officer will interview each qualified candidate; other directors will also interview the candidate if practicable. Based on a satisfactory outcome of those interviews, the nominating and governance committee will make its recommendation on the candidate to the board.</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8"/>
          <w:szCs w:val="18"/>
          <w:color w:val="595959"/>
        </w:rPr>
        <w:t>Our Bylaws include a procedure that stockholders must follow in order to nominate a person for election as a director at an annual meeting of stockholders. The Bylaws require that timely notice of the nomination in proper written form, including all required information, be provided to the Corporate Secretary.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Information Concerning Nominees for Election as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4D4D4F"/>
        </w:rPr>
        <w:t>The information appearing in the following table sets forth, for each nominee for election as a director, as of June 6, 2019:</w:t>
      </w:r>
    </w:p>
    <w:p>
      <w:pPr>
        <w:spacing w:after="0" w:line="90"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4D4D4F"/>
        </w:rPr>
      </w:pPr>
      <w:r>
        <w:rPr>
          <w:rFonts w:ascii="Arial" w:cs="Arial" w:eastAsia="Arial" w:hAnsi="Arial"/>
          <w:sz w:val="18"/>
          <w:szCs w:val="18"/>
          <w:color w:val="4D4D4F"/>
        </w:rPr>
        <w:t>The nominee’s professional experience for at least the past five years.</w:t>
      </w:r>
    </w:p>
    <w:p>
      <w:pPr>
        <w:spacing w:after="0" w:line="89" w:lineRule="exact"/>
        <w:rPr>
          <w:rFonts w:ascii="Arial" w:cs="Arial" w:eastAsia="Arial" w:hAnsi="Arial"/>
          <w:sz w:val="18"/>
          <w:szCs w:val="18"/>
          <w:color w:val="4D4D4F"/>
        </w:rPr>
      </w:pPr>
    </w:p>
    <w:p>
      <w:pPr>
        <w:ind w:left="340" w:hanging="332"/>
        <w:spacing w:after="0"/>
        <w:tabs>
          <w:tab w:leader="none" w:pos="340" w:val="left"/>
        </w:tabs>
        <w:numPr>
          <w:ilvl w:val="0"/>
          <w:numId w:val="31"/>
        </w:numPr>
        <w:rPr>
          <w:rFonts w:ascii="Arial" w:cs="Arial" w:eastAsia="Arial" w:hAnsi="Arial"/>
          <w:sz w:val="18"/>
          <w:szCs w:val="18"/>
          <w:color w:val="4D4D4F"/>
        </w:rPr>
      </w:pPr>
      <w:r>
        <w:rPr>
          <w:rFonts w:ascii="Arial" w:cs="Arial" w:eastAsia="Arial" w:hAnsi="Arial"/>
          <w:sz w:val="18"/>
          <w:szCs w:val="18"/>
          <w:color w:val="4D4D4F"/>
        </w:rPr>
        <w:t>The year in which the nominee first became one of our directors.</w:t>
      </w:r>
    </w:p>
    <w:p>
      <w:pPr>
        <w:spacing w:after="0" w:line="76" w:lineRule="exact"/>
        <w:rPr>
          <w:rFonts w:ascii="Arial" w:cs="Arial" w:eastAsia="Arial" w:hAnsi="Arial"/>
          <w:sz w:val="18"/>
          <w:szCs w:val="18"/>
          <w:color w:val="4D4D4F"/>
        </w:rPr>
      </w:pPr>
    </w:p>
    <w:p>
      <w:pPr>
        <w:ind w:left="340" w:hanging="332"/>
        <w:spacing w:after="0"/>
        <w:tabs>
          <w:tab w:leader="none" w:pos="340" w:val="left"/>
        </w:tabs>
        <w:numPr>
          <w:ilvl w:val="0"/>
          <w:numId w:val="31"/>
        </w:numPr>
        <w:rPr>
          <w:rFonts w:ascii="Arial" w:cs="Arial" w:eastAsia="Arial" w:hAnsi="Arial"/>
          <w:sz w:val="18"/>
          <w:szCs w:val="18"/>
          <w:color w:val="4D4D4F"/>
        </w:rPr>
      </w:pPr>
      <w:r>
        <w:rPr>
          <w:rFonts w:ascii="Arial" w:cs="Arial" w:eastAsia="Arial" w:hAnsi="Arial"/>
          <w:sz w:val="18"/>
          <w:szCs w:val="18"/>
          <w:color w:val="4D4D4F"/>
        </w:rPr>
        <w:t>Each committee of the board of directors on which the nominee currently serves.</w:t>
      </w:r>
    </w:p>
    <w:p>
      <w:pPr>
        <w:spacing w:after="0" w:line="89" w:lineRule="exact"/>
        <w:rPr>
          <w:rFonts w:ascii="Arial" w:cs="Arial" w:eastAsia="Arial" w:hAnsi="Arial"/>
          <w:sz w:val="18"/>
          <w:szCs w:val="18"/>
          <w:color w:val="4D4D4F"/>
        </w:rPr>
      </w:pPr>
    </w:p>
    <w:p>
      <w:pPr>
        <w:ind w:left="340" w:hanging="332"/>
        <w:spacing w:after="0"/>
        <w:tabs>
          <w:tab w:leader="none" w:pos="340" w:val="left"/>
        </w:tabs>
        <w:numPr>
          <w:ilvl w:val="0"/>
          <w:numId w:val="31"/>
        </w:numPr>
        <w:rPr>
          <w:rFonts w:ascii="Arial" w:cs="Arial" w:eastAsia="Arial" w:hAnsi="Arial"/>
          <w:sz w:val="18"/>
          <w:szCs w:val="18"/>
          <w:color w:val="4D4D4F"/>
        </w:rPr>
      </w:pPr>
      <w:r>
        <w:rPr>
          <w:rFonts w:ascii="Arial" w:cs="Arial" w:eastAsia="Arial" w:hAnsi="Arial"/>
          <w:sz w:val="18"/>
          <w:szCs w:val="18"/>
          <w:color w:val="4D4D4F"/>
        </w:rPr>
        <w:t>The nominee’s age as of the record date for the Annual Meeting.</w:t>
      </w:r>
    </w:p>
    <w:p>
      <w:pPr>
        <w:spacing w:after="0" w:line="89" w:lineRule="exact"/>
        <w:rPr>
          <w:rFonts w:ascii="Arial" w:cs="Arial" w:eastAsia="Arial" w:hAnsi="Arial"/>
          <w:sz w:val="18"/>
          <w:szCs w:val="18"/>
          <w:color w:val="4D4D4F"/>
        </w:rPr>
      </w:pPr>
    </w:p>
    <w:p>
      <w:pPr>
        <w:ind w:left="340" w:hanging="332"/>
        <w:spacing w:after="0"/>
        <w:tabs>
          <w:tab w:leader="none" w:pos="340" w:val="left"/>
        </w:tabs>
        <w:numPr>
          <w:ilvl w:val="0"/>
          <w:numId w:val="31"/>
        </w:numPr>
        <w:rPr>
          <w:rFonts w:ascii="Arial" w:cs="Arial" w:eastAsia="Arial" w:hAnsi="Arial"/>
          <w:sz w:val="18"/>
          <w:szCs w:val="18"/>
          <w:color w:val="4D4D4F"/>
        </w:rPr>
      </w:pPr>
      <w:r>
        <w:rPr>
          <w:rFonts w:ascii="Arial" w:cs="Arial" w:eastAsia="Arial" w:hAnsi="Arial"/>
          <w:sz w:val="18"/>
          <w:szCs w:val="18"/>
          <w:color w:val="4D4D4F"/>
        </w:rPr>
        <w:t>The relevant skills the nominee possesses that qualify him or her for nomination to the board.</w:t>
      </w:r>
    </w:p>
    <w:p>
      <w:pPr>
        <w:spacing w:after="0" w:line="76" w:lineRule="exact"/>
        <w:rPr>
          <w:rFonts w:ascii="Arial" w:cs="Arial" w:eastAsia="Arial" w:hAnsi="Arial"/>
          <w:sz w:val="18"/>
          <w:szCs w:val="18"/>
          <w:color w:val="4D4D4F"/>
        </w:rPr>
      </w:pPr>
    </w:p>
    <w:p>
      <w:pPr>
        <w:ind w:left="340" w:right="20" w:hanging="332"/>
        <w:spacing w:after="0" w:line="245" w:lineRule="auto"/>
        <w:tabs>
          <w:tab w:leader="none" w:pos="340" w:val="left"/>
        </w:tabs>
        <w:numPr>
          <w:ilvl w:val="0"/>
          <w:numId w:val="31"/>
        </w:numPr>
        <w:rPr>
          <w:rFonts w:ascii="Arial" w:cs="Arial" w:eastAsia="Arial" w:hAnsi="Arial"/>
          <w:sz w:val="18"/>
          <w:szCs w:val="18"/>
          <w:color w:val="4D4D4F"/>
        </w:rPr>
      </w:pPr>
      <w:r>
        <w:rPr>
          <w:rFonts w:ascii="Arial" w:cs="Arial" w:eastAsia="Arial" w:hAnsi="Arial"/>
          <w:sz w:val="18"/>
          <w:szCs w:val="18"/>
          <w:color w:val="4D4D4F"/>
        </w:rPr>
        <w:t>Directorships held by each nominee presently and at any time during the past five years at any public company or registered investment company.</w:t>
      </w:r>
    </w:p>
    <w:p>
      <w:pPr>
        <w:spacing w:after="0" w:line="252"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595959"/>
        </w:rPr>
        <w:t>Zhengfan Yang and Yinan Xiang have been nominated in accordance with voting agreements with two of our stockholders. See “Corporate Governance—Director Nomination Rights.”</w:t>
      </w:r>
    </w:p>
    <w:p>
      <w:pPr>
        <w:spacing w:after="0" w:line="176" w:lineRule="exact"/>
        <w:rPr>
          <w:sz w:val="20"/>
          <w:szCs w:val="20"/>
          <w:color w:val="auto"/>
        </w:rPr>
      </w:pPr>
    </w:p>
    <w:tbl>
      <w:tblPr>
        <w:tblLayout w:type="fixed"/>
        <w:tblInd w:w="1500" w:type="dxa"/>
        <w:tblCellMar>
          <w:top w:w="0" w:type="dxa"/>
          <w:left w:w="0" w:type="dxa"/>
          <w:bottom w:w="0" w:type="dxa"/>
          <w:right w:w="0" w:type="dxa"/>
        </w:tblCellMar>
      </w:tblPr>
      <w:tr>
        <w:trPr>
          <w:trHeight w:val="239"/>
        </w:trPr>
        <w:tc>
          <w:tcPr>
            <w:tcW w:w="4020" w:type="dxa"/>
            <w:vAlign w:val="bottom"/>
          </w:tcPr>
          <w:p>
            <w:pPr>
              <w:spacing w:after="0"/>
              <w:rPr>
                <w:sz w:val="20"/>
                <w:szCs w:val="20"/>
                <w:color w:val="auto"/>
              </w:rPr>
            </w:pPr>
            <w:r>
              <w:rPr>
                <w:rFonts w:ascii="Arial" w:cs="Arial" w:eastAsia="Arial" w:hAnsi="Arial"/>
                <w:sz w:val="18"/>
                <w:szCs w:val="18"/>
                <w:b w:val="1"/>
                <w:bCs w:val="1"/>
                <w:color w:val="595959"/>
              </w:rPr>
              <w:t>DAVID H. WANG</w:t>
            </w:r>
          </w:p>
        </w:tc>
        <w:tc>
          <w:tcPr>
            <w:tcW w:w="4400" w:type="dxa"/>
            <w:vAlign w:val="bottom"/>
            <w:gridSpan w:val="2"/>
          </w:tcPr>
          <w:p>
            <w:pPr>
              <w:ind w:left="1940"/>
              <w:spacing w:after="0"/>
              <w:rPr>
                <w:sz w:val="20"/>
                <w:szCs w:val="20"/>
                <w:color w:val="auto"/>
              </w:rPr>
            </w:pPr>
            <w:r>
              <w:rPr>
                <w:rFonts w:ascii="Arial" w:cs="Arial" w:eastAsia="Arial" w:hAnsi="Arial"/>
                <w:sz w:val="18"/>
                <w:szCs w:val="18"/>
                <w:b w:val="1"/>
                <w:bCs w:val="1"/>
                <w:color w:val="595959"/>
              </w:rPr>
              <w:t>HAIPING DUN</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0"/>
                <w:szCs w:val="20"/>
                <w:color w:val="auto"/>
              </w:rPr>
            </w:pPr>
            <w:r>
              <w:rPr>
                <w:rFonts w:ascii="Arial" w:cs="Arial" w:eastAsia="Arial" w:hAnsi="Arial"/>
                <w:sz w:val="18"/>
                <w:szCs w:val="18"/>
                <w:color w:val="595959"/>
              </w:rPr>
              <w:t>Age: 57</w:t>
            </w:r>
          </w:p>
        </w:tc>
        <w:tc>
          <w:tcPr>
            <w:tcW w:w="2600" w:type="dxa"/>
            <w:vAlign w:val="bottom"/>
          </w:tcPr>
          <w:p>
            <w:pPr>
              <w:ind w:left="1940"/>
              <w:spacing w:after="0"/>
              <w:rPr>
                <w:sz w:val="20"/>
                <w:szCs w:val="20"/>
                <w:color w:val="auto"/>
              </w:rPr>
            </w:pPr>
            <w:r>
              <w:rPr>
                <w:rFonts w:ascii="Arial" w:cs="Arial" w:eastAsia="Arial" w:hAnsi="Arial"/>
                <w:sz w:val="18"/>
                <w:szCs w:val="18"/>
                <w:color w:val="595959"/>
              </w:rPr>
              <w:t>Age: 69</w:t>
            </w: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4020" w:type="dxa"/>
            <w:vAlign w:val="bottom"/>
          </w:tcPr>
          <w:p>
            <w:pPr>
              <w:spacing w:after="0"/>
              <w:rPr>
                <w:sz w:val="20"/>
                <w:szCs w:val="20"/>
                <w:color w:val="auto"/>
              </w:rPr>
            </w:pPr>
            <w:r>
              <w:rPr>
                <w:rFonts w:ascii="Arial" w:cs="Arial" w:eastAsia="Arial" w:hAnsi="Arial"/>
                <w:sz w:val="18"/>
                <w:szCs w:val="18"/>
                <w:color w:val="595959"/>
              </w:rPr>
              <w:t>ACM Board Service</w:t>
            </w:r>
          </w:p>
        </w:tc>
        <w:tc>
          <w:tcPr>
            <w:tcW w:w="4400" w:type="dxa"/>
            <w:vAlign w:val="bottom"/>
            <w:gridSpan w:val="2"/>
          </w:tcPr>
          <w:p>
            <w:pPr>
              <w:ind w:left="1940"/>
              <w:spacing w:after="0"/>
              <w:rPr>
                <w:sz w:val="20"/>
                <w:szCs w:val="20"/>
                <w:color w:val="auto"/>
              </w:rPr>
            </w:pPr>
            <w:r>
              <w:rPr>
                <w:rFonts w:ascii="Arial" w:cs="Arial" w:eastAsia="Arial" w:hAnsi="Arial"/>
                <w:sz w:val="18"/>
                <w:szCs w:val="18"/>
                <w:color w:val="595959"/>
              </w:rPr>
              <w:t>ACM Board Service</w:t>
            </w:r>
          </w:p>
        </w:tc>
        <w:tc>
          <w:tcPr>
            <w:tcW w:w="0" w:type="dxa"/>
            <w:vAlign w:val="bottom"/>
          </w:tcPr>
          <w:p>
            <w:pPr>
              <w:spacing w:after="0"/>
              <w:rPr>
                <w:sz w:val="1"/>
                <w:szCs w:val="1"/>
                <w:color w:val="auto"/>
              </w:rPr>
            </w:pPr>
          </w:p>
        </w:tc>
      </w:tr>
      <w:tr>
        <w:trPr>
          <w:trHeight w:val="202"/>
        </w:trPr>
        <w:tc>
          <w:tcPr>
            <w:tcW w:w="4020" w:type="dxa"/>
            <w:vAlign w:val="bottom"/>
            <w:vMerge w:val="restart"/>
          </w:tcPr>
          <w:p>
            <w:pPr>
              <w:spacing w:after="0"/>
              <w:rPr>
                <w:sz w:val="20"/>
                <w:szCs w:val="20"/>
                <w:color w:val="auto"/>
              </w:rPr>
            </w:pPr>
            <w:r>
              <w:rPr>
                <w:rFonts w:ascii="Arial" w:cs="Arial" w:eastAsia="Arial" w:hAnsi="Arial"/>
                <w:sz w:val="18"/>
                <w:szCs w:val="18"/>
                <w:color w:val="595959"/>
              </w:rPr>
              <w:t>•  Tenure: 21 years (1998)</w:t>
            </w:r>
          </w:p>
        </w:tc>
        <w:tc>
          <w:tcPr>
            <w:tcW w:w="4400" w:type="dxa"/>
            <w:vAlign w:val="bottom"/>
            <w:gridSpan w:val="2"/>
          </w:tcPr>
          <w:p>
            <w:pPr>
              <w:ind w:left="1940"/>
              <w:spacing w:after="0" w:line="202" w:lineRule="exact"/>
              <w:rPr>
                <w:sz w:val="20"/>
                <w:szCs w:val="20"/>
                <w:color w:val="auto"/>
              </w:rPr>
            </w:pPr>
            <w:r>
              <w:rPr>
                <w:rFonts w:ascii="Arial" w:cs="Arial" w:eastAsia="Arial" w:hAnsi="Arial"/>
                <w:sz w:val="18"/>
                <w:szCs w:val="18"/>
                <w:color w:val="595959"/>
              </w:rPr>
              <w:t>•   Tenure: 16 years (2003)</w:t>
            </w:r>
          </w:p>
        </w:tc>
        <w:tc>
          <w:tcPr>
            <w:tcW w:w="0" w:type="dxa"/>
            <w:vAlign w:val="bottom"/>
          </w:tcPr>
          <w:p>
            <w:pPr>
              <w:spacing w:after="0"/>
              <w:rPr>
                <w:sz w:val="1"/>
                <w:szCs w:val="1"/>
                <w:color w:val="auto"/>
              </w:rPr>
            </w:pPr>
          </w:p>
        </w:tc>
      </w:tr>
      <w:tr>
        <w:trPr>
          <w:trHeight w:val="82"/>
        </w:trPr>
        <w:tc>
          <w:tcPr>
            <w:tcW w:w="4020" w:type="dxa"/>
            <w:vAlign w:val="bottom"/>
            <w:vMerge w:val="continue"/>
          </w:tcPr>
          <w:p>
            <w:pPr>
              <w:spacing w:after="0"/>
              <w:rPr>
                <w:sz w:val="7"/>
                <w:szCs w:val="7"/>
                <w:color w:val="auto"/>
              </w:rPr>
            </w:pPr>
          </w:p>
        </w:tc>
        <w:tc>
          <w:tcPr>
            <w:tcW w:w="4400" w:type="dxa"/>
            <w:vAlign w:val="bottom"/>
            <w:gridSpan w:val="2"/>
            <w:vMerge w:val="restart"/>
          </w:tcPr>
          <w:p>
            <w:pPr>
              <w:ind w:left="1940"/>
              <w:spacing w:after="0" w:line="202" w:lineRule="exact"/>
              <w:rPr>
                <w:sz w:val="20"/>
                <w:szCs w:val="20"/>
                <w:color w:val="auto"/>
              </w:rPr>
            </w:pPr>
            <w:r>
              <w:rPr>
                <w:rFonts w:ascii="Arial" w:cs="Arial" w:eastAsia="Arial" w:hAnsi="Arial"/>
                <w:sz w:val="18"/>
                <w:szCs w:val="18"/>
                <w:color w:val="595959"/>
              </w:rPr>
              <w:t>•   Committees:</w:t>
            </w:r>
          </w:p>
        </w:tc>
        <w:tc>
          <w:tcPr>
            <w:tcW w:w="0" w:type="dxa"/>
            <w:vAlign w:val="bottom"/>
          </w:tcPr>
          <w:p>
            <w:pPr>
              <w:spacing w:after="0"/>
              <w:rPr>
                <w:sz w:val="1"/>
                <w:szCs w:val="1"/>
                <w:color w:val="auto"/>
              </w:rPr>
            </w:pPr>
          </w:p>
        </w:tc>
      </w:tr>
      <w:tr>
        <w:trPr>
          <w:trHeight w:val="121"/>
        </w:trPr>
        <w:tc>
          <w:tcPr>
            <w:tcW w:w="4020" w:type="dxa"/>
            <w:vAlign w:val="bottom"/>
          </w:tcPr>
          <w:p>
            <w:pPr>
              <w:spacing w:after="0"/>
              <w:rPr>
                <w:sz w:val="10"/>
                <w:szCs w:val="10"/>
                <w:color w:val="auto"/>
              </w:rPr>
            </w:pPr>
          </w:p>
        </w:tc>
        <w:tc>
          <w:tcPr>
            <w:tcW w:w="4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4020" w:type="dxa"/>
            <w:vAlign w:val="bottom"/>
          </w:tcPr>
          <w:p>
            <w:pPr>
              <w:spacing w:after="0"/>
              <w:rPr>
                <w:sz w:val="17"/>
                <w:szCs w:val="17"/>
                <w:color w:val="auto"/>
              </w:rPr>
            </w:pPr>
          </w:p>
        </w:tc>
        <w:tc>
          <w:tcPr>
            <w:tcW w:w="2600" w:type="dxa"/>
            <w:vAlign w:val="bottom"/>
          </w:tcPr>
          <w:p>
            <w:pPr>
              <w:ind w:left="2260"/>
              <w:spacing w:after="0"/>
              <w:rPr>
                <w:sz w:val="20"/>
                <w:szCs w:val="20"/>
                <w:color w:val="auto"/>
              </w:rPr>
            </w:pPr>
            <w:r>
              <w:rPr>
                <w:rFonts w:ascii="Arial" w:cs="Arial" w:eastAsia="Arial" w:hAnsi="Arial"/>
                <w:sz w:val="14"/>
                <w:szCs w:val="14"/>
                <w:color w:val="595959"/>
              </w:rPr>
              <w:t>○</w:t>
            </w:r>
          </w:p>
        </w:tc>
        <w:tc>
          <w:tcPr>
            <w:tcW w:w="1800" w:type="dxa"/>
            <w:vAlign w:val="bottom"/>
          </w:tcPr>
          <w:p>
            <w:pPr>
              <w:ind w:left="60"/>
              <w:spacing w:after="0" w:line="202" w:lineRule="exact"/>
              <w:rPr>
                <w:sz w:val="20"/>
                <w:szCs w:val="20"/>
                <w:color w:val="auto"/>
              </w:rPr>
            </w:pPr>
            <w:r>
              <w:rPr>
                <w:rFonts w:ascii="Arial" w:cs="Arial" w:eastAsia="Arial" w:hAnsi="Arial"/>
                <w:sz w:val="18"/>
                <w:szCs w:val="18"/>
                <w:color w:val="595959"/>
              </w:rPr>
              <w:t>Audit</w:t>
            </w:r>
          </w:p>
        </w:tc>
        <w:tc>
          <w:tcPr>
            <w:tcW w:w="0" w:type="dxa"/>
            <w:vAlign w:val="bottom"/>
          </w:tcPr>
          <w:p>
            <w:pPr>
              <w:spacing w:after="0"/>
              <w:rPr>
                <w:sz w:val="1"/>
                <w:szCs w:val="1"/>
                <w:color w:val="auto"/>
              </w:rPr>
            </w:pPr>
          </w:p>
        </w:tc>
      </w:tr>
      <w:tr>
        <w:trPr>
          <w:trHeight w:val="180"/>
        </w:trPr>
        <w:tc>
          <w:tcPr>
            <w:tcW w:w="4020" w:type="dxa"/>
            <w:vAlign w:val="bottom"/>
          </w:tcPr>
          <w:p>
            <w:pPr>
              <w:spacing w:after="0"/>
              <w:rPr>
                <w:sz w:val="15"/>
                <w:szCs w:val="15"/>
                <w:color w:val="auto"/>
              </w:rPr>
            </w:pPr>
          </w:p>
        </w:tc>
        <w:tc>
          <w:tcPr>
            <w:tcW w:w="2600" w:type="dxa"/>
            <w:vAlign w:val="bottom"/>
          </w:tcPr>
          <w:p>
            <w:pPr>
              <w:ind w:left="2260"/>
              <w:spacing w:after="0"/>
              <w:rPr>
                <w:sz w:val="20"/>
                <w:szCs w:val="20"/>
                <w:color w:val="auto"/>
              </w:rPr>
            </w:pPr>
            <w:r>
              <w:rPr>
                <w:rFonts w:ascii="Arial" w:cs="Arial" w:eastAsia="Arial" w:hAnsi="Arial"/>
                <w:sz w:val="14"/>
                <w:szCs w:val="14"/>
                <w:color w:val="595959"/>
              </w:rPr>
              <w:t>○</w:t>
            </w:r>
          </w:p>
        </w:tc>
        <w:tc>
          <w:tcPr>
            <w:tcW w:w="1800" w:type="dxa"/>
            <w:vAlign w:val="bottom"/>
          </w:tcPr>
          <w:p>
            <w:pPr>
              <w:ind w:left="60"/>
              <w:spacing w:after="0" w:line="181" w:lineRule="exact"/>
              <w:rPr>
                <w:sz w:val="20"/>
                <w:szCs w:val="20"/>
                <w:color w:val="auto"/>
              </w:rPr>
            </w:pPr>
            <w:r>
              <w:rPr>
                <w:rFonts w:ascii="Arial" w:cs="Arial" w:eastAsia="Arial" w:hAnsi="Arial"/>
                <w:sz w:val="18"/>
                <w:szCs w:val="18"/>
                <w:color w:val="595959"/>
                <w:w w:val="97"/>
              </w:rPr>
              <w:t>Compensation (Chair)</w:t>
            </w:r>
          </w:p>
        </w:tc>
        <w:tc>
          <w:tcPr>
            <w:tcW w:w="0" w:type="dxa"/>
            <w:vAlign w:val="bottom"/>
          </w:tcPr>
          <w:p>
            <w:pPr>
              <w:spacing w:after="0"/>
              <w:rPr>
                <w:sz w:val="1"/>
                <w:szCs w:val="1"/>
                <w:color w:val="auto"/>
              </w:rPr>
            </w:pPr>
          </w:p>
        </w:tc>
      </w:tr>
      <w:tr>
        <w:trPr>
          <w:trHeight w:val="239"/>
        </w:trPr>
        <w:tc>
          <w:tcPr>
            <w:tcW w:w="4020" w:type="dxa"/>
            <w:vAlign w:val="bottom"/>
          </w:tcPr>
          <w:p>
            <w:pPr>
              <w:spacing w:after="0"/>
              <w:rPr>
                <w:sz w:val="20"/>
                <w:szCs w:val="20"/>
                <w:color w:val="auto"/>
              </w:rPr>
            </w:pPr>
          </w:p>
        </w:tc>
        <w:tc>
          <w:tcPr>
            <w:tcW w:w="4400" w:type="dxa"/>
            <w:vAlign w:val="bottom"/>
            <w:gridSpan w:val="2"/>
          </w:tcPr>
          <w:p>
            <w:pPr>
              <w:ind w:left="1940"/>
              <w:spacing w:after="0"/>
              <w:rPr>
                <w:sz w:val="20"/>
                <w:szCs w:val="20"/>
                <w:color w:val="auto"/>
              </w:rPr>
            </w:pPr>
            <w:r>
              <w:rPr>
                <w:rFonts w:ascii="Arial" w:cs="Arial" w:eastAsia="Arial" w:hAnsi="Arial"/>
                <w:sz w:val="18"/>
                <w:szCs w:val="18"/>
                <w:b w:val="1"/>
                <w:bCs w:val="1"/>
                <w:color w:val="0070C0"/>
              </w:rPr>
              <w:t>INDEPENDENT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-1121410</wp:posOffset>
            </wp:positionV>
            <wp:extent cx="942340" cy="11220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42340" cy="1122045"/>
                    </a:xfrm>
                    <a:prstGeom prst="rect">
                      <a:avLst/>
                    </a:prstGeom>
                    <a:noFill/>
                  </pic:spPr>
                </pic:pic>
              </a:graphicData>
            </a:graphic>
          </wp:anchor>
        </w:drawing>
        <w:drawing>
          <wp:anchor simplePos="0" relativeHeight="251657728" behindDoc="1" locked="0" layoutInCell="0" allowOverlap="1">
            <wp:simplePos x="0" y="0"/>
            <wp:positionH relativeFrom="column">
              <wp:posOffset>3773805</wp:posOffset>
            </wp:positionH>
            <wp:positionV relativeFrom="paragraph">
              <wp:posOffset>-1121410</wp:posOffset>
            </wp:positionV>
            <wp:extent cx="959485" cy="1156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59485" cy="11563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Professional Experience</w:t>
      </w:r>
    </w:p>
    <w:p>
      <w:pPr>
        <w:spacing w:after="0" w:line="166" w:lineRule="exact"/>
        <w:rPr>
          <w:sz w:val="20"/>
          <w:szCs w:val="20"/>
          <w:color w:val="auto"/>
        </w:rPr>
      </w:pPr>
    </w:p>
    <w:p>
      <w:pPr>
        <w:ind w:left="340" w:right="460" w:hanging="332"/>
        <w:spacing w:after="0" w:line="245" w:lineRule="auto"/>
        <w:tabs>
          <w:tab w:leader="none" w:pos="340" w:val="left"/>
        </w:tabs>
        <w:numPr>
          <w:ilvl w:val="0"/>
          <w:numId w:val="32"/>
        </w:numPr>
        <w:rPr>
          <w:rFonts w:ascii="Arial" w:cs="Arial" w:eastAsia="Arial" w:hAnsi="Arial"/>
          <w:sz w:val="18"/>
          <w:szCs w:val="18"/>
          <w:color w:val="595959"/>
        </w:rPr>
      </w:pPr>
      <w:r>
        <w:rPr>
          <w:rFonts w:ascii="Arial" w:cs="Arial" w:eastAsia="Arial" w:hAnsi="Arial"/>
          <w:sz w:val="18"/>
          <w:szCs w:val="18"/>
          <w:color w:val="595959"/>
        </w:rPr>
        <w:t>Founder, Chief Executive Officer, President and one of our directors since 1998.</w:t>
      </w:r>
    </w:p>
    <w:p>
      <w:pPr>
        <w:spacing w:after="0" w:line="63" w:lineRule="exact"/>
        <w:rPr>
          <w:rFonts w:ascii="Arial" w:cs="Arial" w:eastAsia="Arial" w:hAnsi="Arial"/>
          <w:sz w:val="18"/>
          <w:szCs w:val="18"/>
          <w:color w:val="595959"/>
        </w:rPr>
      </w:pPr>
    </w:p>
    <w:p>
      <w:pPr>
        <w:ind w:left="340" w:hanging="332"/>
        <w:spacing w:after="0"/>
        <w:tabs>
          <w:tab w:leader="none" w:pos="340" w:val="left"/>
        </w:tabs>
        <w:numPr>
          <w:ilvl w:val="0"/>
          <w:numId w:val="32"/>
        </w:numPr>
        <w:rPr>
          <w:rFonts w:ascii="Arial" w:cs="Arial" w:eastAsia="Arial" w:hAnsi="Arial"/>
          <w:sz w:val="18"/>
          <w:szCs w:val="18"/>
          <w:color w:val="595959"/>
        </w:rPr>
      </w:pPr>
      <w:r>
        <w:rPr>
          <w:rFonts w:ascii="Arial" w:cs="Arial" w:eastAsia="Arial" w:hAnsi="Arial"/>
          <w:sz w:val="18"/>
          <w:szCs w:val="18"/>
          <w:color w:val="595959"/>
        </w:rPr>
        <w:t>Inventor of stress-free Cu polishing technology.</w:t>
      </w:r>
    </w:p>
    <w:p>
      <w:pPr>
        <w:spacing w:after="0" w:line="89" w:lineRule="exact"/>
        <w:rPr>
          <w:rFonts w:ascii="Arial" w:cs="Arial" w:eastAsia="Arial" w:hAnsi="Arial"/>
          <w:sz w:val="18"/>
          <w:szCs w:val="18"/>
          <w:color w:val="595959"/>
        </w:rPr>
      </w:pPr>
    </w:p>
    <w:p>
      <w:pPr>
        <w:ind w:left="340" w:right="160" w:hanging="332"/>
        <w:spacing w:after="0" w:line="245" w:lineRule="auto"/>
        <w:tabs>
          <w:tab w:leader="none" w:pos="340" w:val="left"/>
        </w:tabs>
        <w:numPr>
          <w:ilvl w:val="0"/>
          <w:numId w:val="32"/>
        </w:numPr>
        <w:rPr>
          <w:rFonts w:ascii="Arial" w:cs="Arial" w:eastAsia="Arial" w:hAnsi="Arial"/>
          <w:sz w:val="18"/>
          <w:szCs w:val="18"/>
          <w:color w:val="595959"/>
        </w:rPr>
      </w:pPr>
      <w:r>
        <w:rPr>
          <w:rFonts w:ascii="Arial" w:cs="Arial" w:eastAsia="Arial" w:hAnsi="Arial"/>
          <w:sz w:val="18"/>
          <w:szCs w:val="18"/>
          <w:color w:val="595959"/>
        </w:rPr>
        <w:t>Holds more than 100 patents in semiconductor equipment and process technology.</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Education</w:t>
      </w:r>
    </w:p>
    <w:p>
      <w:pPr>
        <w:spacing w:after="0" w:line="166"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4D4D4F"/>
        </w:rPr>
      </w:pPr>
      <w:r>
        <w:rPr>
          <w:rFonts w:ascii="Arial" w:cs="Arial" w:eastAsia="Arial" w:hAnsi="Arial"/>
          <w:sz w:val="18"/>
          <w:szCs w:val="18"/>
          <w:color w:val="595959"/>
        </w:rPr>
        <w:t>Received a Ph.D. and Master of Engineering in Precision Engineering from Osaka University and a Bachelor of Science in Precision Instruments from Tsinghua University.</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Relevant Skills</w:t>
      </w:r>
    </w:p>
    <w:p>
      <w:pPr>
        <w:spacing w:after="0" w:line="152"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595959"/>
        </w:rPr>
      </w:pPr>
      <w:r>
        <w:rPr>
          <w:rFonts w:ascii="Arial" w:cs="Arial" w:eastAsia="Arial" w:hAnsi="Arial"/>
          <w:sz w:val="18"/>
          <w:szCs w:val="18"/>
          <w:color w:val="595959"/>
        </w:rPr>
        <w:t>Industry</w:t>
      </w:r>
    </w:p>
    <w:p>
      <w:pPr>
        <w:spacing w:after="0" w:line="89" w:lineRule="exact"/>
        <w:rPr>
          <w:rFonts w:ascii="Arial" w:cs="Arial" w:eastAsia="Arial" w:hAnsi="Arial"/>
          <w:sz w:val="18"/>
          <w:szCs w:val="18"/>
          <w:color w:val="595959"/>
        </w:rPr>
      </w:pPr>
    </w:p>
    <w:p>
      <w:pPr>
        <w:ind w:left="340" w:hanging="332"/>
        <w:spacing w:after="0"/>
        <w:tabs>
          <w:tab w:leader="none" w:pos="340" w:val="left"/>
        </w:tabs>
        <w:numPr>
          <w:ilvl w:val="0"/>
          <w:numId w:val="34"/>
        </w:numPr>
        <w:rPr>
          <w:rFonts w:ascii="Arial" w:cs="Arial" w:eastAsia="Arial" w:hAnsi="Arial"/>
          <w:sz w:val="18"/>
          <w:szCs w:val="18"/>
          <w:color w:val="595959"/>
        </w:rPr>
      </w:pPr>
      <w:r>
        <w:rPr>
          <w:rFonts w:ascii="Arial" w:cs="Arial" w:eastAsia="Arial" w:hAnsi="Arial"/>
          <w:sz w:val="18"/>
          <w:szCs w:val="18"/>
          <w:color w:val="595959"/>
        </w:rPr>
        <w:t>Innovation</w:t>
      </w:r>
    </w:p>
    <w:p>
      <w:pPr>
        <w:spacing w:after="0" w:line="76" w:lineRule="exact"/>
        <w:rPr>
          <w:rFonts w:ascii="Arial" w:cs="Arial" w:eastAsia="Arial" w:hAnsi="Arial"/>
          <w:sz w:val="18"/>
          <w:szCs w:val="18"/>
          <w:color w:val="595959"/>
        </w:rPr>
      </w:pPr>
    </w:p>
    <w:p>
      <w:pPr>
        <w:ind w:left="340" w:hanging="332"/>
        <w:spacing w:after="0"/>
        <w:tabs>
          <w:tab w:leader="none" w:pos="340" w:val="left"/>
        </w:tabs>
        <w:numPr>
          <w:ilvl w:val="0"/>
          <w:numId w:val="34"/>
        </w:numPr>
        <w:rPr>
          <w:rFonts w:ascii="Arial" w:cs="Arial" w:eastAsia="Arial" w:hAnsi="Arial"/>
          <w:sz w:val="18"/>
          <w:szCs w:val="18"/>
          <w:color w:val="4D4D4F"/>
        </w:rPr>
      </w:pPr>
      <w:r>
        <w:rPr>
          <w:rFonts w:ascii="Arial" w:cs="Arial" w:eastAsia="Arial" w:hAnsi="Arial"/>
          <w:sz w:val="18"/>
          <w:szCs w:val="18"/>
          <w:color w:val="595959"/>
        </w:rPr>
        <w:t>Leadership</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4D4D4F"/>
        </w:rPr>
        <w:t>Other Public Board Service</w:t>
      </w:r>
    </w:p>
    <w:p>
      <w:pPr>
        <w:spacing w:after="0" w:line="166"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595959"/>
        </w:rPr>
      </w:pPr>
      <w:r>
        <w:rPr>
          <w:rFonts w:ascii="Arial" w:cs="Arial" w:eastAsia="Arial" w:hAnsi="Arial"/>
          <w:sz w:val="18"/>
          <w:szCs w:val="18"/>
          <w:color w:val="595959"/>
        </w:rPr>
        <w:t>N/A</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4D4D4F"/>
        </w:rPr>
        <w:t>Professional Experience</w:t>
      </w:r>
    </w:p>
    <w:p>
      <w:pPr>
        <w:spacing w:after="0" w:line="166" w:lineRule="exact"/>
        <w:rPr>
          <w:sz w:val="20"/>
          <w:szCs w:val="20"/>
          <w:color w:val="auto"/>
        </w:rPr>
      </w:pPr>
    </w:p>
    <w:p>
      <w:pPr>
        <w:ind w:left="320" w:hanging="318"/>
        <w:spacing w:after="0"/>
        <w:tabs>
          <w:tab w:leader="none" w:pos="320" w:val="left"/>
        </w:tabs>
        <w:numPr>
          <w:ilvl w:val="0"/>
          <w:numId w:val="36"/>
        </w:numPr>
        <w:rPr>
          <w:rFonts w:ascii="Arial" w:cs="Arial" w:eastAsia="Arial" w:hAnsi="Arial"/>
          <w:sz w:val="18"/>
          <w:szCs w:val="18"/>
          <w:color w:val="595959"/>
        </w:rPr>
      </w:pPr>
      <w:r>
        <w:rPr>
          <w:rFonts w:ascii="Arial" w:cs="Arial" w:eastAsia="Arial" w:hAnsi="Arial"/>
          <w:sz w:val="18"/>
          <w:szCs w:val="18"/>
          <w:color w:val="595959"/>
        </w:rPr>
        <w:t>Served as one of our directors since 2003.</w:t>
      </w:r>
    </w:p>
    <w:p>
      <w:pPr>
        <w:spacing w:after="0" w:line="89" w:lineRule="exact"/>
        <w:rPr>
          <w:rFonts w:ascii="Arial" w:cs="Arial" w:eastAsia="Arial" w:hAnsi="Arial"/>
          <w:sz w:val="18"/>
          <w:szCs w:val="18"/>
          <w:color w:val="595959"/>
        </w:rPr>
      </w:pPr>
    </w:p>
    <w:p>
      <w:pPr>
        <w:ind w:left="320" w:hanging="318"/>
        <w:spacing w:after="0" w:line="245" w:lineRule="auto"/>
        <w:tabs>
          <w:tab w:leader="none" w:pos="320" w:val="left"/>
        </w:tabs>
        <w:numPr>
          <w:ilvl w:val="0"/>
          <w:numId w:val="36"/>
        </w:numPr>
        <w:rPr>
          <w:rFonts w:ascii="Arial" w:cs="Arial" w:eastAsia="Arial" w:hAnsi="Arial"/>
          <w:sz w:val="18"/>
          <w:szCs w:val="18"/>
          <w:color w:val="595959"/>
        </w:rPr>
      </w:pPr>
      <w:r>
        <w:rPr>
          <w:rFonts w:ascii="Arial" w:cs="Arial" w:eastAsia="Arial" w:hAnsi="Arial"/>
          <w:sz w:val="18"/>
          <w:szCs w:val="18"/>
          <w:color w:val="595959"/>
        </w:rPr>
        <w:t>President of Champion Microelectronic Corp., a public company in Taiwan, since 2016.</w:t>
      </w:r>
    </w:p>
    <w:p>
      <w:pPr>
        <w:spacing w:after="0" w:line="76" w:lineRule="exact"/>
        <w:rPr>
          <w:rFonts w:ascii="Arial" w:cs="Arial" w:eastAsia="Arial" w:hAnsi="Arial"/>
          <w:sz w:val="18"/>
          <w:szCs w:val="18"/>
          <w:color w:val="595959"/>
        </w:rPr>
      </w:pPr>
    </w:p>
    <w:p>
      <w:pPr>
        <w:ind w:left="320" w:right="20" w:hanging="318"/>
        <w:spacing w:after="0" w:line="242" w:lineRule="auto"/>
        <w:tabs>
          <w:tab w:leader="none" w:pos="320" w:val="left"/>
        </w:tabs>
        <w:numPr>
          <w:ilvl w:val="0"/>
          <w:numId w:val="36"/>
        </w:numPr>
        <w:rPr>
          <w:rFonts w:ascii="Arial" w:cs="Arial" w:eastAsia="Arial" w:hAnsi="Arial"/>
          <w:sz w:val="18"/>
          <w:szCs w:val="18"/>
          <w:color w:val="595959"/>
        </w:rPr>
      </w:pPr>
      <w:r>
        <w:rPr>
          <w:rFonts w:ascii="Arial" w:cs="Arial" w:eastAsia="Arial" w:hAnsi="Arial"/>
          <w:sz w:val="18"/>
          <w:szCs w:val="18"/>
          <w:color w:val="595959"/>
        </w:rPr>
        <w:t>Former Senior Director of Intel Corporation, a company where he was employed since 1983.</w:t>
      </w:r>
    </w:p>
    <w:p>
      <w:pPr>
        <w:spacing w:after="0" w:line="81" w:lineRule="exact"/>
        <w:rPr>
          <w:rFonts w:ascii="Arial" w:cs="Arial" w:eastAsia="Arial" w:hAnsi="Arial"/>
          <w:sz w:val="18"/>
          <w:szCs w:val="18"/>
          <w:color w:val="595959"/>
        </w:rPr>
      </w:pPr>
    </w:p>
    <w:p>
      <w:pPr>
        <w:ind w:left="320" w:hanging="318"/>
        <w:spacing w:after="0"/>
        <w:tabs>
          <w:tab w:leader="none" w:pos="320" w:val="left"/>
        </w:tabs>
        <w:numPr>
          <w:ilvl w:val="0"/>
          <w:numId w:val="36"/>
        </w:numPr>
        <w:rPr>
          <w:rFonts w:ascii="Arial" w:cs="Arial" w:eastAsia="Arial" w:hAnsi="Arial"/>
          <w:sz w:val="34"/>
          <w:szCs w:val="34"/>
          <w:color w:val="595959"/>
          <w:vertAlign w:val="superscript"/>
        </w:rPr>
      </w:pPr>
      <w:r>
        <w:rPr>
          <w:rFonts w:ascii="Arial" w:cs="Arial" w:eastAsia="Arial" w:hAnsi="Arial"/>
          <w:sz w:val="17"/>
          <w:szCs w:val="17"/>
          <w:color w:val="595959"/>
        </w:rPr>
        <w:t>Chief Financial Officer of Kun-Lun Development from 1994 to 2000.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Education</w:t>
      </w:r>
    </w:p>
    <w:p>
      <w:pPr>
        <w:spacing w:after="0" w:line="166" w:lineRule="exact"/>
        <w:rPr>
          <w:sz w:val="20"/>
          <w:szCs w:val="20"/>
          <w:color w:val="auto"/>
        </w:rPr>
      </w:pPr>
    </w:p>
    <w:p>
      <w:pPr>
        <w:jc w:val="both"/>
        <w:ind w:left="240" w:hanging="238"/>
        <w:spacing w:after="0" w:line="238" w:lineRule="auto"/>
        <w:tabs>
          <w:tab w:leader="none" w:pos="240" w:val="left"/>
        </w:tabs>
        <w:numPr>
          <w:ilvl w:val="0"/>
          <w:numId w:val="37"/>
        </w:numPr>
        <w:rPr>
          <w:rFonts w:ascii="Arial" w:cs="Arial" w:eastAsia="Arial" w:hAnsi="Arial"/>
          <w:sz w:val="18"/>
          <w:szCs w:val="18"/>
          <w:color w:val="595959"/>
        </w:rPr>
      </w:pPr>
      <w:r>
        <w:rPr>
          <w:rFonts w:ascii="Arial" w:cs="Arial" w:eastAsia="Arial" w:hAnsi="Arial"/>
          <w:sz w:val="18"/>
          <w:szCs w:val="18"/>
          <w:color w:val="595959"/>
        </w:rPr>
        <w:t>Received a Ph.D. in material science and engineering from Stanford University, a Master of Science in physics from the University of Washington and a Bachelor of Science in physics from National Taiwan University.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Relevant Skills</w:t>
      </w:r>
    </w:p>
    <w:p>
      <w:pPr>
        <w:spacing w:after="0" w:line="152" w:lineRule="exact"/>
        <w:rPr>
          <w:sz w:val="20"/>
          <w:szCs w:val="20"/>
          <w:color w:val="auto"/>
        </w:rPr>
      </w:pPr>
    </w:p>
    <w:p>
      <w:pPr>
        <w:ind w:left="320" w:hanging="318"/>
        <w:spacing w:after="0"/>
        <w:tabs>
          <w:tab w:leader="none" w:pos="320" w:val="left"/>
        </w:tabs>
        <w:numPr>
          <w:ilvl w:val="0"/>
          <w:numId w:val="38"/>
        </w:numPr>
        <w:rPr>
          <w:rFonts w:ascii="Arial" w:cs="Arial" w:eastAsia="Arial" w:hAnsi="Arial"/>
          <w:sz w:val="18"/>
          <w:szCs w:val="18"/>
          <w:color w:val="595959"/>
        </w:rPr>
      </w:pPr>
      <w:r>
        <w:rPr>
          <w:rFonts w:ascii="Arial" w:cs="Arial" w:eastAsia="Arial" w:hAnsi="Arial"/>
          <w:sz w:val="18"/>
          <w:szCs w:val="18"/>
          <w:color w:val="595959"/>
        </w:rPr>
        <w:t>Industry</w:t>
      </w:r>
    </w:p>
    <w:p>
      <w:pPr>
        <w:spacing w:after="0" w:line="89" w:lineRule="exact"/>
        <w:rPr>
          <w:rFonts w:ascii="Arial" w:cs="Arial" w:eastAsia="Arial" w:hAnsi="Arial"/>
          <w:sz w:val="18"/>
          <w:szCs w:val="18"/>
          <w:color w:val="595959"/>
        </w:rPr>
      </w:pPr>
    </w:p>
    <w:p>
      <w:pPr>
        <w:ind w:left="320" w:hanging="318"/>
        <w:spacing w:after="0"/>
        <w:tabs>
          <w:tab w:leader="none" w:pos="320" w:val="left"/>
        </w:tabs>
        <w:numPr>
          <w:ilvl w:val="0"/>
          <w:numId w:val="38"/>
        </w:numPr>
        <w:rPr>
          <w:rFonts w:ascii="Arial" w:cs="Arial" w:eastAsia="Arial" w:hAnsi="Arial"/>
          <w:sz w:val="18"/>
          <w:szCs w:val="18"/>
          <w:color w:val="595959"/>
        </w:rPr>
      </w:pPr>
      <w:r>
        <w:rPr>
          <w:rFonts w:ascii="Arial" w:cs="Arial" w:eastAsia="Arial" w:hAnsi="Arial"/>
          <w:sz w:val="18"/>
          <w:szCs w:val="18"/>
          <w:color w:val="595959"/>
        </w:rPr>
        <w:t>Global</w:t>
      </w:r>
    </w:p>
    <w:p>
      <w:pPr>
        <w:spacing w:after="0" w:line="76" w:lineRule="exact"/>
        <w:rPr>
          <w:rFonts w:ascii="Arial" w:cs="Arial" w:eastAsia="Arial" w:hAnsi="Arial"/>
          <w:sz w:val="18"/>
          <w:szCs w:val="18"/>
          <w:color w:val="595959"/>
        </w:rPr>
      </w:pPr>
    </w:p>
    <w:p>
      <w:pPr>
        <w:ind w:left="320" w:hanging="318"/>
        <w:spacing w:after="0"/>
        <w:tabs>
          <w:tab w:leader="none" w:pos="320" w:val="left"/>
        </w:tabs>
        <w:numPr>
          <w:ilvl w:val="0"/>
          <w:numId w:val="38"/>
        </w:numPr>
        <w:rPr>
          <w:rFonts w:ascii="Arial" w:cs="Arial" w:eastAsia="Arial" w:hAnsi="Arial"/>
          <w:sz w:val="18"/>
          <w:szCs w:val="18"/>
          <w:color w:val="595959"/>
        </w:rPr>
      </w:pPr>
      <w:r>
        <w:rPr>
          <w:rFonts w:ascii="Arial" w:cs="Arial" w:eastAsia="Arial" w:hAnsi="Arial"/>
          <w:sz w:val="18"/>
          <w:szCs w:val="18"/>
          <w:color w:val="595959"/>
        </w:rPr>
        <w:t>Leadership</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Other Public Board Service</w:t>
      </w:r>
    </w:p>
    <w:p>
      <w:pPr>
        <w:spacing w:after="0" w:line="166" w:lineRule="exact"/>
        <w:rPr>
          <w:sz w:val="20"/>
          <w:szCs w:val="20"/>
          <w:color w:val="auto"/>
        </w:rPr>
      </w:pPr>
    </w:p>
    <w:p>
      <w:pPr>
        <w:spacing w:after="0"/>
        <w:tabs>
          <w:tab w:leader="none" w:pos="300" w:val="left"/>
          <w:tab w:leader="none" w:pos="3280" w:val="left"/>
        </w:tabs>
        <w:rPr>
          <w:sz w:val="20"/>
          <w:szCs w:val="20"/>
          <w:color w:val="auto"/>
        </w:rPr>
      </w:pPr>
      <w:r>
        <w:rPr>
          <w:rFonts w:ascii="Arial" w:cs="Arial" w:eastAsia="Arial" w:hAnsi="Arial"/>
          <w:sz w:val="18"/>
          <w:szCs w:val="18"/>
          <w:color w:val="595959"/>
        </w:rPr>
        <w:t>•</w:t>
        <w:tab/>
        <w:t>Champion Microelectronic Corp.</w:t>
      </w:r>
      <w:r>
        <w:rPr>
          <w:sz w:val="20"/>
          <w:szCs w:val="20"/>
          <w:color w:val="auto"/>
        </w:rPr>
        <w:tab/>
      </w:r>
      <w:r>
        <w:rPr>
          <w:rFonts w:ascii="Arial" w:cs="Arial" w:eastAsia="Arial" w:hAnsi="Arial"/>
          <w:sz w:val="17"/>
          <w:szCs w:val="17"/>
          <w:color w:val="595959"/>
        </w:rPr>
        <w:t>2004-present</w:t>
      </w:r>
    </w:p>
    <w:p>
      <w:pPr>
        <w:spacing w:after="0" w:line="200" w:lineRule="exact"/>
        <w:rPr>
          <w:sz w:val="20"/>
          <w:szCs w:val="20"/>
          <w:color w:val="auto"/>
        </w:rPr>
      </w:pPr>
    </w:p>
    <w:p>
      <w:pPr>
        <w:sectPr>
          <w:pgSz w:w="11900" w:h="16838" w:orient="portrait"/>
          <w:cols w:equalWidth="0" w:num="2">
            <w:col w:w="5440" w:space="500"/>
            <w:col w:w="5480"/>
          </w:cols>
          <w:pgMar w:left="240" w:top="121" w:right="239" w:bottom="1440" w:gutter="0" w:footer="0" w:header="0"/>
          <w:type w:val="continuous"/>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595959"/>
        </w:rPr>
        <w:t>CHENMING C.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873760" cy="11137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73760" cy="1113790"/>
                    </a:xfrm>
                    <a:prstGeom prst="rect">
                      <a:avLst/>
                    </a:prstGeom>
                    <a:noFill/>
                  </pic:spPr>
                </pic:pic>
              </a:graphicData>
            </a:graphic>
          </wp:anchor>
        </w:drawing>
      </w:r>
    </w:p>
    <w:p>
      <w:pPr>
        <w:spacing w:after="0" w:line="65" w:lineRule="exact"/>
        <w:rPr>
          <w:sz w:val="20"/>
          <w:szCs w:val="20"/>
          <w:color w:val="auto"/>
        </w:rPr>
      </w:pPr>
    </w:p>
    <w:p>
      <w:pPr>
        <w:ind w:left="1380"/>
        <w:spacing w:after="0"/>
        <w:rPr>
          <w:sz w:val="20"/>
          <w:szCs w:val="20"/>
          <w:color w:val="auto"/>
        </w:rPr>
      </w:pPr>
      <w:r>
        <w:rPr>
          <w:rFonts w:ascii="Arial" w:cs="Arial" w:eastAsia="Arial" w:hAnsi="Arial"/>
          <w:sz w:val="18"/>
          <w:szCs w:val="18"/>
          <w:color w:val="595959"/>
        </w:rPr>
        <w:t>Age: 71</w:t>
      </w:r>
    </w:p>
    <w:p>
      <w:pPr>
        <w:spacing w:after="0" w:line="58" w:lineRule="exact"/>
        <w:rPr>
          <w:sz w:val="20"/>
          <w:szCs w:val="20"/>
          <w:color w:val="auto"/>
        </w:rPr>
      </w:pPr>
    </w:p>
    <w:p>
      <w:pPr>
        <w:ind w:left="1380"/>
        <w:spacing w:after="0"/>
        <w:rPr>
          <w:sz w:val="20"/>
          <w:szCs w:val="20"/>
          <w:color w:val="auto"/>
        </w:rPr>
      </w:pPr>
      <w:r>
        <w:rPr>
          <w:rFonts w:ascii="Arial" w:cs="Arial" w:eastAsia="Arial" w:hAnsi="Arial"/>
          <w:sz w:val="18"/>
          <w:szCs w:val="18"/>
          <w:color w:val="595959"/>
        </w:rPr>
        <w:t>ACM Board Service</w:t>
      </w:r>
    </w:p>
    <w:p>
      <w:pPr>
        <w:ind w:left="1760" w:hanging="376"/>
        <w:spacing w:after="0" w:line="234" w:lineRule="auto"/>
        <w:tabs>
          <w:tab w:leader="none" w:pos="1760" w:val="left"/>
        </w:tabs>
        <w:numPr>
          <w:ilvl w:val="0"/>
          <w:numId w:val="39"/>
        </w:numPr>
        <w:rPr>
          <w:rFonts w:ascii="Arial" w:cs="Arial" w:eastAsia="Arial" w:hAnsi="Arial"/>
          <w:sz w:val="18"/>
          <w:szCs w:val="18"/>
          <w:color w:val="595959"/>
        </w:rPr>
      </w:pPr>
      <w:r>
        <w:rPr>
          <w:rFonts w:ascii="Arial" w:cs="Arial" w:eastAsia="Arial" w:hAnsi="Arial"/>
          <w:sz w:val="18"/>
          <w:szCs w:val="18"/>
          <w:color w:val="595959"/>
        </w:rPr>
        <w:t>Tenure: 3 years (2017)</w:t>
      </w:r>
    </w:p>
    <w:p>
      <w:pPr>
        <w:ind w:left="1380" w:right="520" w:firstLine="4"/>
        <w:spacing w:after="0" w:line="245" w:lineRule="auto"/>
        <w:tabs>
          <w:tab w:leader="none" w:pos="1751" w:val="left"/>
        </w:tabs>
        <w:numPr>
          <w:ilvl w:val="0"/>
          <w:numId w:val="39"/>
        </w:numPr>
        <w:rPr>
          <w:rFonts w:ascii="Arial" w:cs="Arial" w:eastAsia="Arial" w:hAnsi="Arial"/>
          <w:sz w:val="18"/>
          <w:szCs w:val="18"/>
          <w:color w:val="595959"/>
        </w:rPr>
      </w:pPr>
      <w:r>
        <w:rPr>
          <w:rFonts w:ascii="Arial" w:cs="Arial" w:eastAsia="Arial" w:hAnsi="Arial"/>
          <w:sz w:val="18"/>
          <w:szCs w:val="18"/>
          <w:color w:val="595959"/>
        </w:rPr>
        <w:t>Nominating and Governance Committee (Chair)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0070C0"/>
        </w:rPr>
        <w:t>INDEPENDENT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Professional Experience</w:t>
      </w:r>
    </w:p>
    <w:p>
      <w:pPr>
        <w:spacing w:after="0" w:line="166"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595959"/>
        </w:rPr>
      </w:pPr>
      <w:r>
        <w:rPr>
          <w:rFonts w:ascii="Arial" w:cs="Arial" w:eastAsia="Arial" w:hAnsi="Arial"/>
          <w:sz w:val="18"/>
          <w:szCs w:val="18"/>
          <w:color w:val="595959"/>
        </w:rPr>
        <w:t>Served as one of our directors since January 2017.</w:t>
      </w:r>
    </w:p>
    <w:p>
      <w:pPr>
        <w:spacing w:after="0" w:line="76" w:lineRule="exact"/>
        <w:rPr>
          <w:rFonts w:ascii="Arial" w:cs="Arial" w:eastAsia="Arial" w:hAnsi="Arial"/>
          <w:sz w:val="18"/>
          <w:szCs w:val="18"/>
          <w:color w:val="595959"/>
        </w:rPr>
      </w:pPr>
    </w:p>
    <w:p>
      <w:pPr>
        <w:ind w:left="340" w:hanging="332"/>
        <w:spacing w:after="0"/>
        <w:tabs>
          <w:tab w:leader="none" w:pos="340" w:val="left"/>
        </w:tabs>
        <w:numPr>
          <w:ilvl w:val="0"/>
          <w:numId w:val="40"/>
        </w:numPr>
        <w:rPr>
          <w:rFonts w:ascii="Arial" w:cs="Arial" w:eastAsia="Arial" w:hAnsi="Arial"/>
          <w:sz w:val="18"/>
          <w:szCs w:val="18"/>
          <w:color w:val="595959"/>
        </w:rPr>
      </w:pPr>
      <w:r>
        <w:rPr>
          <w:rFonts w:ascii="Arial" w:cs="Arial" w:eastAsia="Arial" w:hAnsi="Arial"/>
          <w:sz w:val="18"/>
          <w:szCs w:val="18"/>
          <w:color w:val="595959"/>
        </w:rPr>
        <w:t>Served as a member of our board of advisors since May 2016.</w:t>
      </w:r>
    </w:p>
    <w:p>
      <w:pPr>
        <w:spacing w:after="0" w:line="89" w:lineRule="exact"/>
        <w:rPr>
          <w:rFonts w:ascii="Arial" w:cs="Arial" w:eastAsia="Arial" w:hAnsi="Arial"/>
          <w:sz w:val="18"/>
          <w:szCs w:val="18"/>
          <w:color w:val="595959"/>
        </w:rPr>
      </w:pPr>
    </w:p>
    <w:p>
      <w:pPr>
        <w:ind w:left="340" w:hanging="332"/>
        <w:spacing w:after="0" w:line="245" w:lineRule="auto"/>
        <w:tabs>
          <w:tab w:leader="none" w:pos="340" w:val="left"/>
        </w:tabs>
        <w:numPr>
          <w:ilvl w:val="0"/>
          <w:numId w:val="40"/>
        </w:numPr>
        <w:rPr>
          <w:rFonts w:ascii="Arial" w:cs="Arial" w:eastAsia="Arial" w:hAnsi="Arial"/>
          <w:sz w:val="18"/>
          <w:szCs w:val="18"/>
          <w:color w:val="595959"/>
        </w:rPr>
      </w:pPr>
      <w:r>
        <w:rPr>
          <w:rFonts w:ascii="Arial" w:cs="Arial" w:eastAsia="Arial" w:hAnsi="Arial"/>
          <w:sz w:val="18"/>
          <w:szCs w:val="18"/>
          <w:color w:val="595959"/>
        </w:rPr>
        <w:t>Professor in electrical engineering and computer sciences at the University of California, Berkeley since 1976.</w:t>
      </w:r>
    </w:p>
    <w:p>
      <w:pPr>
        <w:spacing w:after="0" w:line="76" w:lineRule="exact"/>
        <w:rPr>
          <w:rFonts w:ascii="Arial" w:cs="Arial" w:eastAsia="Arial" w:hAnsi="Arial"/>
          <w:sz w:val="18"/>
          <w:szCs w:val="18"/>
          <w:color w:val="595959"/>
        </w:rPr>
      </w:pPr>
    </w:p>
    <w:p>
      <w:pPr>
        <w:jc w:val="both"/>
        <w:ind w:left="340" w:hanging="332"/>
        <w:spacing w:after="0"/>
        <w:tabs>
          <w:tab w:leader="none" w:pos="340" w:val="left"/>
        </w:tabs>
        <w:numPr>
          <w:ilvl w:val="0"/>
          <w:numId w:val="40"/>
        </w:numPr>
        <w:rPr>
          <w:rFonts w:ascii="Arial" w:cs="Arial" w:eastAsia="Arial" w:hAnsi="Arial"/>
          <w:sz w:val="18"/>
          <w:szCs w:val="18"/>
          <w:color w:val="595959"/>
        </w:rPr>
      </w:pPr>
      <w:r>
        <w:rPr>
          <w:rFonts w:ascii="Arial" w:cs="Arial" w:eastAsia="Arial" w:hAnsi="Arial"/>
          <w:sz w:val="18"/>
          <w:szCs w:val="18"/>
          <w:color w:val="595959"/>
        </w:rPr>
        <w:t>Taiwan Semiconductor Manufacturing Company Distinguished Chair Professor Emeritus and Professor of the Graduate School at the University of California, Berkeley since 2010.</w:t>
      </w:r>
    </w:p>
    <w:p>
      <w:pPr>
        <w:spacing w:after="0" w:line="67" w:lineRule="exact"/>
        <w:rPr>
          <w:rFonts w:ascii="Arial" w:cs="Arial" w:eastAsia="Arial" w:hAnsi="Arial"/>
          <w:sz w:val="18"/>
          <w:szCs w:val="18"/>
          <w:color w:val="595959"/>
        </w:rPr>
      </w:pPr>
    </w:p>
    <w:p>
      <w:pPr>
        <w:ind w:left="340" w:hanging="332"/>
        <w:spacing w:after="0"/>
        <w:tabs>
          <w:tab w:leader="none" w:pos="340" w:val="left"/>
        </w:tabs>
        <w:numPr>
          <w:ilvl w:val="0"/>
          <w:numId w:val="40"/>
        </w:numPr>
        <w:rPr>
          <w:rFonts w:ascii="Arial" w:cs="Arial" w:eastAsia="Arial" w:hAnsi="Arial"/>
          <w:sz w:val="18"/>
          <w:szCs w:val="18"/>
          <w:color w:val="595959"/>
        </w:rPr>
      </w:pPr>
      <w:r>
        <w:rPr>
          <w:rFonts w:ascii="Arial" w:cs="Arial" w:eastAsia="Arial" w:hAnsi="Arial"/>
          <w:sz w:val="18"/>
          <w:szCs w:val="18"/>
          <w:color w:val="595959"/>
        </w:rPr>
        <w:t>Developed FinFet in 1999.</w:t>
      </w:r>
    </w:p>
    <w:p>
      <w:pPr>
        <w:spacing w:after="0" w:line="89" w:lineRule="exact"/>
        <w:rPr>
          <w:rFonts w:ascii="Arial" w:cs="Arial" w:eastAsia="Arial" w:hAnsi="Arial"/>
          <w:sz w:val="18"/>
          <w:szCs w:val="18"/>
          <w:color w:val="595959"/>
        </w:rPr>
      </w:pPr>
    </w:p>
    <w:p>
      <w:pPr>
        <w:jc w:val="both"/>
        <w:ind w:left="340" w:hanging="332"/>
        <w:spacing w:after="0" w:line="245" w:lineRule="auto"/>
        <w:tabs>
          <w:tab w:leader="none" w:pos="340" w:val="left"/>
        </w:tabs>
        <w:numPr>
          <w:ilvl w:val="0"/>
          <w:numId w:val="40"/>
        </w:numPr>
        <w:rPr>
          <w:rFonts w:ascii="Arial" w:cs="Arial" w:eastAsia="Arial" w:hAnsi="Arial"/>
          <w:sz w:val="18"/>
          <w:szCs w:val="18"/>
          <w:color w:val="595959"/>
        </w:rPr>
      </w:pPr>
      <w:r>
        <w:rPr>
          <w:rFonts w:ascii="Arial" w:cs="Arial" w:eastAsia="Arial" w:hAnsi="Arial"/>
          <w:sz w:val="18"/>
          <w:szCs w:val="18"/>
          <w:color w:val="595959"/>
        </w:rPr>
        <w:t>Served as the Chief Technology Officer of Taiwan Semiconductor Manufacturing Company Ltd. from 2001 to 2007.</w:t>
      </w:r>
    </w:p>
    <w:p>
      <w:pPr>
        <w:spacing w:after="0" w:line="76" w:lineRule="exact"/>
        <w:rPr>
          <w:rFonts w:ascii="Arial" w:cs="Arial" w:eastAsia="Arial" w:hAnsi="Arial"/>
          <w:sz w:val="18"/>
          <w:szCs w:val="18"/>
          <w:color w:val="595959"/>
        </w:rPr>
      </w:pPr>
    </w:p>
    <w:p>
      <w:pPr>
        <w:ind w:left="340" w:hanging="332"/>
        <w:spacing w:after="0" w:line="245" w:lineRule="auto"/>
        <w:tabs>
          <w:tab w:leader="none" w:pos="340" w:val="left"/>
        </w:tabs>
        <w:numPr>
          <w:ilvl w:val="0"/>
          <w:numId w:val="40"/>
        </w:numPr>
        <w:rPr>
          <w:rFonts w:ascii="Arial" w:cs="Arial" w:eastAsia="Arial" w:hAnsi="Arial"/>
          <w:sz w:val="18"/>
          <w:szCs w:val="18"/>
          <w:color w:val="595959"/>
        </w:rPr>
      </w:pPr>
      <w:r>
        <w:rPr>
          <w:rFonts w:ascii="Arial" w:cs="Arial" w:eastAsia="Arial" w:hAnsi="Arial"/>
          <w:sz w:val="18"/>
          <w:szCs w:val="18"/>
          <w:color w:val="595959"/>
        </w:rPr>
        <w:t>Member of the U.S. National Academy of Engineering and the Chinese Academy of Sciences, and Taiwan’s Academia Sinica.</w:t>
      </w:r>
    </w:p>
    <w:p>
      <w:pPr>
        <w:spacing w:after="0" w:line="63" w:lineRule="exact"/>
        <w:rPr>
          <w:rFonts w:ascii="Arial" w:cs="Arial" w:eastAsia="Arial" w:hAnsi="Arial"/>
          <w:sz w:val="18"/>
          <w:szCs w:val="18"/>
          <w:color w:val="595959"/>
        </w:rPr>
      </w:pPr>
    </w:p>
    <w:p>
      <w:pPr>
        <w:ind w:left="340" w:right="400" w:hanging="332"/>
        <w:spacing w:after="0" w:line="238" w:lineRule="auto"/>
        <w:tabs>
          <w:tab w:leader="none" w:pos="340" w:val="left"/>
        </w:tabs>
        <w:numPr>
          <w:ilvl w:val="0"/>
          <w:numId w:val="40"/>
        </w:numPr>
        <w:rPr>
          <w:rFonts w:ascii="Arial" w:cs="Arial" w:eastAsia="Arial" w:hAnsi="Arial"/>
          <w:sz w:val="18"/>
          <w:szCs w:val="18"/>
          <w:color w:val="595959"/>
        </w:rPr>
      </w:pPr>
      <w:r>
        <w:rPr>
          <w:rFonts w:ascii="Arial" w:cs="Arial" w:eastAsia="Arial" w:hAnsi="Arial"/>
          <w:sz w:val="18"/>
          <w:szCs w:val="18"/>
          <w:color w:val="595959"/>
        </w:rPr>
        <w:t>Received a Master of Science degree and Ph.D. from the University of California, Berkeley and a Bachelor of Science degree from National Taiwan University, all in electrical engineering.</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595959"/>
        </w:rPr>
        <w:t>TRACY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899160" cy="11309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99160" cy="1130935"/>
                    </a:xfrm>
                    <a:prstGeom prst="rect">
                      <a:avLst/>
                    </a:prstGeom>
                    <a:noFill/>
                  </pic:spPr>
                </pic:pic>
              </a:graphicData>
            </a:graphic>
          </wp:anchor>
        </w:drawing>
      </w:r>
    </w:p>
    <w:p>
      <w:pPr>
        <w:spacing w:after="0" w:line="60" w:lineRule="exact"/>
        <w:rPr>
          <w:sz w:val="20"/>
          <w:szCs w:val="20"/>
          <w:color w:val="auto"/>
        </w:rPr>
      </w:pPr>
    </w:p>
    <w:p>
      <w:pPr>
        <w:ind w:left="1420"/>
        <w:spacing w:after="0"/>
        <w:rPr>
          <w:sz w:val="20"/>
          <w:szCs w:val="20"/>
          <w:color w:val="auto"/>
        </w:rPr>
      </w:pPr>
      <w:r>
        <w:rPr>
          <w:rFonts w:ascii="Arial" w:cs="Arial" w:eastAsia="Arial" w:hAnsi="Arial"/>
          <w:sz w:val="18"/>
          <w:szCs w:val="18"/>
          <w:color w:val="595959"/>
        </w:rPr>
        <w:t>Age: 54</w:t>
      </w:r>
    </w:p>
    <w:p>
      <w:pPr>
        <w:ind w:left="1420"/>
        <w:spacing w:after="0" w:line="234" w:lineRule="auto"/>
        <w:rPr>
          <w:sz w:val="20"/>
          <w:szCs w:val="20"/>
          <w:color w:val="auto"/>
        </w:rPr>
      </w:pPr>
      <w:r>
        <w:rPr>
          <w:rFonts w:ascii="Arial" w:cs="Arial" w:eastAsia="Arial" w:hAnsi="Arial"/>
          <w:sz w:val="18"/>
          <w:szCs w:val="18"/>
          <w:color w:val="595959"/>
        </w:rPr>
        <w:t>ACM Board Service</w:t>
      </w:r>
    </w:p>
    <w:p>
      <w:pPr>
        <w:ind w:left="1720" w:hanging="301"/>
        <w:spacing w:after="0" w:line="235" w:lineRule="auto"/>
        <w:tabs>
          <w:tab w:leader="none" w:pos="1720" w:val="left"/>
        </w:tabs>
        <w:numPr>
          <w:ilvl w:val="0"/>
          <w:numId w:val="41"/>
        </w:numPr>
        <w:rPr>
          <w:rFonts w:ascii="Arial" w:cs="Arial" w:eastAsia="Arial" w:hAnsi="Arial"/>
          <w:sz w:val="18"/>
          <w:szCs w:val="18"/>
          <w:color w:val="595959"/>
        </w:rPr>
      </w:pPr>
      <w:r>
        <w:rPr>
          <w:rFonts w:ascii="Arial" w:cs="Arial" w:eastAsia="Arial" w:hAnsi="Arial"/>
          <w:sz w:val="18"/>
          <w:szCs w:val="18"/>
          <w:color w:val="595959"/>
        </w:rPr>
        <w:t>Tenure: 4 years (2016)</w:t>
      </w:r>
    </w:p>
    <w:p>
      <w:pPr>
        <w:ind w:left="1740" w:hanging="321"/>
        <w:spacing w:after="0" w:line="234" w:lineRule="auto"/>
        <w:tabs>
          <w:tab w:leader="none" w:pos="1740" w:val="left"/>
        </w:tabs>
        <w:numPr>
          <w:ilvl w:val="0"/>
          <w:numId w:val="41"/>
        </w:numPr>
        <w:rPr>
          <w:rFonts w:ascii="Arial" w:cs="Arial" w:eastAsia="Arial" w:hAnsi="Arial"/>
          <w:sz w:val="18"/>
          <w:szCs w:val="18"/>
          <w:color w:val="595959"/>
        </w:rPr>
      </w:pPr>
      <w:r>
        <w:rPr>
          <w:rFonts w:ascii="Arial" w:cs="Arial" w:eastAsia="Arial" w:hAnsi="Arial"/>
          <w:sz w:val="18"/>
          <w:szCs w:val="18"/>
          <w:color w:val="595959"/>
        </w:rPr>
        <w:t>Committees:</w:t>
      </w:r>
    </w:p>
    <w:p>
      <w:pPr>
        <w:ind w:left="2140" w:hanging="398"/>
        <w:spacing w:after="0" w:line="234" w:lineRule="auto"/>
        <w:tabs>
          <w:tab w:leader="none" w:pos="2140" w:val="left"/>
        </w:tabs>
        <w:numPr>
          <w:ilvl w:val="1"/>
          <w:numId w:val="41"/>
        </w:numPr>
        <w:rPr>
          <w:rFonts w:ascii="Arial" w:cs="Arial" w:eastAsia="Arial" w:hAnsi="Arial"/>
          <w:sz w:val="14"/>
          <w:szCs w:val="14"/>
          <w:color w:val="595959"/>
        </w:rPr>
      </w:pPr>
      <w:r>
        <w:rPr>
          <w:rFonts w:ascii="Arial" w:cs="Arial" w:eastAsia="Arial" w:hAnsi="Arial"/>
          <w:sz w:val="18"/>
          <w:szCs w:val="18"/>
          <w:color w:val="595959"/>
        </w:rPr>
        <w:t>Audit (Chair)</w:t>
      </w:r>
    </w:p>
    <w:p>
      <w:pPr>
        <w:ind w:left="2140" w:hanging="398"/>
        <w:spacing w:after="0" w:line="234" w:lineRule="auto"/>
        <w:tabs>
          <w:tab w:leader="none" w:pos="2140" w:val="left"/>
        </w:tabs>
        <w:numPr>
          <w:ilvl w:val="1"/>
          <w:numId w:val="41"/>
        </w:numPr>
        <w:rPr>
          <w:rFonts w:ascii="Arial" w:cs="Arial" w:eastAsia="Arial" w:hAnsi="Arial"/>
          <w:sz w:val="14"/>
          <w:szCs w:val="14"/>
          <w:color w:val="595959"/>
        </w:rPr>
      </w:pPr>
      <w:r>
        <w:rPr>
          <w:rFonts w:ascii="Arial" w:cs="Arial" w:eastAsia="Arial" w:hAnsi="Arial"/>
          <w:sz w:val="18"/>
          <w:szCs w:val="18"/>
          <w:color w:val="595959"/>
        </w:rPr>
        <w:t>Compensation</w:t>
      </w:r>
    </w:p>
    <w:p>
      <w:pPr>
        <w:ind w:left="2140" w:hanging="398"/>
        <w:spacing w:after="0"/>
        <w:tabs>
          <w:tab w:leader="none" w:pos="2140" w:val="left"/>
        </w:tabs>
        <w:numPr>
          <w:ilvl w:val="1"/>
          <w:numId w:val="41"/>
        </w:numPr>
        <w:rPr>
          <w:rFonts w:ascii="Arial" w:cs="Arial" w:eastAsia="Arial" w:hAnsi="Arial"/>
          <w:sz w:val="14"/>
          <w:szCs w:val="14"/>
          <w:color w:val="595959"/>
        </w:rPr>
      </w:pPr>
      <w:r>
        <w:rPr>
          <w:rFonts w:ascii="Arial" w:cs="Arial" w:eastAsia="Arial" w:hAnsi="Arial"/>
          <w:sz w:val="18"/>
          <w:szCs w:val="18"/>
          <w:color w:val="595959"/>
        </w:rPr>
        <w:t>Nominating and Governance</w:t>
      </w:r>
    </w:p>
    <w:p>
      <w:pPr>
        <w:spacing w:after="0" w:line="4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0070C0"/>
        </w:rPr>
        <w:t>INDEPENDENT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Professional Experience</w:t>
      </w:r>
    </w:p>
    <w:p>
      <w:pPr>
        <w:spacing w:after="0" w:line="166" w:lineRule="exact"/>
        <w:rPr>
          <w:sz w:val="20"/>
          <w:szCs w:val="20"/>
          <w:color w:val="auto"/>
        </w:rPr>
      </w:pPr>
    </w:p>
    <w:p>
      <w:pPr>
        <w:ind w:left="320" w:hanging="318"/>
        <w:spacing w:after="0"/>
        <w:tabs>
          <w:tab w:leader="none" w:pos="320" w:val="left"/>
        </w:tabs>
        <w:numPr>
          <w:ilvl w:val="0"/>
          <w:numId w:val="42"/>
        </w:numPr>
        <w:rPr>
          <w:rFonts w:ascii="Arial" w:cs="Arial" w:eastAsia="Arial" w:hAnsi="Arial"/>
          <w:sz w:val="18"/>
          <w:szCs w:val="18"/>
          <w:color w:val="595959"/>
        </w:rPr>
      </w:pPr>
      <w:r>
        <w:rPr>
          <w:rFonts w:ascii="Arial" w:cs="Arial" w:eastAsia="Arial" w:hAnsi="Arial"/>
          <w:sz w:val="18"/>
          <w:szCs w:val="18"/>
          <w:color w:val="595959"/>
        </w:rPr>
        <w:t>Served as one of our directors since September 2016.</w:t>
      </w:r>
    </w:p>
    <w:p>
      <w:pPr>
        <w:spacing w:after="0" w:line="89" w:lineRule="exact"/>
        <w:rPr>
          <w:rFonts w:ascii="Arial" w:cs="Arial" w:eastAsia="Arial" w:hAnsi="Arial"/>
          <w:sz w:val="18"/>
          <w:szCs w:val="18"/>
          <w:color w:val="595959"/>
        </w:rPr>
      </w:pPr>
    </w:p>
    <w:p>
      <w:pPr>
        <w:ind w:left="320" w:hanging="318"/>
        <w:spacing w:after="0"/>
        <w:tabs>
          <w:tab w:leader="none" w:pos="320" w:val="left"/>
        </w:tabs>
        <w:numPr>
          <w:ilvl w:val="0"/>
          <w:numId w:val="42"/>
        </w:numPr>
        <w:rPr>
          <w:rFonts w:ascii="Arial" w:cs="Arial" w:eastAsia="Arial" w:hAnsi="Arial"/>
          <w:sz w:val="18"/>
          <w:szCs w:val="18"/>
          <w:color w:val="595959"/>
        </w:rPr>
      </w:pPr>
      <w:r>
        <w:rPr>
          <w:rFonts w:ascii="Arial" w:cs="Arial" w:eastAsia="Arial" w:hAnsi="Arial"/>
          <w:sz w:val="18"/>
          <w:szCs w:val="18"/>
          <w:color w:val="595959"/>
        </w:rPr>
        <w:t>Managing Partner of H&amp;M CPAs, LLP since January 2017.</w:t>
      </w:r>
    </w:p>
    <w:p>
      <w:pPr>
        <w:spacing w:after="0" w:line="76" w:lineRule="exact"/>
        <w:rPr>
          <w:rFonts w:ascii="Arial" w:cs="Arial" w:eastAsia="Arial" w:hAnsi="Arial"/>
          <w:sz w:val="18"/>
          <w:szCs w:val="18"/>
          <w:color w:val="595959"/>
        </w:rPr>
      </w:pPr>
    </w:p>
    <w:p>
      <w:pPr>
        <w:jc w:val="both"/>
        <w:ind w:left="320" w:hanging="318"/>
        <w:spacing w:after="0"/>
        <w:tabs>
          <w:tab w:leader="none" w:pos="320" w:val="left"/>
        </w:tabs>
        <w:numPr>
          <w:ilvl w:val="0"/>
          <w:numId w:val="42"/>
        </w:numPr>
        <w:rPr>
          <w:rFonts w:ascii="Arial" w:cs="Arial" w:eastAsia="Arial" w:hAnsi="Arial"/>
          <w:sz w:val="18"/>
          <w:szCs w:val="18"/>
          <w:color w:val="595959"/>
        </w:rPr>
      </w:pPr>
      <w:r>
        <w:rPr>
          <w:rFonts w:ascii="Arial" w:cs="Arial" w:eastAsia="Arial" w:hAnsi="Arial"/>
          <w:sz w:val="18"/>
          <w:szCs w:val="18"/>
          <w:color w:val="595959"/>
        </w:rPr>
        <w:t>Founder and owner of H&amp;M Financial Consulting from 2006 to 2016, where she provided international accounting and tax solutions to high-technology companies.</w:t>
      </w:r>
    </w:p>
    <w:p>
      <w:pPr>
        <w:spacing w:after="0" w:line="80" w:lineRule="exact"/>
        <w:rPr>
          <w:rFonts w:ascii="Arial" w:cs="Arial" w:eastAsia="Arial" w:hAnsi="Arial"/>
          <w:sz w:val="18"/>
          <w:szCs w:val="18"/>
          <w:color w:val="595959"/>
        </w:rPr>
      </w:pPr>
    </w:p>
    <w:p>
      <w:pPr>
        <w:ind w:left="320" w:hanging="318"/>
        <w:spacing w:after="0" w:line="245" w:lineRule="auto"/>
        <w:tabs>
          <w:tab w:leader="none" w:pos="320" w:val="left"/>
        </w:tabs>
        <w:numPr>
          <w:ilvl w:val="0"/>
          <w:numId w:val="42"/>
        </w:numPr>
        <w:rPr>
          <w:rFonts w:ascii="Arial" w:cs="Arial" w:eastAsia="Arial" w:hAnsi="Arial"/>
          <w:sz w:val="18"/>
          <w:szCs w:val="18"/>
          <w:color w:val="595959"/>
        </w:rPr>
      </w:pPr>
      <w:r>
        <w:rPr>
          <w:rFonts w:ascii="Arial" w:cs="Arial" w:eastAsia="Arial" w:hAnsi="Arial"/>
          <w:sz w:val="18"/>
          <w:szCs w:val="18"/>
          <w:color w:val="595959"/>
        </w:rPr>
        <w:t>Received a Bachelor of Science from Nankai University and a Master of Accounting and Tax from Golden Gate University.</w:t>
      </w:r>
    </w:p>
    <w:p>
      <w:pPr>
        <w:spacing w:after="0" w:line="76" w:lineRule="exact"/>
        <w:rPr>
          <w:rFonts w:ascii="Arial" w:cs="Arial" w:eastAsia="Arial" w:hAnsi="Arial"/>
          <w:sz w:val="18"/>
          <w:szCs w:val="18"/>
          <w:color w:val="595959"/>
        </w:rPr>
      </w:pPr>
    </w:p>
    <w:p>
      <w:pPr>
        <w:ind w:left="320" w:hanging="318"/>
        <w:spacing w:after="0" w:line="245" w:lineRule="auto"/>
        <w:tabs>
          <w:tab w:leader="none" w:pos="320" w:val="left"/>
        </w:tabs>
        <w:numPr>
          <w:ilvl w:val="0"/>
          <w:numId w:val="42"/>
        </w:numPr>
        <w:rPr>
          <w:rFonts w:ascii="Arial" w:cs="Arial" w:eastAsia="Arial" w:hAnsi="Arial"/>
          <w:sz w:val="18"/>
          <w:szCs w:val="18"/>
          <w:color w:val="595959"/>
        </w:rPr>
      </w:pPr>
      <w:r>
        <w:rPr>
          <w:rFonts w:ascii="Arial" w:cs="Arial" w:eastAsia="Arial" w:hAnsi="Arial"/>
          <w:sz w:val="18"/>
          <w:szCs w:val="18"/>
          <w:color w:val="595959"/>
        </w:rPr>
        <w:t>Certified Public Accountant and a member of the American Institute of Certified Public Accountants.</w:t>
      </w:r>
    </w:p>
    <w:p>
      <w:pPr>
        <w:spacing w:after="0" w:line="1821" w:lineRule="exact"/>
        <w:rPr>
          <w:sz w:val="20"/>
          <w:szCs w:val="20"/>
          <w:color w:val="auto"/>
        </w:rPr>
      </w:pPr>
    </w:p>
    <w:p>
      <w:pPr>
        <w:sectPr>
          <w:pgSz w:w="11900" w:h="16838" w:orient="portrait"/>
          <w:cols w:equalWidth="0" w:num="2">
            <w:col w:w="5480" w:space="460"/>
            <w:col w:w="5480"/>
          </w:cols>
          <w:pgMar w:left="240" w:top="122" w:right="239" w:bottom="1440" w:gutter="0" w:footer="0" w:header="0"/>
        </w:sectPr>
      </w:pPr>
    </w:p>
    <w:tbl>
      <w:tblPr>
        <w:tblLayout w:type="fixed"/>
        <w:tblInd w:w="0" w:type="dxa"/>
        <w:tblCellMar>
          <w:top w:w="0" w:type="dxa"/>
          <w:left w:w="0" w:type="dxa"/>
          <w:bottom w:w="0" w:type="dxa"/>
          <w:right w:w="0" w:type="dxa"/>
        </w:tblCellMar>
      </w:tblPr>
      <w:tr>
        <w:trPr>
          <w:trHeight w:val="239"/>
        </w:trPr>
        <w:tc>
          <w:tcPr>
            <w:tcW w:w="3600" w:type="dxa"/>
            <w:vAlign w:val="bottom"/>
            <w:gridSpan w:val="2"/>
          </w:tcPr>
          <w:p>
            <w:pPr>
              <w:spacing w:after="0"/>
              <w:rPr>
                <w:sz w:val="20"/>
                <w:szCs w:val="20"/>
                <w:color w:val="auto"/>
              </w:rPr>
            </w:pPr>
            <w:r>
              <w:rPr>
                <w:rFonts w:ascii="Arial" w:cs="Arial" w:eastAsia="Arial" w:hAnsi="Arial"/>
                <w:sz w:val="18"/>
                <w:szCs w:val="18"/>
                <w:b w:val="1"/>
                <w:bCs w:val="1"/>
                <w:color w:val="595959"/>
              </w:rPr>
              <w:t>Relevant Skills</w:t>
            </w:r>
          </w:p>
        </w:tc>
        <w:tc>
          <w:tcPr>
            <w:tcW w:w="3620" w:type="dxa"/>
            <w:vAlign w:val="bottom"/>
            <w:gridSpan w:val="2"/>
          </w:tcPr>
          <w:p>
            <w:pPr>
              <w:ind w:left="2340"/>
              <w:spacing w:after="0"/>
              <w:rPr>
                <w:sz w:val="20"/>
                <w:szCs w:val="20"/>
                <w:color w:val="auto"/>
              </w:rPr>
            </w:pPr>
            <w:r>
              <w:rPr>
                <w:rFonts w:ascii="Arial" w:cs="Arial" w:eastAsia="Arial" w:hAnsi="Arial"/>
                <w:sz w:val="18"/>
                <w:szCs w:val="18"/>
                <w:b w:val="1"/>
                <w:bCs w:val="1"/>
                <w:color w:val="595959"/>
                <w:w w:val="99"/>
              </w:rPr>
              <w:t>Relevant Skills</w:t>
            </w:r>
          </w:p>
        </w:tc>
      </w:tr>
      <w:tr>
        <w:trPr>
          <w:trHeight w:val="351"/>
        </w:trPr>
        <w:tc>
          <w:tcPr>
            <w:tcW w:w="200" w:type="dxa"/>
            <w:vAlign w:val="bottom"/>
          </w:tcPr>
          <w:p>
            <w:pPr>
              <w:spacing w:after="0"/>
              <w:rPr>
                <w:sz w:val="20"/>
                <w:szCs w:val="20"/>
                <w:color w:val="auto"/>
              </w:rPr>
            </w:pPr>
            <w:r>
              <w:rPr>
                <w:rFonts w:ascii="Arial" w:cs="Arial" w:eastAsia="Arial" w:hAnsi="Arial"/>
                <w:sz w:val="18"/>
                <w:szCs w:val="18"/>
                <w:color w:val="595959"/>
              </w:rPr>
              <w:t>•</w:t>
            </w:r>
          </w:p>
        </w:tc>
        <w:tc>
          <w:tcPr>
            <w:tcW w:w="3400" w:type="dxa"/>
            <w:vAlign w:val="bottom"/>
          </w:tcPr>
          <w:p>
            <w:pPr>
              <w:ind w:left="140"/>
              <w:spacing w:after="0"/>
              <w:rPr>
                <w:sz w:val="20"/>
                <w:szCs w:val="20"/>
                <w:color w:val="auto"/>
              </w:rPr>
            </w:pPr>
            <w:r>
              <w:rPr>
                <w:rFonts w:ascii="Arial" w:cs="Arial" w:eastAsia="Arial" w:hAnsi="Arial"/>
                <w:sz w:val="18"/>
                <w:szCs w:val="18"/>
                <w:color w:val="595959"/>
              </w:rPr>
              <w:t>Innovation</w:t>
            </w:r>
          </w:p>
        </w:tc>
        <w:tc>
          <w:tcPr>
            <w:tcW w:w="2540" w:type="dxa"/>
            <w:vAlign w:val="bottom"/>
          </w:tcPr>
          <w:p>
            <w:pPr>
              <w:ind w:left="2340"/>
              <w:spacing w:after="0"/>
              <w:rPr>
                <w:sz w:val="20"/>
                <w:szCs w:val="20"/>
                <w:color w:val="auto"/>
              </w:rPr>
            </w:pPr>
            <w:r>
              <w:rPr>
                <w:rFonts w:ascii="Arial" w:cs="Arial" w:eastAsia="Arial" w:hAnsi="Arial"/>
                <w:sz w:val="18"/>
                <w:szCs w:val="18"/>
                <w:color w:val="595959"/>
              </w:rPr>
              <w:t>•</w:t>
            </w:r>
          </w:p>
        </w:tc>
        <w:tc>
          <w:tcPr>
            <w:tcW w:w="1080" w:type="dxa"/>
            <w:vAlign w:val="bottom"/>
          </w:tcPr>
          <w:p>
            <w:pPr>
              <w:ind w:left="120"/>
              <w:spacing w:after="0"/>
              <w:rPr>
                <w:sz w:val="20"/>
                <w:szCs w:val="20"/>
                <w:color w:val="auto"/>
              </w:rPr>
            </w:pPr>
            <w:r>
              <w:rPr>
                <w:rFonts w:ascii="Arial" w:cs="Arial" w:eastAsia="Arial" w:hAnsi="Arial"/>
                <w:sz w:val="18"/>
                <w:szCs w:val="18"/>
                <w:color w:val="595959"/>
              </w:rPr>
              <w:t>Finance</w:t>
            </w:r>
          </w:p>
        </w:tc>
      </w:tr>
      <w:tr>
        <w:trPr>
          <w:trHeight w:val="297"/>
        </w:trPr>
        <w:tc>
          <w:tcPr>
            <w:tcW w:w="200" w:type="dxa"/>
            <w:vAlign w:val="bottom"/>
          </w:tcPr>
          <w:p>
            <w:pPr>
              <w:spacing w:after="0"/>
              <w:rPr>
                <w:sz w:val="20"/>
                <w:szCs w:val="20"/>
                <w:color w:val="auto"/>
              </w:rPr>
            </w:pPr>
            <w:r>
              <w:rPr>
                <w:rFonts w:ascii="Arial" w:cs="Arial" w:eastAsia="Arial" w:hAnsi="Arial"/>
                <w:sz w:val="18"/>
                <w:szCs w:val="18"/>
                <w:color w:val="595959"/>
              </w:rPr>
              <w:t>•</w:t>
            </w:r>
          </w:p>
        </w:tc>
        <w:tc>
          <w:tcPr>
            <w:tcW w:w="3400" w:type="dxa"/>
            <w:vAlign w:val="bottom"/>
          </w:tcPr>
          <w:p>
            <w:pPr>
              <w:ind w:left="140"/>
              <w:spacing w:after="0"/>
              <w:rPr>
                <w:sz w:val="20"/>
                <w:szCs w:val="20"/>
                <w:color w:val="auto"/>
              </w:rPr>
            </w:pPr>
            <w:r>
              <w:rPr>
                <w:rFonts w:ascii="Arial" w:cs="Arial" w:eastAsia="Arial" w:hAnsi="Arial"/>
                <w:sz w:val="18"/>
                <w:szCs w:val="18"/>
                <w:color w:val="595959"/>
              </w:rPr>
              <w:t>Industry</w:t>
            </w:r>
          </w:p>
        </w:tc>
        <w:tc>
          <w:tcPr>
            <w:tcW w:w="2540" w:type="dxa"/>
            <w:vAlign w:val="bottom"/>
          </w:tcPr>
          <w:p>
            <w:pPr>
              <w:ind w:left="2340"/>
              <w:spacing w:after="0"/>
              <w:rPr>
                <w:sz w:val="20"/>
                <w:szCs w:val="20"/>
                <w:color w:val="auto"/>
              </w:rPr>
            </w:pPr>
            <w:r>
              <w:rPr>
                <w:rFonts w:ascii="Arial" w:cs="Arial" w:eastAsia="Arial" w:hAnsi="Arial"/>
                <w:sz w:val="18"/>
                <w:szCs w:val="18"/>
                <w:color w:val="595959"/>
              </w:rPr>
              <w:t>•</w:t>
            </w:r>
          </w:p>
        </w:tc>
        <w:tc>
          <w:tcPr>
            <w:tcW w:w="1080" w:type="dxa"/>
            <w:vAlign w:val="bottom"/>
          </w:tcPr>
          <w:p>
            <w:pPr>
              <w:ind w:left="120"/>
              <w:spacing w:after="0"/>
              <w:rPr>
                <w:sz w:val="20"/>
                <w:szCs w:val="20"/>
                <w:color w:val="auto"/>
              </w:rPr>
            </w:pPr>
            <w:r>
              <w:rPr>
                <w:rFonts w:ascii="Arial" w:cs="Arial" w:eastAsia="Arial" w:hAnsi="Arial"/>
                <w:sz w:val="18"/>
                <w:szCs w:val="18"/>
                <w:color w:val="595959"/>
              </w:rPr>
              <w:t>Leadership</w:t>
            </w:r>
          </w:p>
        </w:tc>
      </w:tr>
      <w:tr>
        <w:trPr>
          <w:trHeight w:val="297"/>
        </w:trPr>
        <w:tc>
          <w:tcPr>
            <w:tcW w:w="200" w:type="dxa"/>
            <w:vAlign w:val="bottom"/>
          </w:tcPr>
          <w:p>
            <w:pPr>
              <w:spacing w:after="0"/>
              <w:rPr>
                <w:sz w:val="20"/>
                <w:szCs w:val="20"/>
                <w:color w:val="auto"/>
              </w:rPr>
            </w:pPr>
            <w:r>
              <w:rPr>
                <w:rFonts w:ascii="Arial" w:cs="Arial" w:eastAsia="Arial" w:hAnsi="Arial"/>
                <w:sz w:val="18"/>
                <w:szCs w:val="18"/>
                <w:color w:val="595959"/>
              </w:rPr>
              <w:t>•</w:t>
            </w:r>
          </w:p>
        </w:tc>
        <w:tc>
          <w:tcPr>
            <w:tcW w:w="3400" w:type="dxa"/>
            <w:vAlign w:val="bottom"/>
          </w:tcPr>
          <w:p>
            <w:pPr>
              <w:ind w:left="140"/>
              <w:spacing w:after="0"/>
              <w:rPr>
                <w:sz w:val="20"/>
                <w:szCs w:val="20"/>
                <w:color w:val="auto"/>
              </w:rPr>
            </w:pPr>
            <w:r>
              <w:rPr>
                <w:rFonts w:ascii="Arial" w:cs="Arial" w:eastAsia="Arial" w:hAnsi="Arial"/>
                <w:sz w:val="18"/>
                <w:szCs w:val="18"/>
                <w:color w:val="595959"/>
              </w:rPr>
              <w:t>Education</w:t>
            </w:r>
          </w:p>
        </w:tc>
        <w:tc>
          <w:tcPr>
            <w:tcW w:w="2540" w:type="dxa"/>
            <w:vAlign w:val="bottom"/>
          </w:tcPr>
          <w:p>
            <w:pPr>
              <w:ind w:left="2340"/>
              <w:spacing w:after="0"/>
              <w:rPr>
                <w:sz w:val="20"/>
                <w:szCs w:val="20"/>
                <w:color w:val="auto"/>
              </w:rPr>
            </w:pPr>
            <w:r>
              <w:rPr>
                <w:rFonts w:ascii="Arial" w:cs="Arial" w:eastAsia="Arial" w:hAnsi="Arial"/>
                <w:sz w:val="18"/>
                <w:szCs w:val="18"/>
                <w:color w:val="595959"/>
              </w:rPr>
              <w:t>•</w:t>
            </w:r>
          </w:p>
        </w:tc>
        <w:tc>
          <w:tcPr>
            <w:tcW w:w="1080" w:type="dxa"/>
            <w:vAlign w:val="bottom"/>
          </w:tcPr>
          <w:p>
            <w:pPr>
              <w:ind w:left="120"/>
              <w:spacing w:after="0"/>
              <w:rPr>
                <w:sz w:val="20"/>
                <w:szCs w:val="20"/>
                <w:color w:val="auto"/>
              </w:rPr>
            </w:pPr>
            <w:r>
              <w:rPr>
                <w:rFonts w:ascii="Arial" w:cs="Arial" w:eastAsia="Arial" w:hAnsi="Arial"/>
                <w:sz w:val="18"/>
                <w:szCs w:val="18"/>
                <w:color w:val="595959"/>
              </w:rPr>
              <w:t>Global</w:t>
            </w:r>
          </w:p>
        </w:tc>
      </w:tr>
    </w:tbl>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60" w:type="dxa"/>
            <w:vAlign w:val="bottom"/>
            <w:gridSpan w:val="3"/>
          </w:tcPr>
          <w:p>
            <w:pPr>
              <w:spacing w:after="0"/>
              <w:rPr>
                <w:sz w:val="20"/>
                <w:szCs w:val="20"/>
                <w:color w:val="auto"/>
              </w:rPr>
            </w:pPr>
            <w:r>
              <w:rPr>
                <w:rFonts w:ascii="Arial" w:cs="Arial" w:eastAsia="Arial" w:hAnsi="Arial"/>
                <w:sz w:val="18"/>
                <w:szCs w:val="18"/>
                <w:b w:val="1"/>
                <w:bCs w:val="1"/>
                <w:color w:val="595959"/>
              </w:rPr>
              <w:t>Other Public Board Service</w:t>
            </w:r>
          </w:p>
        </w:tc>
        <w:tc>
          <w:tcPr>
            <w:tcW w:w="7060" w:type="dxa"/>
            <w:vAlign w:val="bottom"/>
          </w:tcPr>
          <w:p>
            <w:pPr>
              <w:ind w:left="1580"/>
              <w:spacing w:after="0"/>
              <w:rPr>
                <w:sz w:val="20"/>
                <w:szCs w:val="20"/>
                <w:color w:val="auto"/>
              </w:rPr>
            </w:pPr>
            <w:r>
              <w:rPr>
                <w:rFonts w:ascii="Arial" w:cs="Arial" w:eastAsia="Arial" w:hAnsi="Arial"/>
                <w:sz w:val="18"/>
                <w:szCs w:val="18"/>
                <w:b w:val="1"/>
                <w:bCs w:val="1"/>
                <w:color w:val="595959"/>
              </w:rPr>
              <w:t>Other Public Board Service</w:t>
            </w:r>
          </w:p>
        </w:tc>
      </w:tr>
      <w:tr>
        <w:trPr>
          <w:trHeight w:val="351"/>
        </w:trPr>
        <w:tc>
          <w:tcPr>
            <w:tcW w:w="200" w:type="dxa"/>
            <w:vAlign w:val="bottom"/>
          </w:tcPr>
          <w:p>
            <w:pPr>
              <w:spacing w:after="0"/>
              <w:rPr>
                <w:sz w:val="20"/>
                <w:szCs w:val="20"/>
                <w:color w:val="auto"/>
              </w:rPr>
            </w:pPr>
            <w:r>
              <w:rPr>
                <w:rFonts w:ascii="Arial" w:cs="Arial" w:eastAsia="Arial" w:hAnsi="Arial"/>
                <w:sz w:val="18"/>
                <w:szCs w:val="18"/>
                <w:color w:val="595959"/>
              </w:rPr>
              <w:t>•</w:t>
            </w:r>
          </w:p>
        </w:tc>
        <w:tc>
          <w:tcPr>
            <w:tcW w:w="1640" w:type="dxa"/>
            <w:vAlign w:val="bottom"/>
          </w:tcPr>
          <w:p>
            <w:pPr>
              <w:ind w:left="140"/>
              <w:spacing w:after="0"/>
              <w:rPr>
                <w:sz w:val="20"/>
                <w:szCs w:val="20"/>
                <w:color w:val="auto"/>
              </w:rPr>
            </w:pPr>
            <w:r>
              <w:rPr>
                <w:rFonts w:ascii="Arial" w:cs="Arial" w:eastAsia="Arial" w:hAnsi="Arial"/>
                <w:sz w:val="18"/>
                <w:szCs w:val="18"/>
                <w:color w:val="595959"/>
              </w:rPr>
              <w:t>Ambarella, Inc.</w:t>
            </w:r>
          </w:p>
        </w:tc>
        <w:tc>
          <w:tcPr>
            <w:tcW w:w="2520" w:type="dxa"/>
            <w:vAlign w:val="bottom"/>
          </w:tcPr>
          <w:p>
            <w:pPr>
              <w:ind w:left="140"/>
              <w:spacing w:after="0"/>
              <w:rPr>
                <w:sz w:val="20"/>
                <w:szCs w:val="20"/>
                <w:color w:val="auto"/>
              </w:rPr>
            </w:pPr>
            <w:r>
              <w:rPr>
                <w:rFonts w:ascii="Arial" w:cs="Arial" w:eastAsia="Arial" w:hAnsi="Arial"/>
                <w:sz w:val="18"/>
                <w:szCs w:val="18"/>
                <w:color w:val="595959"/>
              </w:rPr>
              <w:t>2010-present</w:t>
            </w:r>
          </w:p>
        </w:tc>
        <w:tc>
          <w:tcPr>
            <w:tcW w:w="7060" w:type="dxa"/>
            <w:vAlign w:val="bottom"/>
          </w:tcPr>
          <w:p>
            <w:pPr>
              <w:ind w:left="1580"/>
              <w:spacing w:after="0"/>
              <w:rPr>
                <w:sz w:val="20"/>
                <w:szCs w:val="20"/>
                <w:color w:val="auto"/>
              </w:rPr>
            </w:pPr>
            <w:r>
              <w:rPr>
                <w:rFonts w:ascii="Arial" w:cs="Arial" w:eastAsia="Arial" w:hAnsi="Arial"/>
                <w:sz w:val="18"/>
                <w:szCs w:val="18"/>
                <w:color w:val="595959"/>
              </w:rPr>
              <w:t>•   N/A</w:t>
            </w:r>
          </w:p>
        </w:tc>
      </w:tr>
      <w:tr>
        <w:trPr>
          <w:trHeight w:val="297"/>
        </w:trPr>
        <w:tc>
          <w:tcPr>
            <w:tcW w:w="200" w:type="dxa"/>
            <w:vAlign w:val="bottom"/>
          </w:tcPr>
          <w:p>
            <w:pPr>
              <w:spacing w:after="0"/>
              <w:rPr>
                <w:sz w:val="20"/>
                <w:szCs w:val="20"/>
                <w:color w:val="auto"/>
              </w:rPr>
            </w:pPr>
            <w:r>
              <w:rPr>
                <w:rFonts w:ascii="Arial" w:cs="Arial" w:eastAsia="Arial" w:hAnsi="Arial"/>
                <w:sz w:val="18"/>
                <w:szCs w:val="18"/>
                <w:color w:val="595959"/>
              </w:rPr>
              <w:t>•</w:t>
            </w:r>
          </w:p>
        </w:tc>
        <w:tc>
          <w:tcPr>
            <w:tcW w:w="1640" w:type="dxa"/>
            <w:vAlign w:val="bottom"/>
          </w:tcPr>
          <w:p>
            <w:pPr>
              <w:ind w:left="140"/>
              <w:spacing w:after="0"/>
              <w:rPr>
                <w:sz w:val="20"/>
                <w:szCs w:val="20"/>
                <w:color w:val="auto"/>
              </w:rPr>
            </w:pPr>
            <w:r>
              <w:rPr>
                <w:rFonts w:ascii="Arial" w:cs="Arial" w:eastAsia="Arial" w:hAnsi="Arial"/>
                <w:sz w:val="18"/>
                <w:szCs w:val="18"/>
                <w:color w:val="595959"/>
              </w:rPr>
              <w:t>Inphi Corporation</w:t>
            </w:r>
          </w:p>
        </w:tc>
        <w:tc>
          <w:tcPr>
            <w:tcW w:w="2520" w:type="dxa"/>
            <w:vAlign w:val="bottom"/>
          </w:tcPr>
          <w:p>
            <w:pPr>
              <w:ind w:left="180"/>
              <w:spacing w:after="0"/>
              <w:rPr>
                <w:sz w:val="20"/>
                <w:szCs w:val="20"/>
                <w:color w:val="auto"/>
              </w:rPr>
            </w:pPr>
            <w:r>
              <w:rPr>
                <w:rFonts w:ascii="Arial" w:cs="Arial" w:eastAsia="Arial" w:hAnsi="Arial"/>
                <w:sz w:val="18"/>
                <w:szCs w:val="18"/>
                <w:color w:val="595959"/>
              </w:rPr>
              <w:t>2011-present</w:t>
            </w:r>
          </w:p>
        </w:tc>
        <w:tc>
          <w:tcPr>
            <w:tcW w:w="7060" w:type="dxa"/>
            <w:vAlign w:val="bottom"/>
          </w:tcPr>
          <w:p>
            <w:pPr>
              <w:spacing w:after="0"/>
              <w:rPr>
                <w:sz w:val="24"/>
                <w:szCs w:val="24"/>
                <w:color w:val="auto"/>
              </w:rPr>
            </w:pPr>
          </w:p>
        </w:tc>
      </w:tr>
      <w:tr>
        <w:trPr>
          <w:trHeight w:val="528"/>
        </w:trPr>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060" w:type="dxa"/>
            <w:vAlign w:val="bottom"/>
          </w:tcPr>
          <w:p>
            <w:pPr>
              <w:jc w:val="right"/>
              <w:ind w:right="5536"/>
              <w:spacing w:after="0"/>
              <w:rPr>
                <w:sz w:val="20"/>
                <w:szCs w:val="20"/>
                <w:color w:val="auto"/>
              </w:rPr>
            </w:pPr>
            <w:r>
              <w:rPr>
                <w:rFonts w:ascii="Arial" w:cs="Arial" w:eastAsia="Arial" w:hAnsi="Arial"/>
                <w:sz w:val="14"/>
                <w:szCs w:val="14"/>
                <w:color w:val="auto"/>
              </w:rPr>
              <w:t>23</w:t>
            </w:r>
          </w:p>
        </w:tc>
      </w:tr>
      <w:tr>
        <w:trPr>
          <w:trHeight w:val="46"/>
        </w:trPr>
        <w:tc>
          <w:tcPr>
            <w:tcW w:w="2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22" w:right="239" w:bottom="1440" w:gutter="0" w:footer="0" w:header="0"/>
          <w:type w:val="continuous"/>
        </w:sectPr>
      </w:pPr>
    </w:p>
    <w:bookmarkStart w:id="29" w:name="page30"/>
    <w:bookmarkEnd w:id="2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4"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595959"/>
        </w:rPr>
        <w:t>YINAN XIANG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916305" cy="11220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16305" cy="1122045"/>
                    </a:xfrm>
                    <a:prstGeom prst="rect">
                      <a:avLst/>
                    </a:prstGeom>
                    <a:noFill/>
                  </pic:spPr>
                </pic:pic>
              </a:graphicData>
            </a:graphic>
          </wp:anchor>
        </w:drawing>
      </w:r>
    </w:p>
    <w:p>
      <w:pPr>
        <w:spacing w:after="0" w:line="65" w:lineRule="exact"/>
        <w:rPr>
          <w:sz w:val="20"/>
          <w:szCs w:val="20"/>
          <w:color w:val="auto"/>
        </w:rPr>
      </w:pPr>
    </w:p>
    <w:p>
      <w:pPr>
        <w:ind w:left="1460"/>
        <w:spacing w:after="0"/>
        <w:rPr>
          <w:sz w:val="20"/>
          <w:szCs w:val="20"/>
          <w:color w:val="auto"/>
        </w:rPr>
      </w:pPr>
      <w:r>
        <w:rPr>
          <w:rFonts w:ascii="Arial" w:cs="Arial" w:eastAsia="Arial" w:hAnsi="Arial"/>
          <w:sz w:val="18"/>
          <w:szCs w:val="18"/>
          <w:color w:val="595959"/>
        </w:rPr>
        <w:t>Age: 44</w:t>
      </w:r>
    </w:p>
    <w:p>
      <w:pPr>
        <w:spacing w:after="0" w:line="58" w:lineRule="exact"/>
        <w:rPr>
          <w:sz w:val="20"/>
          <w:szCs w:val="20"/>
          <w:color w:val="auto"/>
        </w:rPr>
      </w:pPr>
    </w:p>
    <w:p>
      <w:pPr>
        <w:ind w:left="1460"/>
        <w:spacing w:after="0"/>
        <w:rPr>
          <w:sz w:val="20"/>
          <w:szCs w:val="20"/>
          <w:color w:val="auto"/>
        </w:rPr>
      </w:pPr>
      <w:r>
        <w:rPr>
          <w:rFonts w:ascii="Arial" w:cs="Arial" w:eastAsia="Arial" w:hAnsi="Arial"/>
          <w:sz w:val="18"/>
          <w:szCs w:val="18"/>
          <w:color w:val="595959"/>
        </w:rPr>
        <w:t>ACM Board Service</w:t>
      </w:r>
    </w:p>
    <w:p>
      <w:pPr>
        <w:ind w:left="1820" w:hanging="369"/>
        <w:spacing w:after="0" w:line="234" w:lineRule="auto"/>
        <w:tabs>
          <w:tab w:leader="none" w:pos="1820" w:val="left"/>
        </w:tabs>
        <w:numPr>
          <w:ilvl w:val="0"/>
          <w:numId w:val="43"/>
        </w:numPr>
        <w:rPr>
          <w:rFonts w:ascii="Arial" w:cs="Arial" w:eastAsia="Arial" w:hAnsi="Arial"/>
          <w:sz w:val="18"/>
          <w:szCs w:val="18"/>
          <w:color w:val="595959"/>
        </w:rPr>
      </w:pPr>
      <w:r>
        <w:rPr>
          <w:rFonts w:ascii="Arial" w:cs="Arial" w:eastAsia="Arial" w:hAnsi="Arial"/>
          <w:sz w:val="18"/>
          <w:szCs w:val="18"/>
          <w:color w:val="595959"/>
        </w:rPr>
        <w:t>Tenure: 18 months (2017)</w:t>
      </w:r>
    </w:p>
    <w:p>
      <w:pPr>
        <w:ind w:left="1820" w:hanging="369"/>
        <w:spacing w:after="0"/>
        <w:tabs>
          <w:tab w:leader="none" w:pos="1820" w:val="left"/>
        </w:tabs>
        <w:numPr>
          <w:ilvl w:val="0"/>
          <w:numId w:val="43"/>
        </w:numPr>
        <w:rPr>
          <w:rFonts w:ascii="Arial" w:cs="Arial" w:eastAsia="Arial" w:hAnsi="Arial"/>
          <w:sz w:val="18"/>
          <w:szCs w:val="18"/>
          <w:color w:val="595959"/>
        </w:rPr>
      </w:pPr>
      <w:r>
        <w:rPr>
          <w:rFonts w:ascii="Arial" w:cs="Arial" w:eastAsia="Arial" w:hAnsi="Arial"/>
          <w:sz w:val="18"/>
          <w:szCs w:val="18"/>
          <w:color w:val="595959"/>
        </w:rPr>
        <w:t>Audit Committee</w:t>
      </w:r>
    </w:p>
    <w:p>
      <w:pPr>
        <w:spacing w:after="0" w:line="257"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0070C0"/>
        </w:rPr>
        <w:t>INDEPENDENT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Professional Experience</w:t>
      </w:r>
    </w:p>
    <w:p>
      <w:pPr>
        <w:spacing w:after="0" w:line="152"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595959"/>
        </w:rPr>
      </w:pPr>
      <w:r>
        <w:rPr>
          <w:rFonts w:ascii="Arial" w:cs="Arial" w:eastAsia="Arial" w:hAnsi="Arial"/>
          <w:sz w:val="18"/>
          <w:szCs w:val="18"/>
          <w:color w:val="595959"/>
        </w:rPr>
        <w:t>Served as one of our directors since November 2017.</w:t>
      </w:r>
    </w:p>
    <w:p>
      <w:pPr>
        <w:spacing w:after="0" w:line="89" w:lineRule="exact"/>
        <w:rPr>
          <w:rFonts w:ascii="Arial" w:cs="Arial" w:eastAsia="Arial" w:hAnsi="Arial"/>
          <w:sz w:val="18"/>
          <w:szCs w:val="18"/>
          <w:color w:val="595959"/>
        </w:rPr>
      </w:pPr>
    </w:p>
    <w:p>
      <w:pPr>
        <w:ind w:left="340" w:hanging="332"/>
        <w:spacing w:after="0" w:line="245" w:lineRule="auto"/>
        <w:tabs>
          <w:tab w:leader="none" w:pos="340" w:val="left"/>
        </w:tabs>
        <w:numPr>
          <w:ilvl w:val="0"/>
          <w:numId w:val="44"/>
        </w:numPr>
        <w:rPr>
          <w:rFonts w:ascii="Arial" w:cs="Arial" w:eastAsia="Arial" w:hAnsi="Arial"/>
          <w:sz w:val="18"/>
          <w:szCs w:val="18"/>
          <w:color w:val="595959"/>
        </w:rPr>
      </w:pPr>
      <w:r>
        <w:rPr>
          <w:rFonts w:ascii="Arial" w:cs="Arial" w:eastAsia="Arial" w:hAnsi="Arial"/>
          <w:sz w:val="18"/>
          <w:szCs w:val="18"/>
          <w:color w:val="595959"/>
        </w:rPr>
        <w:t>Deputy General Manager of Shanghai S&amp;T Venture Capital (Group) Co. Ltd., or SSTVC, since October 2016</w:t>
      </w:r>
    </w:p>
    <w:p>
      <w:pPr>
        <w:spacing w:after="0" w:line="76" w:lineRule="exact"/>
        <w:rPr>
          <w:rFonts w:ascii="Arial" w:cs="Arial" w:eastAsia="Arial" w:hAnsi="Arial"/>
          <w:sz w:val="18"/>
          <w:szCs w:val="18"/>
          <w:color w:val="595959"/>
        </w:rPr>
      </w:pPr>
    </w:p>
    <w:p>
      <w:pPr>
        <w:ind w:left="340" w:hanging="332"/>
        <w:spacing w:after="0" w:line="245" w:lineRule="auto"/>
        <w:tabs>
          <w:tab w:leader="none" w:pos="340" w:val="left"/>
        </w:tabs>
        <w:numPr>
          <w:ilvl w:val="0"/>
          <w:numId w:val="44"/>
        </w:numPr>
        <w:rPr>
          <w:rFonts w:ascii="Arial" w:cs="Arial" w:eastAsia="Arial" w:hAnsi="Arial"/>
          <w:sz w:val="18"/>
          <w:szCs w:val="18"/>
          <w:color w:val="595959"/>
        </w:rPr>
      </w:pPr>
      <w:r>
        <w:rPr>
          <w:rFonts w:ascii="Arial" w:cs="Arial" w:eastAsia="Arial" w:hAnsi="Arial"/>
          <w:sz w:val="18"/>
          <w:szCs w:val="18"/>
          <w:color w:val="595959"/>
        </w:rPr>
        <w:t>Manager of the Project Investment Department of SSTVC from September 2014 to September 2016.</w:t>
      </w:r>
    </w:p>
    <w:p>
      <w:pPr>
        <w:spacing w:after="0" w:line="76" w:lineRule="exact"/>
        <w:rPr>
          <w:rFonts w:ascii="Arial" w:cs="Arial" w:eastAsia="Arial" w:hAnsi="Arial"/>
          <w:sz w:val="18"/>
          <w:szCs w:val="18"/>
          <w:color w:val="595959"/>
        </w:rPr>
      </w:pPr>
    </w:p>
    <w:p>
      <w:pPr>
        <w:jc w:val="both"/>
        <w:ind w:left="340" w:hanging="332"/>
        <w:spacing w:after="0" w:line="245" w:lineRule="auto"/>
        <w:tabs>
          <w:tab w:leader="none" w:pos="340" w:val="left"/>
        </w:tabs>
        <w:numPr>
          <w:ilvl w:val="0"/>
          <w:numId w:val="44"/>
        </w:numPr>
        <w:rPr>
          <w:rFonts w:ascii="Arial" w:cs="Arial" w:eastAsia="Arial" w:hAnsi="Arial"/>
          <w:sz w:val="18"/>
          <w:szCs w:val="18"/>
          <w:color w:val="595959"/>
        </w:rPr>
      </w:pPr>
      <w:r>
        <w:rPr>
          <w:rFonts w:ascii="Arial" w:cs="Arial" w:eastAsia="Arial" w:hAnsi="Arial"/>
          <w:sz w:val="18"/>
          <w:szCs w:val="18"/>
          <w:color w:val="595959"/>
        </w:rPr>
        <w:t>Manager of Invest Department II of Shanghai Science and Technology Venture Capital Co., Ltd. from 2012 to August 2014.</w:t>
      </w:r>
    </w:p>
    <w:p>
      <w:pPr>
        <w:spacing w:after="0" w:line="76" w:lineRule="exact"/>
        <w:rPr>
          <w:rFonts w:ascii="Arial" w:cs="Arial" w:eastAsia="Arial" w:hAnsi="Arial"/>
          <w:sz w:val="18"/>
          <w:szCs w:val="18"/>
          <w:color w:val="595959"/>
        </w:rPr>
      </w:pPr>
    </w:p>
    <w:p>
      <w:pPr>
        <w:ind w:left="340" w:right="780" w:hanging="332"/>
        <w:spacing w:after="0" w:line="245" w:lineRule="auto"/>
        <w:tabs>
          <w:tab w:leader="none" w:pos="340" w:val="left"/>
        </w:tabs>
        <w:numPr>
          <w:ilvl w:val="0"/>
          <w:numId w:val="44"/>
        </w:numPr>
        <w:rPr>
          <w:rFonts w:ascii="Arial" w:cs="Arial" w:eastAsia="Arial" w:hAnsi="Arial"/>
          <w:sz w:val="18"/>
          <w:szCs w:val="18"/>
          <w:color w:val="595959"/>
        </w:rPr>
      </w:pPr>
      <w:r>
        <w:rPr>
          <w:rFonts w:ascii="Arial" w:cs="Arial" w:eastAsia="Arial" w:hAnsi="Arial"/>
          <w:sz w:val="18"/>
          <w:szCs w:val="18"/>
          <w:color w:val="595959"/>
        </w:rPr>
        <w:t>Received a Bachelor of Science degree from Shanghai University of Finance and Economics.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Relevant Skills</w:t>
      </w:r>
    </w:p>
    <w:p>
      <w:pPr>
        <w:spacing w:after="0" w:line="152"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595959"/>
        </w:rPr>
      </w:pPr>
      <w:r>
        <w:rPr>
          <w:rFonts w:ascii="Arial" w:cs="Arial" w:eastAsia="Arial" w:hAnsi="Arial"/>
          <w:sz w:val="18"/>
          <w:szCs w:val="18"/>
          <w:color w:val="595959"/>
        </w:rPr>
        <w:t>Industry</w:t>
      </w:r>
    </w:p>
    <w:p>
      <w:pPr>
        <w:spacing w:after="0" w:line="89" w:lineRule="exact"/>
        <w:rPr>
          <w:rFonts w:ascii="Arial" w:cs="Arial" w:eastAsia="Arial" w:hAnsi="Arial"/>
          <w:sz w:val="18"/>
          <w:szCs w:val="18"/>
          <w:color w:val="595959"/>
        </w:rPr>
      </w:pPr>
    </w:p>
    <w:p>
      <w:pPr>
        <w:ind w:left="340" w:hanging="332"/>
        <w:spacing w:after="0"/>
        <w:tabs>
          <w:tab w:leader="none" w:pos="340" w:val="left"/>
        </w:tabs>
        <w:numPr>
          <w:ilvl w:val="0"/>
          <w:numId w:val="45"/>
        </w:numPr>
        <w:rPr>
          <w:rFonts w:ascii="Arial" w:cs="Arial" w:eastAsia="Arial" w:hAnsi="Arial"/>
          <w:sz w:val="18"/>
          <w:szCs w:val="18"/>
          <w:color w:val="595959"/>
        </w:rPr>
      </w:pPr>
      <w:r>
        <w:rPr>
          <w:rFonts w:ascii="Arial" w:cs="Arial" w:eastAsia="Arial" w:hAnsi="Arial"/>
          <w:sz w:val="18"/>
          <w:szCs w:val="18"/>
          <w:color w:val="595959"/>
        </w:rPr>
        <w:t>Finance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Other Public Board Service</w:t>
      </w:r>
    </w:p>
    <w:p>
      <w:pPr>
        <w:spacing w:after="0" w:line="166"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595959"/>
        </w:rPr>
      </w:pPr>
      <w:r>
        <w:rPr>
          <w:rFonts w:ascii="Arial" w:cs="Arial" w:eastAsia="Arial" w:hAnsi="Arial"/>
          <w:sz w:val="18"/>
          <w:szCs w:val="18"/>
          <w:color w:val="595959"/>
        </w:rPr>
        <w:t>N/A</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595959"/>
        </w:rPr>
        <w:t>ZHENGFAN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916305" cy="11652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16305" cy="1165225"/>
                    </a:xfrm>
                    <a:prstGeom prst="rect">
                      <a:avLst/>
                    </a:prstGeom>
                    <a:noFill/>
                  </pic:spPr>
                </pic:pic>
              </a:graphicData>
            </a:graphic>
          </wp:anchor>
        </w:drawing>
      </w:r>
    </w:p>
    <w:p>
      <w:pPr>
        <w:spacing w:after="0" w:line="65" w:lineRule="exact"/>
        <w:rPr>
          <w:sz w:val="20"/>
          <w:szCs w:val="20"/>
          <w:color w:val="auto"/>
        </w:rPr>
      </w:pPr>
    </w:p>
    <w:p>
      <w:pPr>
        <w:ind w:left="1440"/>
        <w:spacing w:after="0"/>
        <w:rPr>
          <w:sz w:val="20"/>
          <w:szCs w:val="20"/>
          <w:color w:val="auto"/>
        </w:rPr>
      </w:pPr>
      <w:r>
        <w:rPr>
          <w:rFonts w:ascii="Arial" w:cs="Arial" w:eastAsia="Arial" w:hAnsi="Arial"/>
          <w:sz w:val="18"/>
          <w:szCs w:val="18"/>
          <w:color w:val="595959"/>
        </w:rPr>
        <w:t>Age: 38</w:t>
      </w:r>
    </w:p>
    <w:p>
      <w:pPr>
        <w:spacing w:after="0" w:line="58" w:lineRule="exact"/>
        <w:rPr>
          <w:sz w:val="20"/>
          <w:szCs w:val="20"/>
          <w:color w:val="auto"/>
        </w:rPr>
      </w:pPr>
    </w:p>
    <w:p>
      <w:pPr>
        <w:ind w:left="1440"/>
        <w:spacing w:after="0"/>
        <w:rPr>
          <w:sz w:val="20"/>
          <w:szCs w:val="20"/>
          <w:color w:val="auto"/>
        </w:rPr>
      </w:pPr>
      <w:r>
        <w:rPr>
          <w:rFonts w:ascii="Arial" w:cs="Arial" w:eastAsia="Arial" w:hAnsi="Arial"/>
          <w:sz w:val="18"/>
          <w:szCs w:val="18"/>
          <w:color w:val="595959"/>
        </w:rPr>
        <w:t>ACM Board Service</w:t>
      </w:r>
    </w:p>
    <w:p>
      <w:pPr>
        <w:ind w:left="1820" w:hanging="374"/>
        <w:spacing w:after="0" w:line="234" w:lineRule="auto"/>
        <w:tabs>
          <w:tab w:leader="none" w:pos="1820" w:val="left"/>
        </w:tabs>
        <w:numPr>
          <w:ilvl w:val="0"/>
          <w:numId w:val="47"/>
        </w:numPr>
        <w:rPr>
          <w:rFonts w:ascii="Arial" w:cs="Arial" w:eastAsia="Arial" w:hAnsi="Arial"/>
          <w:sz w:val="18"/>
          <w:szCs w:val="18"/>
          <w:color w:val="595959"/>
        </w:rPr>
      </w:pPr>
      <w:r>
        <w:rPr>
          <w:rFonts w:ascii="Arial" w:cs="Arial" w:eastAsia="Arial" w:hAnsi="Arial"/>
          <w:sz w:val="18"/>
          <w:szCs w:val="18"/>
          <w:color w:val="595959"/>
        </w:rPr>
        <w:t>Tenure: 16 months (2018)</w:t>
      </w:r>
    </w:p>
    <w:p>
      <w:pPr>
        <w:ind w:left="1820" w:hanging="374"/>
        <w:spacing w:after="0"/>
        <w:tabs>
          <w:tab w:leader="none" w:pos="1820" w:val="left"/>
        </w:tabs>
        <w:numPr>
          <w:ilvl w:val="0"/>
          <w:numId w:val="47"/>
        </w:numPr>
        <w:rPr>
          <w:rFonts w:ascii="Arial" w:cs="Arial" w:eastAsia="Arial" w:hAnsi="Arial"/>
          <w:sz w:val="18"/>
          <w:szCs w:val="18"/>
          <w:color w:val="595959"/>
        </w:rPr>
      </w:pPr>
      <w:r>
        <w:rPr>
          <w:rFonts w:ascii="Arial" w:cs="Arial" w:eastAsia="Arial" w:hAnsi="Arial"/>
          <w:sz w:val="18"/>
          <w:szCs w:val="18"/>
          <w:color w:val="595959"/>
        </w:rPr>
        <w:t>Nominating and Governance Committee</w:t>
      </w:r>
    </w:p>
    <w:p>
      <w:pPr>
        <w:spacing w:after="0" w:line="243"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0070C0"/>
        </w:rPr>
        <w:t>INDEPENDENT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Professional Experience</w:t>
      </w:r>
    </w:p>
    <w:p>
      <w:pPr>
        <w:spacing w:after="0" w:line="166" w:lineRule="exact"/>
        <w:rPr>
          <w:sz w:val="20"/>
          <w:szCs w:val="20"/>
          <w:color w:val="auto"/>
        </w:rPr>
      </w:pPr>
    </w:p>
    <w:p>
      <w:pPr>
        <w:ind w:left="320" w:hanging="318"/>
        <w:spacing w:after="0"/>
        <w:tabs>
          <w:tab w:leader="none" w:pos="320" w:val="left"/>
        </w:tabs>
        <w:numPr>
          <w:ilvl w:val="0"/>
          <w:numId w:val="48"/>
        </w:numPr>
        <w:rPr>
          <w:rFonts w:ascii="Arial" w:cs="Arial" w:eastAsia="Arial" w:hAnsi="Arial"/>
          <w:sz w:val="18"/>
          <w:szCs w:val="18"/>
          <w:color w:val="595959"/>
        </w:rPr>
      </w:pPr>
      <w:r>
        <w:rPr>
          <w:rFonts w:ascii="Arial" w:cs="Arial" w:eastAsia="Arial" w:hAnsi="Arial"/>
          <w:sz w:val="18"/>
          <w:szCs w:val="18"/>
          <w:color w:val="595959"/>
        </w:rPr>
        <w:t>Served as one of our directors since January 2018.</w:t>
      </w:r>
    </w:p>
    <w:p>
      <w:pPr>
        <w:spacing w:after="0" w:line="89" w:lineRule="exact"/>
        <w:rPr>
          <w:rFonts w:ascii="Arial" w:cs="Arial" w:eastAsia="Arial" w:hAnsi="Arial"/>
          <w:sz w:val="18"/>
          <w:szCs w:val="18"/>
          <w:color w:val="595959"/>
        </w:rPr>
      </w:pPr>
    </w:p>
    <w:p>
      <w:pPr>
        <w:ind w:left="320" w:hanging="318"/>
        <w:spacing w:after="0" w:line="245" w:lineRule="auto"/>
        <w:tabs>
          <w:tab w:leader="none" w:pos="320" w:val="left"/>
        </w:tabs>
        <w:numPr>
          <w:ilvl w:val="0"/>
          <w:numId w:val="48"/>
        </w:numPr>
        <w:rPr>
          <w:rFonts w:ascii="Arial" w:cs="Arial" w:eastAsia="Arial" w:hAnsi="Arial"/>
          <w:sz w:val="18"/>
          <w:szCs w:val="18"/>
          <w:color w:val="595959"/>
        </w:rPr>
      </w:pPr>
      <w:r>
        <w:rPr>
          <w:rFonts w:ascii="Arial" w:cs="Arial" w:eastAsia="Arial" w:hAnsi="Arial"/>
          <w:sz w:val="18"/>
          <w:szCs w:val="18"/>
          <w:color w:val="595959"/>
        </w:rPr>
        <w:t>Director of Direct Investment Division III of Sino IC Capital Co., Ltd. since February 2017.</w:t>
      </w:r>
    </w:p>
    <w:p>
      <w:pPr>
        <w:spacing w:after="0" w:line="76" w:lineRule="exact"/>
        <w:rPr>
          <w:rFonts w:ascii="Arial" w:cs="Arial" w:eastAsia="Arial" w:hAnsi="Arial"/>
          <w:sz w:val="18"/>
          <w:szCs w:val="18"/>
          <w:color w:val="595959"/>
        </w:rPr>
      </w:pPr>
    </w:p>
    <w:p>
      <w:pPr>
        <w:ind w:left="320" w:right="260" w:hanging="318"/>
        <w:spacing w:after="0" w:line="245" w:lineRule="auto"/>
        <w:tabs>
          <w:tab w:leader="none" w:pos="320" w:val="left"/>
        </w:tabs>
        <w:numPr>
          <w:ilvl w:val="0"/>
          <w:numId w:val="48"/>
        </w:numPr>
        <w:rPr>
          <w:rFonts w:ascii="Arial" w:cs="Arial" w:eastAsia="Arial" w:hAnsi="Arial"/>
          <w:sz w:val="18"/>
          <w:szCs w:val="18"/>
          <w:color w:val="595959"/>
        </w:rPr>
      </w:pPr>
      <w:r>
        <w:rPr>
          <w:rFonts w:ascii="Arial" w:cs="Arial" w:eastAsia="Arial" w:hAnsi="Arial"/>
          <w:sz w:val="18"/>
          <w:szCs w:val="18"/>
          <w:color w:val="595959"/>
        </w:rPr>
        <w:t>Associate Director of Direct Investment Division I at Sino IC Capital Co. Ltd from 2014 to 2017.</w:t>
      </w:r>
    </w:p>
    <w:p>
      <w:pPr>
        <w:spacing w:after="0" w:line="76" w:lineRule="exact"/>
        <w:rPr>
          <w:rFonts w:ascii="Arial" w:cs="Arial" w:eastAsia="Arial" w:hAnsi="Arial"/>
          <w:sz w:val="18"/>
          <w:szCs w:val="18"/>
          <w:color w:val="595959"/>
        </w:rPr>
      </w:pPr>
    </w:p>
    <w:p>
      <w:pPr>
        <w:ind w:left="320" w:right="700" w:hanging="318"/>
        <w:spacing w:after="0" w:line="245" w:lineRule="auto"/>
        <w:tabs>
          <w:tab w:leader="none" w:pos="320" w:val="left"/>
        </w:tabs>
        <w:numPr>
          <w:ilvl w:val="0"/>
          <w:numId w:val="48"/>
        </w:numPr>
        <w:rPr>
          <w:rFonts w:ascii="Arial" w:cs="Arial" w:eastAsia="Arial" w:hAnsi="Arial"/>
          <w:sz w:val="18"/>
          <w:szCs w:val="18"/>
          <w:color w:val="595959"/>
        </w:rPr>
      </w:pPr>
      <w:r>
        <w:rPr>
          <w:rFonts w:ascii="Arial" w:cs="Arial" w:eastAsia="Arial" w:hAnsi="Arial"/>
          <w:sz w:val="18"/>
          <w:szCs w:val="18"/>
          <w:color w:val="595959"/>
        </w:rPr>
        <w:t>Vice President of CDB Urban Development Fund from November 2011 to December 2014.</w:t>
      </w:r>
    </w:p>
    <w:p>
      <w:pPr>
        <w:spacing w:after="0" w:line="76" w:lineRule="exact"/>
        <w:rPr>
          <w:rFonts w:ascii="Arial" w:cs="Arial" w:eastAsia="Arial" w:hAnsi="Arial"/>
          <w:sz w:val="18"/>
          <w:szCs w:val="18"/>
          <w:color w:val="595959"/>
        </w:rPr>
      </w:pPr>
    </w:p>
    <w:p>
      <w:pPr>
        <w:ind w:left="320" w:hanging="318"/>
        <w:spacing w:after="0" w:line="245" w:lineRule="auto"/>
        <w:tabs>
          <w:tab w:leader="none" w:pos="320" w:val="left"/>
        </w:tabs>
        <w:numPr>
          <w:ilvl w:val="0"/>
          <w:numId w:val="48"/>
        </w:numPr>
        <w:rPr>
          <w:rFonts w:ascii="Arial" w:cs="Arial" w:eastAsia="Arial" w:hAnsi="Arial"/>
          <w:sz w:val="18"/>
          <w:szCs w:val="18"/>
          <w:color w:val="595959"/>
        </w:rPr>
      </w:pPr>
      <w:r>
        <w:rPr>
          <w:rFonts w:ascii="Arial" w:cs="Arial" w:eastAsia="Arial" w:hAnsi="Arial"/>
          <w:sz w:val="18"/>
          <w:szCs w:val="18"/>
          <w:color w:val="595959"/>
        </w:rPr>
        <w:t>Principal Staff Member at People’s Bank of China from 2007 to 2011.</w:t>
      </w:r>
    </w:p>
    <w:p>
      <w:pPr>
        <w:spacing w:after="0" w:line="76" w:lineRule="exact"/>
        <w:rPr>
          <w:rFonts w:ascii="Arial" w:cs="Arial" w:eastAsia="Arial" w:hAnsi="Arial"/>
          <w:sz w:val="18"/>
          <w:szCs w:val="18"/>
          <w:color w:val="595959"/>
        </w:rPr>
      </w:pPr>
    </w:p>
    <w:p>
      <w:pPr>
        <w:ind w:left="320" w:right="700" w:hanging="318"/>
        <w:spacing w:after="0" w:line="245" w:lineRule="auto"/>
        <w:tabs>
          <w:tab w:leader="none" w:pos="320" w:val="left"/>
        </w:tabs>
        <w:numPr>
          <w:ilvl w:val="0"/>
          <w:numId w:val="48"/>
        </w:numPr>
        <w:rPr>
          <w:rFonts w:ascii="Arial" w:cs="Arial" w:eastAsia="Arial" w:hAnsi="Arial"/>
          <w:sz w:val="18"/>
          <w:szCs w:val="18"/>
          <w:color w:val="595959"/>
        </w:rPr>
      </w:pPr>
      <w:r>
        <w:rPr>
          <w:rFonts w:ascii="Arial" w:cs="Arial" w:eastAsia="Arial" w:hAnsi="Arial"/>
          <w:sz w:val="18"/>
          <w:szCs w:val="18"/>
          <w:color w:val="595959"/>
        </w:rPr>
        <w:t>Engineer from December 2004 to July 2007 at Nutech Company, Ltd.</w:t>
      </w:r>
    </w:p>
    <w:p>
      <w:pPr>
        <w:spacing w:after="0" w:line="76" w:lineRule="exact"/>
        <w:rPr>
          <w:rFonts w:ascii="Arial" w:cs="Arial" w:eastAsia="Arial" w:hAnsi="Arial"/>
          <w:sz w:val="18"/>
          <w:szCs w:val="18"/>
          <w:color w:val="595959"/>
        </w:rPr>
      </w:pPr>
    </w:p>
    <w:p>
      <w:pPr>
        <w:ind w:left="320" w:right="240" w:hanging="318"/>
        <w:spacing w:after="0"/>
        <w:tabs>
          <w:tab w:leader="none" w:pos="320" w:val="left"/>
        </w:tabs>
        <w:numPr>
          <w:ilvl w:val="0"/>
          <w:numId w:val="48"/>
        </w:numPr>
        <w:rPr>
          <w:rFonts w:ascii="Arial" w:cs="Arial" w:eastAsia="Arial" w:hAnsi="Arial"/>
          <w:sz w:val="18"/>
          <w:szCs w:val="18"/>
          <w:color w:val="595959"/>
        </w:rPr>
      </w:pPr>
      <w:r>
        <w:rPr>
          <w:rFonts w:ascii="Arial" w:cs="Arial" w:eastAsia="Arial" w:hAnsi="Arial"/>
          <w:sz w:val="18"/>
          <w:szCs w:val="18"/>
          <w:color w:val="595959"/>
        </w:rPr>
        <w:t>Received a Master of Science degree from the University of Bristol and a Bachelor of Science degree from Zhejiang University.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Relevant Skills</w:t>
      </w:r>
    </w:p>
    <w:p>
      <w:pPr>
        <w:spacing w:after="0" w:line="152" w:lineRule="exact"/>
        <w:rPr>
          <w:sz w:val="20"/>
          <w:szCs w:val="20"/>
          <w:color w:val="auto"/>
        </w:rPr>
      </w:pPr>
    </w:p>
    <w:p>
      <w:pPr>
        <w:ind w:left="320" w:hanging="318"/>
        <w:spacing w:after="0"/>
        <w:tabs>
          <w:tab w:leader="none" w:pos="320" w:val="left"/>
        </w:tabs>
        <w:numPr>
          <w:ilvl w:val="0"/>
          <w:numId w:val="49"/>
        </w:numPr>
        <w:rPr>
          <w:rFonts w:ascii="Arial" w:cs="Arial" w:eastAsia="Arial" w:hAnsi="Arial"/>
          <w:sz w:val="18"/>
          <w:szCs w:val="18"/>
          <w:color w:val="595959"/>
        </w:rPr>
      </w:pPr>
      <w:r>
        <w:rPr>
          <w:rFonts w:ascii="Arial" w:cs="Arial" w:eastAsia="Arial" w:hAnsi="Arial"/>
          <w:sz w:val="18"/>
          <w:szCs w:val="18"/>
          <w:color w:val="595959"/>
        </w:rPr>
        <w:t>Finance</w:t>
      </w:r>
    </w:p>
    <w:p>
      <w:pPr>
        <w:spacing w:after="0" w:line="89" w:lineRule="exact"/>
        <w:rPr>
          <w:rFonts w:ascii="Arial" w:cs="Arial" w:eastAsia="Arial" w:hAnsi="Arial"/>
          <w:sz w:val="18"/>
          <w:szCs w:val="18"/>
          <w:color w:val="595959"/>
        </w:rPr>
      </w:pPr>
    </w:p>
    <w:p>
      <w:pPr>
        <w:ind w:left="320" w:hanging="318"/>
        <w:spacing w:after="0"/>
        <w:tabs>
          <w:tab w:leader="none" w:pos="320" w:val="left"/>
        </w:tabs>
        <w:numPr>
          <w:ilvl w:val="0"/>
          <w:numId w:val="49"/>
        </w:numPr>
        <w:rPr>
          <w:rFonts w:ascii="Arial" w:cs="Arial" w:eastAsia="Arial" w:hAnsi="Arial"/>
          <w:sz w:val="18"/>
          <w:szCs w:val="18"/>
          <w:color w:val="595959"/>
        </w:rPr>
      </w:pPr>
      <w:r>
        <w:rPr>
          <w:rFonts w:ascii="Arial" w:cs="Arial" w:eastAsia="Arial" w:hAnsi="Arial"/>
          <w:sz w:val="18"/>
          <w:szCs w:val="18"/>
          <w:color w:val="595959"/>
        </w:rPr>
        <w:t>Industry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Other Public Board Service</w:t>
      </w:r>
    </w:p>
    <w:p>
      <w:pPr>
        <w:spacing w:after="0" w:line="166" w:lineRule="exact"/>
        <w:rPr>
          <w:sz w:val="20"/>
          <w:szCs w:val="20"/>
          <w:color w:val="auto"/>
        </w:rPr>
      </w:pPr>
    </w:p>
    <w:p>
      <w:pPr>
        <w:ind w:left="320" w:hanging="318"/>
        <w:spacing w:after="0"/>
        <w:tabs>
          <w:tab w:leader="none" w:pos="320" w:val="left"/>
        </w:tabs>
        <w:numPr>
          <w:ilvl w:val="0"/>
          <w:numId w:val="50"/>
        </w:numPr>
        <w:rPr>
          <w:rFonts w:ascii="Arial" w:cs="Arial" w:eastAsia="Arial" w:hAnsi="Arial"/>
          <w:sz w:val="18"/>
          <w:szCs w:val="18"/>
          <w:color w:val="595959"/>
        </w:rPr>
      </w:pPr>
      <w:r>
        <w:rPr>
          <w:rFonts w:ascii="Arial" w:cs="Arial" w:eastAsia="Arial" w:hAnsi="Arial"/>
          <w:sz w:val="18"/>
          <w:szCs w:val="18"/>
          <w:color w:val="595959"/>
        </w:rPr>
        <w:t>N/A</w:t>
      </w:r>
    </w:p>
    <w:p>
      <w:pPr>
        <w:spacing w:after="0" w:line="200" w:lineRule="exact"/>
        <w:rPr>
          <w:sz w:val="20"/>
          <w:szCs w:val="20"/>
          <w:color w:val="auto"/>
        </w:rPr>
      </w:pPr>
    </w:p>
    <w:p>
      <w:pPr>
        <w:sectPr>
          <w:pgSz w:w="11900" w:h="16838" w:orient="portrait"/>
          <w:cols w:equalWidth="0" w:num="2">
            <w:col w:w="5480" w:space="460"/>
            <w:col w:w="5320"/>
          </w:cols>
          <w:pgMar w:left="240" w:top="122" w:right="39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0079C0"/>
        </w:rPr>
        <w:t>The board of directors recommends a vote</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0079C0"/>
        </w:rPr>
        <w:t>FOR</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0079C0"/>
        </w:rPr>
        <w:t>each of the six nominees for election as directors.</w:t>
      </w:r>
    </w:p>
    <w:p>
      <w:pPr>
        <w:spacing w:after="0" w:line="377"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22" w:right="399" w:bottom="1440" w:gutter="0" w:footer="0" w:header="0"/>
          <w:type w:val="continuous"/>
        </w:sectPr>
      </w:pPr>
    </w:p>
    <w:bookmarkStart w:id="30" w:name="page31"/>
    <w:bookmarkEnd w:id="3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Beneficial Ownership of Common Stock</w:t>
      </w:r>
    </w:p>
    <w:p>
      <w:pPr>
        <w:spacing w:after="0" w:line="309" w:lineRule="exact"/>
        <w:rPr>
          <w:sz w:val="20"/>
          <w:szCs w:val="20"/>
          <w:color w:val="auto"/>
        </w:rPr>
      </w:pPr>
    </w:p>
    <w:p>
      <w:pPr>
        <w:spacing w:after="0" w:line="245" w:lineRule="auto"/>
        <w:rPr>
          <w:sz w:val="20"/>
          <w:szCs w:val="20"/>
          <w:color w:val="auto"/>
        </w:rPr>
      </w:pPr>
      <w:r>
        <w:rPr>
          <w:rFonts w:ascii="Arial" w:cs="Arial" w:eastAsia="Arial" w:hAnsi="Arial"/>
          <w:sz w:val="18"/>
          <w:szCs w:val="18"/>
          <w:color w:val="4D4D4F"/>
        </w:rPr>
        <w:t>The following table sets forth the number of outstanding shares of Class A and Class B common stock beneficially owned and the percentage of each class beneficially owned, as of the record date of April 24, 2019, by:</w:t>
      </w:r>
    </w:p>
    <w:p>
      <w:pPr>
        <w:spacing w:after="0" w:line="36" w:lineRule="exact"/>
        <w:rPr>
          <w:sz w:val="20"/>
          <w:szCs w:val="20"/>
          <w:color w:val="auto"/>
        </w:rPr>
      </w:pPr>
    </w:p>
    <w:p>
      <w:pPr>
        <w:ind w:left="340" w:hanging="332"/>
        <w:spacing w:after="0" w:line="245" w:lineRule="auto"/>
        <w:tabs>
          <w:tab w:leader="none" w:pos="340" w:val="left"/>
        </w:tabs>
        <w:numPr>
          <w:ilvl w:val="0"/>
          <w:numId w:val="51"/>
        </w:numPr>
        <w:rPr>
          <w:rFonts w:ascii="Arial" w:cs="Arial" w:eastAsia="Arial" w:hAnsi="Arial"/>
          <w:sz w:val="18"/>
          <w:szCs w:val="18"/>
          <w:color w:val="4D4D4F"/>
        </w:rPr>
      </w:pPr>
      <w:r>
        <w:rPr>
          <w:rFonts w:ascii="Arial" w:cs="Arial" w:eastAsia="Arial" w:hAnsi="Arial"/>
          <w:sz w:val="18"/>
          <w:szCs w:val="18"/>
          <w:color w:val="4D4D4F"/>
        </w:rPr>
        <w:t>each person known to us to be the beneficial owner of more than five percent of the then-outstanding Class A common stock (on an as-converted basis) or the then-outstanding Class B common stock;</w:t>
      </w:r>
    </w:p>
    <w:p>
      <w:pPr>
        <w:spacing w:after="0" w:line="36" w:lineRule="exact"/>
        <w:rPr>
          <w:rFonts w:ascii="Arial" w:cs="Arial" w:eastAsia="Arial" w:hAnsi="Arial"/>
          <w:sz w:val="18"/>
          <w:szCs w:val="18"/>
          <w:color w:val="4D4D4F"/>
        </w:rPr>
      </w:pPr>
    </w:p>
    <w:p>
      <w:pPr>
        <w:ind w:left="340" w:hanging="332"/>
        <w:spacing w:after="0"/>
        <w:tabs>
          <w:tab w:leader="none" w:pos="340" w:val="left"/>
        </w:tabs>
        <w:numPr>
          <w:ilvl w:val="0"/>
          <w:numId w:val="51"/>
        </w:numPr>
        <w:rPr>
          <w:rFonts w:ascii="Arial" w:cs="Arial" w:eastAsia="Arial" w:hAnsi="Arial"/>
          <w:sz w:val="18"/>
          <w:szCs w:val="18"/>
          <w:color w:val="4D4D4F"/>
        </w:rPr>
      </w:pPr>
      <w:r>
        <w:rPr>
          <w:rFonts w:ascii="Arial" w:cs="Arial" w:eastAsia="Arial" w:hAnsi="Arial"/>
          <w:sz w:val="18"/>
          <w:szCs w:val="18"/>
          <w:color w:val="4D4D4F"/>
        </w:rPr>
        <w:t>each director and named executive officer; and</w:t>
      </w:r>
    </w:p>
    <w:p>
      <w:pPr>
        <w:spacing w:after="0" w:line="49" w:lineRule="exact"/>
        <w:rPr>
          <w:rFonts w:ascii="Arial" w:cs="Arial" w:eastAsia="Arial" w:hAnsi="Arial"/>
          <w:sz w:val="18"/>
          <w:szCs w:val="18"/>
          <w:color w:val="4D4D4F"/>
        </w:rPr>
      </w:pPr>
    </w:p>
    <w:p>
      <w:pPr>
        <w:ind w:left="340" w:hanging="332"/>
        <w:spacing w:after="0"/>
        <w:tabs>
          <w:tab w:leader="none" w:pos="340" w:val="left"/>
        </w:tabs>
        <w:numPr>
          <w:ilvl w:val="0"/>
          <w:numId w:val="51"/>
        </w:numPr>
        <w:rPr>
          <w:rFonts w:ascii="Arial" w:cs="Arial" w:eastAsia="Arial" w:hAnsi="Arial"/>
          <w:sz w:val="18"/>
          <w:szCs w:val="18"/>
          <w:color w:val="4D4D4F"/>
        </w:rPr>
      </w:pPr>
      <w:r>
        <w:rPr>
          <w:rFonts w:ascii="Arial" w:cs="Arial" w:eastAsia="Arial" w:hAnsi="Arial"/>
          <w:sz w:val="18"/>
          <w:szCs w:val="18"/>
          <w:color w:val="4D4D4F"/>
        </w:rPr>
        <w:t>all of our directors and executive officers as a group.</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 xml:space="preserve">The number of shares of Class A and Class B common stock beneficially owned by each person is determined under the rules of the SEC. Under these rules, beneficial ownership includes any shares as to which the individual has sole or shared voting power or investment power and also any shares that the individual has the right to acquire by June 23, 2019 </w:t>
      </w:r>
      <w:r>
        <w:rPr>
          <w:rFonts w:ascii="Arial" w:cs="Arial" w:eastAsia="Arial" w:hAnsi="Arial"/>
          <w:sz w:val="18"/>
          <w:szCs w:val="18"/>
          <w:color w:val="404040"/>
        </w:rPr>
        <w:t>(sixty days after April 24, 2019</w:t>
      </w:r>
      <w:r>
        <w:rPr>
          <w:rFonts w:ascii="Arial" w:cs="Arial" w:eastAsia="Arial" w:hAnsi="Arial"/>
          <w:sz w:val="18"/>
          <w:szCs w:val="18"/>
          <w:color w:val="4D4D4F"/>
        </w:rPr>
        <w:t>) through the exercise or conversion of a security or other right. Unless otherwise indicated, each person has sole investment and voting power, or shares such power with a family member, with respect to the shares set forth in the following table. The inclusion in this table of any shares deemed beneficially owned does not constitute an admission of beneficial ownership of those shares for any other purpose.</w:t>
      </w:r>
    </w:p>
    <w:p>
      <w:pPr>
        <w:spacing w:after="0" w:line="8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4D4D4F"/>
        </w:rPr>
        <w:t>Unless otherwise indicated, the address of all individuals listed above is c/o ACM Research, Inc., 42307 Osgood Road, Suite I, Fremont, California 94539.</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20" w:type="dxa"/>
            <w:vAlign w:val="bottom"/>
            <w:shd w:val="clear" w:color="auto" w:fill="003E64"/>
          </w:tcPr>
          <w:p>
            <w:pPr>
              <w:spacing w:after="0"/>
              <w:rPr>
                <w:sz w:val="16"/>
                <w:szCs w:val="16"/>
                <w:color w:val="auto"/>
              </w:rPr>
            </w:pPr>
          </w:p>
        </w:tc>
        <w:tc>
          <w:tcPr>
            <w:tcW w:w="1780" w:type="dxa"/>
            <w:vAlign w:val="bottom"/>
            <w:shd w:val="clear" w:color="auto" w:fill="003E64"/>
          </w:tcPr>
          <w:p>
            <w:pPr>
              <w:spacing w:after="0"/>
              <w:rPr>
                <w:sz w:val="16"/>
                <w:szCs w:val="16"/>
                <w:color w:val="auto"/>
              </w:rPr>
            </w:pPr>
          </w:p>
        </w:tc>
        <w:tc>
          <w:tcPr>
            <w:tcW w:w="920" w:type="dxa"/>
            <w:vAlign w:val="bottom"/>
            <w:shd w:val="clear" w:color="auto" w:fill="003E64"/>
          </w:tcPr>
          <w:p>
            <w:pPr>
              <w:spacing w:after="0"/>
              <w:rPr>
                <w:sz w:val="16"/>
                <w:szCs w:val="16"/>
                <w:color w:val="auto"/>
              </w:rPr>
            </w:pPr>
          </w:p>
        </w:tc>
        <w:tc>
          <w:tcPr>
            <w:tcW w:w="1160" w:type="dxa"/>
            <w:vAlign w:val="bottom"/>
            <w:shd w:val="clear" w:color="auto" w:fill="003E64"/>
          </w:tcPr>
          <w:p>
            <w:pPr>
              <w:spacing w:after="0"/>
              <w:rPr>
                <w:sz w:val="16"/>
                <w:szCs w:val="16"/>
                <w:color w:val="auto"/>
              </w:rPr>
            </w:pPr>
          </w:p>
        </w:tc>
        <w:tc>
          <w:tcPr>
            <w:tcW w:w="1700" w:type="dxa"/>
            <w:vAlign w:val="bottom"/>
            <w:shd w:val="clear" w:color="auto" w:fill="003E64"/>
          </w:tcPr>
          <w:p>
            <w:pPr>
              <w:jc w:val="right"/>
              <w:ind w:right="1040"/>
              <w:spacing w:after="0"/>
              <w:rPr>
                <w:sz w:val="20"/>
                <w:szCs w:val="20"/>
                <w:color w:val="auto"/>
              </w:rPr>
            </w:pPr>
            <w:r>
              <w:rPr>
                <w:rFonts w:ascii="Arial" w:cs="Arial" w:eastAsia="Arial" w:hAnsi="Arial"/>
                <w:sz w:val="14"/>
                <w:szCs w:val="14"/>
                <w:b w:val="1"/>
                <w:bCs w:val="1"/>
                <w:color w:val="FFFFFF"/>
              </w:rPr>
              <w:t>Class A</w:t>
            </w:r>
          </w:p>
        </w:tc>
        <w:tc>
          <w:tcPr>
            <w:tcW w:w="1260" w:type="dxa"/>
            <w:vAlign w:val="bottom"/>
            <w:shd w:val="clear" w:color="auto" w:fill="003E64"/>
          </w:tcPr>
          <w:p>
            <w:pPr>
              <w:spacing w:after="0"/>
              <w:rPr>
                <w:sz w:val="16"/>
                <w:szCs w:val="16"/>
                <w:color w:val="auto"/>
              </w:rPr>
            </w:pPr>
          </w:p>
        </w:tc>
        <w:tc>
          <w:tcPr>
            <w:tcW w:w="1600" w:type="dxa"/>
            <w:vAlign w:val="bottom"/>
            <w:shd w:val="clear" w:color="auto" w:fill="003E64"/>
          </w:tcPr>
          <w:p>
            <w:pPr>
              <w:ind w:left="60"/>
              <w:spacing w:after="0"/>
              <w:rPr>
                <w:sz w:val="20"/>
                <w:szCs w:val="20"/>
                <w:color w:val="auto"/>
              </w:rPr>
            </w:pPr>
            <w:r>
              <w:rPr>
                <w:rFonts w:ascii="Arial" w:cs="Arial" w:eastAsia="Arial" w:hAnsi="Arial"/>
                <w:sz w:val="14"/>
                <w:szCs w:val="14"/>
                <w:b w:val="1"/>
                <w:bCs w:val="1"/>
                <w:color w:val="FFFFFF"/>
              </w:rPr>
              <w:t>Class B</w:t>
            </w:r>
          </w:p>
        </w:tc>
        <w:tc>
          <w:tcPr>
            <w:tcW w:w="1680" w:type="dxa"/>
            <w:vAlign w:val="bottom"/>
            <w:shd w:val="clear" w:color="auto" w:fill="003E64"/>
          </w:tcPr>
          <w:p>
            <w:pPr>
              <w:ind w:left="360"/>
              <w:spacing w:after="0"/>
              <w:rPr>
                <w:sz w:val="20"/>
                <w:szCs w:val="20"/>
                <w:color w:val="auto"/>
              </w:rPr>
            </w:pPr>
            <w:r>
              <w:rPr>
                <w:rFonts w:ascii="Arial" w:cs="Arial" w:eastAsia="Arial" w:hAnsi="Arial"/>
                <w:sz w:val="14"/>
                <w:szCs w:val="14"/>
                <w:b w:val="1"/>
                <w:bCs w:val="1"/>
                <w:color w:val="FFFFFF"/>
              </w:rPr>
              <w:t>% of Total Voting</w:t>
            </w:r>
          </w:p>
        </w:tc>
      </w:tr>
      <w:tr>
        <w:trPr>
          <w:trHeight w:val="162"/>
        </w:trPr>
        <w:tc>
          <w:tcPr>
            <w:tcW w:w="4020" w:type="dxa"/>
            <w:vAlign w:val="bottom"/>
            <w:gridSpan w:val="3"/>
            <w:shd w:val="clear" w:color="auto" w:fill="003E64"/>
          </w:tcPr>
          <w:p>
            <w:pPr>
              <w:spacing w:after="0"/>
              <w:rPr>
                <w:sz w:val="20"/>
                <w:szCs w:val="20"/>
                <w:color w:val="auto"/>
              </w:rPr>
            </w:pPr>
            <w:r>
              <w:rPr>
                <w:rFonts w:ascii="Arial" w:cs="Arial" w:eastAsia="Arial" w:hAnsi="Arial"/>
                <w:sz w:val="14"/>
                <w:szCs w:val="14"/>
                <w:b w:val="1"/>
                <w:bCs w:val="1"/>
                <w:color w:val="FFFFFF"/>
              </w:rPr>
              <w:t>Beneficial Owner</w:t>
            </w:r>
          </w:p>
        </w:tc>
        <w:tc>
          <w:tcPr>
            <w:tcW w:w="1160" w:type="dxa"/>
            <w:vAlign w:val="bottom"/>
            <w:shd w:val="clear" w:color="auto" w:fill="003E64"/>
          </w:tcPr>
          <w:p>
            <w:pPr>
              <w:jc w:val="right"/>
              <w:ind w:right="100"/>
              <w:spacing w:after="0"/>
              <w:rPr>
                <w:sz w:val="20"/>
                <w:szCs w:val="20"/>
                <w:color w:val="auto"/>
              </w:rPr>
            </w:pPr>
            <w:r>
              <w:rPr>
                <w:rFonts w:ascii="Arial" w:cs="Arial" w:eastAsia="Arial" w:hAnsi="Arial"/>
                <w:sz w:val="14"/>
                <w:szCs w:val="14"/>
                <w:b w:val="1"/>
                <w:bCs w:val="1"/>
                <w:color w:val="FFFFFF"/>
              </w:rPr>
              <w:t>Shares</w:t>
            </w:r>
          </w:p>
        </w:tc>
        <w:tc>
          <w:tcPr>
            <w:tcW w:w="1700" w:type="dxa"/>
            <w:vAlign w:val="bottom"/>
            <w:shd w:val="clear" w:color="auto" w:fill="003E64"/>
          </w:tcPr>
          <w:p>
            <w:pPr>
              <w:jc w:val="center"/>
              <w:ind w:left="340"/>
              <w:spacing w:after="0"/>
              <w:rPr>
                <w:sz w:val="20"/>
                <w:szCs w:val="20"/>
                <w:color w:val="auto"/>
              </w:rPr>
            </w:pPr>
            <w:r>
              <w:rPr>
                <w:rFonts w:ascii="Arial" w:cs="Arial" w:eastAsia="Arial" w:hAnsi="Arial"/>
                <w:sz w:val="14"/>
                <w:szCs w:val="14"/>
                <w:b w:val="1"/>
                <w:bCs w:val="1"/>
                <w:color w:val="FFFFFF"/>
                <w:w w:val="96"/>
              </w:rPr>
              <w:t>%</w:t>
            </w:r>
          </w:p>
        </w:tc>
        <w:tc>
          <w:tcPr>
            <w:tcW w:w="1260" w:type="dxa"/>
            <w:vAlign w:val="bottom"/>
            <w:shd w:val="clear" w:color="auto" w:fill="003E64"/>
          </w:tcPr>
          <w:p>
            <w:pPr>
              <w:ind w:left="600"/>
              <w:spacing w:after="0"/>
              <w:rPr>
                <w:sz w:val="20"/>
                <w:szCs w:val="20"/>
                <w:color w:val="auto"/>
              </w:rPr>
            </w:pPr>
            <w:r>
              <w:rPr>
                <w:rFonts w:ascii="Arial" w:cs="Arial" w:eastAsia="Arial" w:hAnsi="Arial"/>
                <w:sz w:val="14"/>
                <w:szCs w:val="14"/>
                <w:b w:val="1"/>
                <w:bCs w:val="1"/>
                <w:color w:val="FFFFFF"/>
              </w:rPr>
              <w:t>Shares</w:t>
            </w:r>
          </w:p>
        </w:tc>
        <w:tc>
          <w:tcPr>
            <w:tcW w:w="1600" w:type="dxa"/>
            <w:vAlign w:val="bottom"/>
            <w:shd w:val="clear" w:color="auto" w:fill="003E64"/>
          </w:tcPr>
          <w:p>
            <w:pPr>
              <w:jc w:val="center"/>
              <w:ind w:left="460"/>
              <w:spacing w:after="0"/>
              <w:rPr>
                <w:sz w:val="20"/>
                <w:szCs w:val="20"/>
                <w:color w:val="auto"/>
              </w:rPr>
            </w:pPr>
            <w:r>
              <w:rPr>
                <w:rFonts w:ascii="Arial" w:cs="Arial" w:eastAsia="Arial" w:hAnsi="Arial"/>
                <w:sz w:val="14"/>
                <w:szCs w:val="14"/>
                <w:b w:val="1"/>
                <w:bCs w:val="1"/>
                <w:color w:val="FFFFFF"/>
              </w:rPr>
              <w:t>%</w:t>
            </w:r>
          </w:p>
        </w:tc>
        <w:tc>
          <w:tcPr>
            <w:tcW w:w="1680" w:type="dxa"/>
            <w:vAlign w:val="bottom"/>
            <w:shd w:val="clear" w:color="auto" w:fill="003E64"/>
          </w:tcPr>
          <w:p>
            <w:pPr>
              <w:jc w:val="center"/>
              <w:ind w:left="120"/>
              <w:spacing w:after="0"/>
              <w:rPr>
                <w:sz w:val="20"/>
                <w:szCs w:val="20"/>
                <w:color w:val="auto"/>
              </w:rPr>
            </w:pPr>
            <w:r>
              <w:rPr>
                <w:rFonts w:ascii="Arial" w:cs="Arial" w:eastAsia="Arial" w:hAnsi="Arial"/>
                <w:sz w:val="14"/>
                <w:szCs w:val="14"/>
                <w:b w:val="1"/>
                <w:bCs w:val="1"/>
                <w:color w:val="FFFFFF"/>
              </w:rPr>
              <w:t>Power(1)</w:t>
            </w:r>
          </w:p>
        </w:tc>
      </w:tr>
      <w:tr>
        <w:trPr>
          <w:trHeight w:val="351"/>
        </w:trPr>
        <w:tc>
          <w:tcPr>
            <w:tcW w:w="1320" w:type="dxa"/>
            <w:vAlign w:val="bottom"/>
            <w:tcBorders>
              <w:bottom w:val="single" w:sz="8" w:color="4D4D4F"/>
            </w:tcBorders>
          </w:tcPr>
          <w:p>
            <w:pPr>
              <w:spacing w:after="0"/>
              <w:rPr>
                <w:sz w:val="20"/>
                <w:szCs w:val="20"/>
                <w:color w:val="auto"/>
              </w:rPr>
            </w:pPr>
            <w:r>
              <w:rPr>
                <w:rFonts w:ascii="Arial" w:cs="Arial" w:eastAsia="Arial" w:hAnsi="Arial"/>
                <w:sz w:val="16"/>
                <w:szCs w:val="16"/>
                <w:b w:val="1"/>
                <w:bCs w:val="1"/>
                <w:i w:val="1"/>
                <w:iCs w:val="1"/>
                <w:color w:val="4D4D4F"/>
              </w:rPr>
              <w:t>5% Stockholders</w:t>
            </w:r>
          </w:p>
        </w:tc>
        <w:tc>
          <w:tcPr>
            <w:tcW w:w="2700" w:type="dxa"/>
            <w:vAlign w:val="bottom"/>
            <w:gridSpan w:val="2"/>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98"/>
        </w:trPr>
        <w:tc>
          <w:tcPr>
            <w:tcW w:w="4020" w:type="dxa"/>
            <w:vAlign w:val="bottom"/>
            <w:gridSpan w:val="3"/>
          </w:tcPr>
          <w:p>
            <w:pPr>
              <w:spacing w:after="0"/>
              <w:rPr>
                <w:sz w:val="20"/>
                <w:szCs w:val="20"/>
                <w:color w:val="auto"/>
              </w:rPr>
            </w:pPr>
            <w:r>
              <w:rPr>
                <w:rFonts w:ascii="Arial" w:cs="Arial" w:eastAsia="Arial" w:hAnsi="Arial"/>
                <w:sz w:val="16"/>
                <w:szCs w:val="16"/>
                <w:color w:val="4D4D4F"/>
              </w:rPr>
              <w:t>Shanghai Science and Technology Venture Capital Co.,</w:t>
            </w:r>
          </w:p>
        </w:tc>
        <w:tc>
          <w:tcPr>
            <w:tcW w:w="1160" w:type="dxa"/>
            <w:vAlign w:val="bottom"/>
          </w:tcPr>
          <w:p>
            <w:pPr>
              <w:jc w:val="center"/>
              <w:ind w:left="240"/>
              <w:spacing w:after="0"/>
              <w:rPr>
                <w:sz w:val="20"/>
                <w:szCs w:val="20"/>
                <w:color w:val="auto"/>
              </w:rPr>
            </w:pPr>
            <w:r>
              <w:rPr>
                <w:rFonts w:ascii="Arial" w:cs="Arial" w:eastAsia="Arial" w:hAnsi="Arial"/>
                <w:sz w:val="16"/>
                <w:szCs w:val="16"/>
                <w:color w:val="4D4D4F"/>
              </w:rPr>
              <w:t>1,666,170</w:t>
            </w:r>
          </w:p>
        </w:tc>
        <w:tc>
          <w:tcPr>
            <w:tcW w:w="1700" w:type="dxa"/>
            <w:vAlign w:val="bottom"/>
          </w:tcPr>
          <w:p>
            <w:pPr>
              <w:jc w:val="right"/>
              <w:ind w:right="400"/>
              <w:spacing w:after="0"/>
              <w:rPr>
                <w:sz w:val="20"/>
                <w:szCs w:val="20"/>
                <w:color w:val="auto"/>
              </w:rPr>
            </w:pPr>
            <w:r>
              <w:rPr>
                <w:rFonts w:ascii="Arial" w:cs="Arial" w:eastAsia="Arial" w:hAnsi="Arial"/>
                <w:sz w:val="16"/>
                <w:szCs w:val="16"/>
                <w:color w:val="4D4D4F"/>
              </w:rPr>
              <w:t>11.7</w:t>
            </w:r>
          </w:p>
        </w:tc>
        <w:tc>
          <w:tcPr>
            <w:tcW w:w="1260" w:type="dxa"/>
            <w:vAlign w:val="bottom"/>
          </w:tcPr>
          <w:p>
            <w:pPr>
              <w:ind w:left="1060"/>
              <w:spacing w:after="0"/>
              <w:rPr>
                <w:sz w:val="20"/>
                <w:szCs w:val="20"/>
                <w:color w:val="auto"/>
              </w:rPr>
            </w:pPr>
            <w:r>
              <w:rPr>
                <w:rFonts w:ascii="Arial" w:cs="Arial" w:eastAsia="Arial" w:hAnsi="Arial"/>
                <w:sz w:val="16"/>
                <w:szCs w:val="16"/>
                <w:color w:val="4D4D4F"/>
              </w:rPr>
              <w:t>—</w:t>
            </w:r>
          </w:p>
        </w:tc>
        <w:tc>
          <w:tcPr>
            <w:tcW w:w="1600" w:type="dxa"/>
            <w:vAlign w:val="bottom"/>
          </w:tcPr>
          <w:p>
            <w:pPr>
              <w:ind w:left="1080"/>
              <w:spacing w:after="0"/>
              <w:rPr>
                <w:sz w:val="20"/>
                <w:szCs w:val="20"/>
                <w:color w:val="auto"/>
              </w:rPr>
            </w:pPr>
            <w:r>
              <w:rPr>
                <w:rFonts w:ascii="Arial" w:cs="Arial" w:eastAsia="Arial" w:hAnsi="Arial"/>
                <w:sz w:val="16"/>
                <w:szCs w:val="16"/>
                <w:color w:val="4D4D4F"/>
              </w:rPr>
              <w:t>—</w:t>
            </w:r>
          </w:p>
        </w:tc>
        <w:tc>
          <w:tcPr>
            <w:tcW w:w="1680" w:type="dxa"/>
            <w:vAlign w:val="bottom"/>
          </w:tcPr>
          <w:p>
            <w:pPr>
              <w:jc w:val="center"/>
              <w:ind w:left="140"/>
              <w:spacing w:after="0"/>
              <w:rPr>
                <w:sz w:val="20"/>
                <w:szCs w:val="20"/>
                <w:color w:val="auto"/>
              </w:rPr>
            </w:pPr>
            <w:r>
              <w:rPr>
                <w:rFonts w:ascii="Arial" w:cs="Arial" w:eastAsia="Arial" w:hAnsi="Arial"/>
                <w:sz w:val="16"/>
                <w:szCs w:val="16"/>
                <w:color w:val="4D4D4F"/>
                <w:w w:val="98"/>
              </w:rPr>
              <w:t>3.2</w:t>
            </w:r>
          </w:p>
        </w:tc>
      </w:tr>
      <w:tr>
        <w:trPr>
          <w:trHeight w:val="187"/>
        </w:trPr>
        <w:tc>
          <w:tcPr>
            <w:tcW w:w="4020" w:type="dxa"/>
            <w:vAlign w:val="bottom"/>
            <w:gridSpan w:val="3"/>
          </w:tcPr>
          <w:p>
            <w:pPr>
              <w:ind w:left="160"/>
              <w:spacing w:after="0"/>
              <w:rPr>
                <w:sz w:val="20"/>
                <w:szCs w:val="20"/>
                <w:color w:val="auto"/>
              </w:rPr>
            </w:pPr>
            <w:r>
              <w:rPr>
                <w:rFonts w:ascii="Arial" w:cs="Arial" w:eastAsia="Arial" w:hAnsi="Arial"/>
                <w:sz w:val="16"/>
                <w:szCs w:val="16"/>
                <w:color w:val="4D4D4F"/>
              </w:rPr>
              <w:t>Ltd.(2)</w:t>
            </w:r>
          </w:p>
        </w:tc>
        <w:tc>
          <w:tcPr>
            <w:tcW w:w="1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89"/>
        </w:trPr>
        <w:tc>
          <w:tcPr>
            <w:tcW w:w="4020" w:type="dxa"/>
            <w:vAlign w:val="bottom"/>
            <w:gridSpan w:val="3"/>
            <w:shd w:val="clear" w:color="auto" w:fill="B7E4FF"/>
          </w:tcPr>
          <w:p>
            <w:pPr>
              <w:spacing w:after="0"/>
              <w:rPr>
                <w:sz w:val="20"/>
                <w:szCs w:val="20"/>
                <w:color w:val="auto"/>
              </w:rPr>
            </w:pPr>
            <w:r>
              <w:rPr>
                <w:rFonts w:ascii="Arial" w:cs="Arial" w:eastAsia="Arial" w:hAnsi="Arial"/>
                <w:sz w:val="16"/>
                <w:szCs w:val="16"/>
                <w:color w:val="4D4D4F"/>
              </w:rPr>
              <w:t>Pudong Science and Technology (Cayman) Co., Ltd.(3)</w:t>
            </w:r>
          </w:p>
        </w:tc>
        <w:tc>
          <w:tcPr>
            <w:tcW w:w="1160" w:type="dxa"/>
            <w:vAlign w:val="bottom"/>
            <w:shd w:val="clear" w:color="auto" w:fill="B7E4FF"/>
          </w:tcPr>
          <w:p>
            <w:pPr>
              <w:jc w:val="center"/>
              <w:ind w:left="240"/>
              <w:spacing w:after="0"/>
              <w:rPr>
                <w:sz w:val="20"/>
                <w:szCs w:val="20"/>
                <w:color w:val="auto"/>
              </w:rPr>
            </w:pPr>
            <w:r>
              <w:rPr>
                <w:rFonts w:ascii="Arial" w:cs="Arial" w:eastAsia="Arial" w:hAnsi="Arial"/>
                <w:sz w:val="16"/>
                <w:szCs w:val="16"/>
                <w:color w:val="4D4D4F"/>
              </w:rPr>
              <w:t>1,119,576</w:t>
            </w:r>
          </w:p>
        </w:tc>
        <w:tc>
          <w:tcPr>
            <w:tcW w:w="1700" w:type="dxa"/>
            <w:vAlign w:val="bottom"/>
            <w:shd w:val="clear" w:color="auto" w:fill="B7E4FF"/>
          </w:tcPr>
          <w:p>
            <w:pPr>
              <w:jc w:val="right"/>
              <w:ind w:right="400"/>
              <w:spacing w:after="0"/>
              <w:rPr>
                <w:sz w:val="20"/>
                <w:szCs w:val="20"/>
                <w:color w:val="auto"/>
              </w:rPr>
            </w:pPr>
            <w:r>
              <w:rPr>
                <w:rFonts w:ascii="Arial" w:cs="Arial" w:eastAsia="Arial" w:hAnsi="Arial"/>
                <w:sz w:val="16"/>
                <w:szCs w:val="16"/>
                <w:color w:val="4D4D4F"/>
              </w:rPr>
              <w:t>7.9</w:t>
            </w:r>
          </w:p>
        </w:tc>
        <w:tc>
          <w:tcPr>
            <w:tcW w:w="1260" w:type="dxa"/>
            <w:vAlign w:val="bottom"/>
            <w:shd w:val="clear" w:color="auto" w:fill="B7E4FF"/>
          </w:tcPr>
          <w:p>
            <w:pPr>
              <w:ind w:left="1060"/>
              <w:spacing w:after="0"/>
              <w:rPr>
                <w:sz w:val="20"/>
                <w:szCs w:val="20"/>
                <w:color w:val="auto"/>
              </w:rPr>
            </w:pPr>
            <w:r>
              <w:rPr>
                <w:rFonts w:ascii="Arial" w:cs="Arial" w:eastAsia="Arial" w:hAnsi="Arial"/>
                <w:sz w:val="16"/>
                <w:szCs w:val="16"/>
                <w:color w:val="4D4D4F"/>
              </w:rPr>
              <w:t>—</w:t>
            </w:r>
          </w:p>
        </w:tc>
        <w:tc>
          <w:tcPr>
            <w:tcW w:w="1600" w:type="dxa"/>
            <w:vAlign w:val="bottom"/>
            <w:shd w:val="clear" w:color="auto" w:fill="B7E4FF"/>
          </w:tcPr>
          <w:p>
            <w:pPr>
              <w:ind w:left="1080"/>
              <w:spacing w:after="0"/>
              <w:rPr>
                <w:sz w:val="20"/>
                <w:szCs w:val="20"/>
                <w:color w:val="auto"/>
              </w:rPr>
            </w:pPr>
            <w:r>
              <w:rPr>
                <w:rFonts w:ascii="Arial" w:cs="Arial" w:eastAsia="Arial" w:hAnsi="Arial"/>
                <w:sz w:val="16"/>
                <w:szCs w:val="16"/>
                <w:color w:val="4D4D4F"/>
              </w:rPr>
              <w:t>—</w:t>
            </w:r>
          </w:p>
        </w:tc>
        <w:tc>
          <w:tcPr>
            <w:tcW w:w="1680" w:type="dxa"/>
            <w:vAlign w:val="bottom"/>
            <w:shd w:val="clear" w:color="auto" w:fill="B7E4FF"/>
          </w:tcPr>
          <w:p>
            <w:pPr>
              <w:jc w:val="center"/>
              <w:ind w:left="140"/>
              <w:spacing w:after="0"/>
              <w:rPr>
                <w:sz w:val="20"/>
                <w:szCs w:val="20"/>
                <w:color w:val="auto"/>
              </w:rPr>
            </w:pPr>
            <w:r>
              <w:rPr>
                <w:rFonts w:ascii="Arial" w:cs="Arial" w:eastAsia="Arial" w:hAnsi="Arial"/>
                <w:sz w:val="16"/>
                <w:szCs w:val="16"/>
                <w:color w:val="4D4D4F"/>
                <w:w w:val="98"/>
              </w:rPr>
              <w:t>2.2</w:t>
            </w:r>
          </w:p>
        </w:tc>
      </w:tr>
      <w:tr>
        <w:trPr>
          <w:trHeight w:val="189"/>
        </w:trPr>
        <w:tc>
          <w:tcPr>
            <w:tcW w:w="4020" w:type="dxa"/>
            <w:vAlign w:val="bottom"/>
            <w:gridSpan w:val="3"/>
          </w:tcPr>
          <w:p>
            <w:pPr>
              <w:spacing w:after="0"/>
              <w:rPr>
                <w:sz w:val="20"/>
                <w:szCs w:val="20"/>
                <w:color w:val="auto"/>
              </w:rPr>
            </w:pPr>
            <w:r>
              <w:rPr>
                <w:rFonts w:ascii="Arial" w:cs="Arial" w:eastAsia="Arial" w:hAnsi="Arial"/>
                <w:sz w:val="16"/>
                <w:szCs w:val="16"/>
                <w:color w:val="4D4D4F"/>
              </w:rPr>
              <w:t>Xinxin (Hongkong) Capital Co., Limited (4)</w:t>
            </w:r>
          </w:p>
        </w:tc>
        <w:tc>
          <w:tcPr>
            <w:tcW w:w="1160" w:type="dxa"/>
            <w:vAlign w:val="bottom"/>
          </w:tcPr>
          <w:p>
            <w:pPr>
              <w:jc w:val="center"/>
              <w:ind w:left="320"/>
              <w:spacing w:after="0"/>
              <w:rPr>
                <w:sz w:val="20"/>
                <w:szCs w:val="20"/>
                <w:color w:val="auto"/>
              </w:rPr>
            </w:pPr>
            <w:r>
              <w:rPr>
                <w:rFonts w:ascii="Arial" w:cs="Arial" w:eastAsia="Arial" w:hAnsi="Arial"/>
                <w:sz w:val="16"/>
                <w:szCs w:val="16"/>
                <w:color w:val="4D4D4F"/>
              </w:rPr>
              <w:t>833,334</w:t>
            </w:r>
          </w:p>
        </w:tc>
        <w:tc>
          <w:tcPr>
            <w:tcW w:w="1700" w:type="dxa"/>
            <w:vAlign w:val="bottom"/>
          </w:tcPr>
          <w:p>
            <w:pPr>
              <w:jc w:val="right"/>
              <w:ind w:right="400"/>
              <w:spacing w:after="0"/>
              <w:rPr>
                <w:sz w:val="20"/>
                <w:szCs w:val="20"/>
                <w:color w:val="auto"/>
              </w:rPr>
            </w:pPr>
            <w:r>
              <w:rPr>
                <w:rFonts w:ascii="Arial" w:cs="Arial" w:eastAsia="Arial" w:hAnsi="Arial"/>
                <w:sz w:val="16"/>
                <w:szCs w:val="16"/>
                <w:color w:val="4D4D4F"/>
              </w:rPr>
              <w:t>5.9</w:t>
            </w:r>
          </w:p>
        </w:tc>
        <w:tc>
          <w:tcPr>
            <w:tcW w:w="1260" w:type="dxa"/>
            <w:vAlign w:val="bottom"/>
          </w:tcPr>
          <w:p>
            <w:pPr>
              <w:ind w:left="1060"/>
              <w:spacing w:after="0"/>
              <w:rPr>
                <w:sz w:val="20"/>
                <w:szCs w:val="20"/>
                <w:color w:val="auto"/>
              </w:rPr>
            </w:pPr>
            <w:r>
              <w:rPr>
                <w:rFonts w:ascii="Arial" w:cs="Arial" w:eastAsia="Arial" w:hAnsi="Arial"/>
                <w:sz w:val="16"/>
                <w:szCs w:val="16"/>
                <w:color w:val="4D4D4F"/>
              </w:rPr>
              <w:t>—</w:t>
            </w:r>
          </w:p>
        </w:tc>
        <w:tc>
          <w:tcPr>
            <w:tcW w:w="1600" w:type="dxa"/>
            <w:vAlign w:val="bottom"/>
          </w:tcPr>
          <w:p>
            <w:pPr>
              <w:ind w:left="1080"/>
              <w:spacing w:after="0"/>
              <w:rPr>
                <w:sz w:val="20"/>
                <w:szCs w:val="20"/>
                <w:color w:val="auto"/>
              </w:rPr>
            </w:pPr>
            <w:r>
              <w:rPr>
                <w:rFonts w:ascii="Arial" w:cs="Arial" w:eastAsia="Arial" w:hAnsi="Arial"/>
                <w:sz w:val="16"/>
                <w:szCs w:val="16"/>
                <w:color w:val="4D4D4F"/>
              </w:rPr>
              <w:t>—</w:t>
            </w:r>
          </w:p>
        </w:tc>
        <w:tc>
          <w:tcPr>
            <w:tcW w:w="1680" w:type="dxa"/>
            <w:vAlign w:val="bottom"/>
          </w:tcPr>
          <w:p>
            <w:pPr>
              <w:jc w:val="center"/>
              <w:ind w:left="140"/>
              <w:spacing w:after="0"/>
              <w:rPr>
                <w:sz w:val="20"/>
                <w:szCs w:val="20"/>
                <w:color w:val="auto"/>
              </w:rPr>
            </w:pPr>
            <w:r>
              <w:rPr>
                <w:rFonts w:ascii="Arial" w:cs="Arial" w:eastAsia="Arial" w:hAnsi="Arial"/>
                <w:sz w:val="16"/>
                <w:szCs w:val="16"/>
                <w:color w:val="4D4D4F"/>
                <w:w w:val="98"/>
              </w:rPr>
              <w:t>1.6</w:t>
            </w:r>
          </w:p>
        </w:tc>
      </w:tr>
      <w:tr>
        <w:trPr>
          <w:trHeight w:val="189"/>
        </w:trPr>
        <w:tc>
          <w:tcPr>
            <w:tcW w:w="4020" w:type="dxa"/>
            <w:vAlign w:val="bottom"/>
            <w:gridSpan w:val="3"/>
            <w:shd w:val="clear" w:color="auto" w:fill="B7E4FF"/>
          </w:tcPr>
          <w:p>
            <w:pPr>
              <w:spacing w:after="0"/>
              <w:rPr>
                <w:sz w:val="20"/>
                <w:szCs w:val="20"/>
                <w:color w:val="auto"/>
              </w:rPr>
            </w:pPr>
            <w:r>
              <w:rPr>
                <w:rFonts w:ascii="Arial" w:cs="Arial" w:eastAsia="Arial" w:hAnsi="Arial"/>
                <w:sz w:val="16"/>
                <w:szCs w:val="16"/>
                <w:color w:val="4D4D4F"/>
              </w:rPr>
              <w:t>Zhangjiang AJ Company Limited(5)</w:t>
            </w:r>
          </w:p>
        </w:tc>
        <w:tc>
          <w:tcPr>
            <w:tcW w:w="1160" w:type="dxa"/>
            <w:vAlign w:val="bottom"/>
            <w:shd w:val="clear" w:color="auto" w:fill="B7E4FF"/>
          </w:tcPr>
          <w:p>
            <w:pPr>
              <w:jc w:val="center"/>
              <w:ind w:left="320"/>
              <w:spacing w:after="0"/>
              <w:rPr>
                <w:sz w:val="20"/>
                <w:szCs w:val="20"/>
                <w:color w:val="auto"/>
              </w:rPr>
            </w:pPr>
            <w:r>
              <w:rPr>
                <w:rFonts w:ascii="Arial" w:cs="Arial" w:eastAsia="Arial" w:hAnsi="Arial"/>
                <w:sz w:val="16"/>
                <w:szCs w:val="16"/>
                <w:color w:val="4D4D4F"/>
              </w:rPr>
              <w:t>787,098</w:t>
            </w:r>
          </w:p>
        </w:tc>
        <w:tc>
          <w:tcPr>
            <w:tcW w:w="1700" w:type="dxa"/>
            <w:vAlign w:val="bottom"/>
            <w:shd w:val="clear" w:color="auto" w:fill="B7E4FF"/>
          </w:tcPr>
          <w:p>
            <w:pPr>
              <w:jc w:val="right"/>
              <w:ind w:right="400"/>
              <w:spacing w:after="0"/>
              <w:rPr>
                <w:sz w:val="20"/>
                <w:szCs w:val="20"/>
                <w:color w:val="auto"/>
              </w:rPr>
            </w:pPr>
            <w:r>
              <w:rPr>
                <w:rFonts w:ascii="Arial" w:cs="Arial" w:eastAsia="Arial" w:hAnsi="Arial"/>
                <w:sz w:val="16"/>
                <w:szCs w:val="16"/>
                <w:color w:val="4D4D4F"/>
              </w:rPr>
              <w:t>5.6</w:t>
            </w:r>
          </w:p>
        </w:tc>
        <w:tc>
          <w:tcPr>
            <w:tcW w:w="1260" w:type="dxa"/>
            <w:vAlign w:val="bottom"/>
            <w:shd w:val="clear" w:color="auto" w:fill="B7E4FF"/>
          </w:tcPr>
          <w:p>
            <w:pPr>
              <w:ind w:left="1060"/>
              <w:spacing w:after="0"/>
              <w:rPr>
                <w:sz w:val="20"/>
                <w:szCs w:val="20"/>
                <w:color w:val="auto"/>
              </w:rPr>
            </w:pPr>
            <w:r>
              <w:rPr>
                <w:rFonts w:ascii="Arial" w:cs="Arial" w:eastAsia="Arial" w:hAnsi="Arial"/>
                <w:sz w:val="16"/>
                <w:szCs w:val="16"/>
                <w:color w:val="4D4D4F"/>
              </w:rPr>
              <w:t>—</w:t>
            </w:r>
          </w:p>
        </w:tc>
        <w:tc>
          <w:tcPr>
            <w:tcW w:w="1600" w:type="dxa"/>
            <w:vAlign w:val="bottom"/>
            <w:shd w:val="clear" w:color="auto" w:fill="B7E4FF"/>
          </w:tcPr>
          <w:p>
            <w:pPr>
              <w:ind w:left="1080"/>
              <w:spacing w:after="0"/>
              <w:rPr>
                <w:sz w:val="20"/>
                <w:szCs w:val="20"/>
                <w:color w:val="auto"/>
              </w:rPr>
            </w:pPr>
            <w:r>
              <w:rPr>
                <w:rFonts w:ascii="Arial" w:cs="Arial" w:eastAsia="Arial" w:hAnsi="Arial"/>
                <w:sz w:val="16"/>
                <w:szCs w:val="16"/>
                <w:color w:val="4D4D4F"/>
              </w:rPr>
              <w:t>—</w:t>
            </w:r>
          </w:p>
        </w:tc>
        <w:tc>
          <w:tcPr>
            <w:tcW w:w="1680" w:type="dxa"/>
            <w:vAlign w:val="bottom"/>
            <w:shd w:val="clear" w:color="auto" w:fill="B7E4FF"/>
          </w:tcPr>
          <w:p>
            <w:pPr>
              <w:jc w:val="center"/>
              <w:ind w:left="140"/>
              <w:spacing w:after="0"/>
              <w:rPr>
                <w:sz w:val="20"/>
                <w:szCs w:val="20"/>
                <w:color w:val="auto"/>
              </w:rPr>
            </w:pPr>
            <w:r>
              <w:rPr>
                <w:rFonts w:ascii="Arial" w:cs="Arial" w:eastAsia="Arial" w:hAnsi="Arial"/>
                <w:sz w:val="16"/>
                <w:szCs w:val="16"/>
                <w:color w:val="4D4D4F"/>
                <w:w w:val="98"/>
              </w:rPr>
              <w:t>1.5</w:t>
            </w:r>
          </w:p>
        </w:tc>
      </w:tr>
      <w:tr>
        <w:trPr>
          <w:trHeight w:val="358"/>
        </w:trPr>
        <w:tc>
          <w:tcPr>
            <w:tcW w:w="3100" w:type="dxa"/>
            <w:vAlign w:val="bottom"/>
            <w:tcBorders>
              <w:bottom w:val="single" w:sz="8" w:color="4D4D4F"/>
            </w:tcBorders>
            <w:gridSpan w:val="2"/>
          </w:tcPr>
          <w:p>
            <w:pPr>
              <w:spacing w:after="0"/>
              <w:rPr>
                <w:sz w:val="20"/>
                <w:szCs w:val="20"/>
                <w:color w:val="auto"/>
              </w:rPr>
            </w:pPr>
            <w:r>
              <w:rPr>
                <w:rFonts w:ascii="Arial" w:cs="Arial" w:eastAsia="Arial" w:hAnsi="Arial"/>
                <w:sz w:val="16"/>
                <w:szCs w:val="16"/>
                <w:b w:val="1"/>
                <w:bCs w:val="1"/>
                <w:i w:val="1"/>
                <w:iCs w:val="1"/>
                <w:color w:val="4D4D4F"/>
              </w:rPr>
              <w:t>Named Executive Officers and Directors</w:t>
            </w: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89"/>
        </w:trPr>
        <w:tc>
          <w:tcPr>
            <w:tcW w:w="4020" w:type="dxa"/>
            <w:vAlign w:val="bottom"/>
            <w:gridSpan w:val="3"/>
            <w:shd w:val="clear" w:color="auto" w:fill="B7E4FF"/>
          </w:tcPr>
          <w:p>
            <w:pPr>
              <w:spacing w:after="0"/>
              <w:rPr>
                <w:sz w:val="20"/>
                <w:szCs w:val="20"/>
                <w:color w:val="auto"/>
              </w:rPr>
            </w:pPr>
            <w:r>
              <w:rPr>
                <w:rFonts w:ascii="Arial" w:cs="Arial" w:eastAsia="Arial" w:hAnsi="Arial"/>
                <w:sz w:val="16"/>
                <w:szCs w:val="16"/>
                <w:color w:val="4D4D4F"/>
              </w:rPr>
              <w:t>David H. Wang(6)</w:t>
            </w:r>
          </w:p>
        </w:tc>
        <w:tc>
          <w:tcPr>
            <w:tcW w:w="1160" w:type="dxa"/>
            <w:vAlign w:val="bottom"/>
            <w:shd w:val="clear" w:color="auto" w:fill="B7E4FF"/>
          </w:tcPr>
          <w:p>
            <w:pPr>
              <w:jc w:val="center"/>
              <w:ind w:left="240"/>
              <w:spacing w:after="0"/>
              <w:rPr>
                <w:sz w:val="20"/>
                <w:szCs w:val="20"/>
                <w:color w:val="auto"/>
              </w:rPr>
            </w:pPr>
            <w:r>
              <w:rPr>
                <w:rFonts w:ascii="Arial" w:cs="Arial" w:eastAsia="Arial" w:hAnsi="Arial"/>
                <w:sz w:val="16"/>
                <w:szCs w:val="16"/>
                <w:color w:val="4D4D4F"/>
              </w:rPr>
              <w:t>1,893,106</w:t>
            </w:r>
          </w:p>
        </w:tc>
        <w:tc>
          <w:tcPr>
            <w:tcW w:w="1700" w:type="dxa"/>
            <w:vAlign w:val="bottom"/>
            <w:shd w:val="clear" w:color="auto" w:fill="B7E4FF"/>
          </w:tcPr>
          <w:p>
            <w:pPr>
              <w:jc w:val="right"/>
              <w:ind w:right="400"/>
              <w:spacing w:after="0"/>
              <w:rPr>
                <w:sz w:val="20"/>
                <w:szCs w:val="20"/>
                <w:color w:val="auto"/>
              </w:rPr>
            </w:pPr>
            <w:r>
              <w:rPr>
                <w:rFonts w:ascii="Arial" w:cs="Arial" w:eastAsia="Arial" w:hAnsi="Arial"/>
                <w:sz w:val="16"/>
                <w:szCs w:val="16"/>
                <w:color w:val="4D4D4F"/>
              </w:rPr>
              <w:t>12.1</w:t>
            </w:r>
          </w:p>
        </w:tc>
        <w:tc>
          <w:tcPr>
            <w:tcW w:w="1260" w:type="dxa"/>
            <w:vAlign w:val="bottom"/>
            <w:shd w:val="clear" w:color="auto" w:fill="B7E4FF"/>
          </w:tcPr>
          <w:p>
            <w:pPr>
              <w:jc w:val="center"/>
              <w:ind w:left="340"/>
              <w:spacing w:after="0"/>
              <w:rPr>
                <w:sz w:val="20"/>
                <w:szCs w:val="20"/>
                <w:color w:val="auto"/>
              </w:rPr>
            </w:pPr>
            <w:r>
              <w:rPr>
                <w:rFonts w:ascii="Arial" w:cs="Arial" w:eastAsia="Arial" w:hAnsi="Arial"/>
                <w:sz w:val="16"/>
                <w:szCs w:val="16"/>
                <w:color w:val="4D4D4F"/>
              </w:rPr>
              <w:t>1,422,270</w:t>
            </w:r>
          </w:p>
        </w:tc>
        <w:tc>
          <w:tcPr>
            <w:tcW w:w="1600" w:type="dxa"/>
            <w:vAlign w:val="bottom"/>
            <w:shd w:val="clear" w:color="auto" w:fill="B7E4FF"/>
          </w:tcPr>
          <w:p>
            <w:pPr>
              <w:jc w:val="center"/>
              <w:ind w:left="460"/>
              <w:spacing w:after="0"/>
              <w:rPr>
                <w:sz w:val="20"/>
                <w:szCs w:val="20"/>
                <w:color w:val="auto"/>
              </w:rPr>
            </w:pPr>
            <w:r>
              <w:rPr>
                <w:rFonts w:ascii="Arial" w:cs="Arial" w:eastAsia="Arial" w:hAnsi="Arial"/>
                <w:sz w:val="16"/>
                <w:szCs w:val="16"/>
                <w:color w:val="4D4D4F"/>
                <w:w w:val="96"/>
              </w:rPr>
              <w:t>75.1</w:t>
            </w:r>
          </w:p>
        </w:tc>
        <w:tc>
          <w:tcPr>
            <w:tcW w:w="1680" w:type="dxa"/>
            <w:vAlign w:val="bottom"/>
            <w:shd w:val="clear" w:color="auto" w:fill="B7E4FF"/>
          </w:tcPr>
          <w:p>
            <w:pPr>
              <w:jc w:val="center"/>
              <w:ind w:left="120"/>
              <w:spacing w:after="0"/>
              <w:rPr>
                <w:sz w:val="20"/>
                <w:szCs w:val="20"/>
                <w:color w:val="auto"/>
              </w:rPr>
            </w:pPr>
            <w:r>
              <w:rPr>
                <w:rFonts w:ascii="Arial" w:cs="Arial" w:eastAsia="Arial" w:hAnsi="Arial"/>
                <w:sz w:val="16"/>
                <w:szCs w:val="16"/>
                <w:color w:val="4D4D4F"/>
              </w:rPr>
              <w:t>55.5</w:t>
            </w:r>
          </w:p>
        </w:tc>
      </w:tr>
      <w:tr>
        <w:trPr>
          <w:trHeight w:val="189"/>
        </w:trPr>
        <w:tc>
          <w:tcPr>
            <w:tcW w:w="4020" w:type="dxa"/>
            <w:vAlign w:val="bottom"/>
            <w:gridSpan w:val="3"/>
          </w:tcPr>
          <w:p>
            <w:pPr>
              <w:spacing w:after="0"/>
              <w:rPr>
                <w:sz w:val="20"/>
                <w:szCs w:val="20"/>
                <w:color w:val="auto"/>
              </w:rPr>
            </w:pPr>
            <w:r>
              <w:rPr>
                <w:rFonts w:ascii="Arial" w:cs="Arial" w:eastAsia="Arial" w:hAnsi="Arial"/>
                <w:sz w:val="16"/>
                <w:szCs w:val="16"/>
                <w:color w:val="4D4D4F"/>
              </w:rPr>
              <w:t>Yinan Xiang(7)</w:t>
            </w:r>
          </w:p>
        </w:tc>
        <w:tc>
          <w:tcPr>
            <w:tcW w:w="1160" w:type="dxa"/>
            <w:vAlign w:val="bottom"/>
          </w:tcPr>
          <w:p>
            <w:pPr>
              <w:jc w:val="center"/>
              <w:ind w:left="240"/>
              <w:spacing w:after="0"/>
              <w:rPr>
                <w:sz w:val="20"/>
                <w:szCs w:val="20"/>
                <w:color w:val="auto"/>
              </w:rPr>
            </w:pPr>
            <w:r>
              <w:rPr>
                <w:rFonts w:ascii="Arial" w:cs="Arial" w:eastAsia="Arial" w:hAnsi="Arial"/>
                <w:sz w:val="16"/>
                <w:szCs w:val="16"/>
                <w:color w:val="4D4D4F"/>
              </w:rPr>
              <w:t>1,666,170</w:t>
            </w:r>
          </w:p>
        </w:tc>
        <w:tc>
          <w:tcPr>
            <w:tcW w:w="1700" w:type="dxa"/>
            <w:vAlign w:val="bottom"/>
          </w:tcPr>
          <w:p>
            <w:pPr>
              <w:jc w:val="right"/>
              <w:ind w:right="400"/>
              <w:spacing w:after="0"/>
              <w:rPr>
                <w:sz w:val="20"/>
                <w:szCs w:val="20"/>
                <w:color w:val="auto"/>
              </w:rPr>
            </w:pPr>
            <w:r>
              <w:rPr>
                <w:rFonts w:ascii="Arial" w:cs="Arial" w:eastAsia="Arial" w:hAnsi="Arial"/>
                <w:sz w:val="16"/>
                <w:szCs w:val="16"/>
                <w:color w:val="4D4D4F"/>
              </w:rPr>
              <w:t>11.7</w:t>
            </w:r>
          </w:p>
        </w:tc>
        <w:tc>
          <w:tcPr>
            <w:tcW w:w="1260" w:type="dxa"/>
            <w:vAlign w:val="bottom"/>
          </w:tcPr>
          <w:p>
            <w:pPr>
              <w:ind w:left="1060"/>
              <w:spacing w:after="0"/>
              <w:rPr>
                <w:sz w:val="20"/>
                <w:szCs w:val="20"/>
                <w:color w:val="auto"/>
              </w:rPr>
            </w:pPr>
            <w:r>
              <w:rPr>
                <w:rFonts w:ascii="Arial" w:cs="Arial" w:eastAsia="Arial" w:hAnsi="Arial"/>
                <w:sz w:val="16"/>
                <w:szCs w:val="16"/>
                <w:color w:val="4D4D4F"/>
              </w:rPr>
              <w:t>—</w:t>
            </w:r>
          </w:p>
        </w:tc>
        <w:tc>
          <w:tcPr>
            <w:tcW w:w="1600" w:type="dxa"/>
            <w:vAlign w:val="bottom"/>
          </w:tcPr>
          <w:p>
            <w:pPr>
              <w:ind w:left="1040"/>
              <w:spacing w:after="0"/>
              <w:rPr>
                <w:sz w:val="20"/>
                <w:szCs w:val="20"/>
                <w:color w:val="auto"/>
              </w:rPr>
            </w:pPr>
            <w:r>
              <w:rPr>
                <w:rFonts w:ascii="Arial" w:cs="Arial" w:eastAsia="Arial" w:hAnsi="Arial"/>
                <w:sz w:val="16"/>
                <w:szCs w:val="16"/>
                <w:color w:val="4D4D4F"/>
              </w:rPr>
              <w:t>—</w:t>
            </w:r>
          </w:p>
        </w:tc>
        <w:tc>
          <w:tcPr>
            <w:tcW w:w="1680" w:type="dxa"/>
            <w:vAlign w:val="bottom"/>
          </w:tcPr>
          <w:p>
            <w:pPr>
              <w:jc w:val="center"/>
              <w:ind w:left="140"/>
              <w:spacing w:after="0"/>
              <w:rPr>
                <w:sz w:val="20"/>
                <w:szCs w:val="20"/>
                <w:color w:val="auto"/>
              </w:rPr>
            </w:pPr>
            <w:r>
              <w:rPr>
                <w:rFonts w:ascii="Arial" w:cs="Arial" w:eastAsia="Arial" w:hAnsi="Arial"/>
                <w:sz w:val="16"/>
                <w:szCs w:val="16"/>
                <w:color w:val="4D4D4F"/>
                <w:w w:val="98"/>
              </w:rPr>
              <w:t>3.2</w:t>
            </w:r>
          </w:p>
        </w:tc>
      </w:tr>
      <w:tr>
        <w:trPr>
          <w:trHeight w:val="189"/>
        </w:trPr>
        <w:tc>
          <w:tcPr>
            <w:tcW w:w="4020" w:type="dxa"/>
            <w:vAlign w:val="bottom"/>
            <w:gridSpan w:val="3"/>
            <w:shd w:val="clear" w:color="auto" w:fill="B7E4FF"/>
          </w:tcPr>
          <w:p>
            <w:pPr>
              <w:spacing w:after="0"/>
              <w:rPr>
                <w:sz w:val="20"/>
                <w:szCs w:val="20"/>
                <w:color w:val="auto"/>
              </w:rPr>
            </w:pPr>
            <w:r>
              <w:rPr>
                <w:rFonts w:ascii="Arial" w:cs="Arial" w:eastAsia="Arial" w:hAnsi="Arial"/>
                <w:sz w:val="16"/>
                <w:szCs w:val="16"/>
                <w:color w:val="4D4D4F"/>
              </w:rPr>
              <w:t>Haiping Dun(8)</w:t>
            </w:r>
          </w:p>
        </w:tc>
        <w:tc>
          <w:tcPr>
            <w:tcW w:w="1160" w:type="dxa"/>
            <w:vAlign w:val="bottom"/>
            <w:shd w:val="clear" w:color="auto" w:fill="B7E4FF"/>
          </w:tcPr>
          <w:p>
            <w:pPr>
              <w:jc w:val="center"/>
              <w:ind w:left="320"/>
              <w:spacing w:after="0"/>
              <w:rPr>
                <w:sz w:val="20"/>
                <w:szCs w:val="20"/>
                <w:color w:val="auto"/>
              </w:rPr>
            </w:pPr>
            <w:r>
              <w:rPr>
                <w:rFonts w:ascii="Arial" w:cs="Arial" w:eastAsia="Arial" w:hAnsi="Arial"/>
                <w:sz w:val="16"/>
                <w:szCs w:val="16"/>
                <w:color w:val="4D4D4F"/>
              </w:rPr>
              <w:t>417,164</w:t>
            </w:r>
          </w:p>
        </w:tc>
        <w:tc>
          <w:tcPr>
            <w:tcW w:w="1700" w:type="dxa"/>
            <w:vAlign w:val="bottom"/>
            <w:shd w:val="clear" w:color="auto" w:fill="B7E4FF"/>
          </w:tcPr>
          <w:p>
            <w:pPr>
              <w:jc w:val="right"/>
              <w:ind w:right="400"/>
              <w:spacing w:after="0"/>
              <w:rPr>
                <w:sz w:val="20"/>
                <w:szCs w:val="20"/>
                <w:color w:val="auto"/>
              </w:rPr>
            </w:pPr>
            <w:r>
              <w:rPr>
                <w:rFonts w:ascii="Arial" w:cs="Arial" w:eastAsia="Arial" w:hAnsi="Arial"/>
                <w:sz w:val="16"/>
                <w:szCs w:val="16"/>
                <w:color w:val="4D4D4F"/>
              </w:rPr>
              <w:t>2.9</w:t>
            </w:r>
          </w:p>
        </w:tc>
        <w:tc>
          <w:tcPr>
            <w:tcW w:w="1260" w:type="dxa"/>
            <w:vAlign w:val="bottom"/>
            <w:shd w:val="clear" w:color="auto" w:fill="B7E4FF"/>
          </w:tcPr>
          <w:p>
            <w:pPr>
              <w:jc w:val="center"/>
              <w:ind w:left="360"/>
              <w:spacing w:after="0"/>
              <w:rPr>
                <w:sz w:val="20"/>
                <w:szCs w:val="20"/>
                <w:color w:val="auto"/>
              </w:rPr>
            </w:pPr>
            <w:r>
              <w:rPr>
                <w:rFonts w:ascii="Arial" w:cs="Arial" w:eastAsia="Arial" w:hAnsi="Arial"/>
                <w:sz w:val="16"/>
                <w:szCs w:val="16"/>
                <w:color w:val="4D4D4F"/>
              </w:rPr>
              <w:t>100,000</w:t>
            </w:r>
          </w:p>
        </w:tc>
        <w:tc>
          <w:tcPr>
            <w:tcW w:w="1600" w:type="dxa"/>
            <w:vAlign w:val="bottom"/>
            <w:shd w:val="clear" w:color="auto" w:fill="B7E4FF"/>
          </w:tcPr>
          <w:p>
            <w:pPr>
              <w:jc w:val="center"/>
              <w:ind w:left="460"/>
              <w:spacing w:after="0"/>
              <w:rPr>
                <w:sz w:val="20"/>
                <w:szCs w:val="20"/>
                <w:color w:val="auto"/>
              </w:rPr>
            </w:pPr>
            <w:r>
              <w:rPr>
                <w:rFonts w:ascii="Arial" w:cs="Arial" w:eastAsia="Arial" w:hAnsi="Arial"/>
                <w:sz w:val="16"/>
                <w:szCs w:val="16"/>
                <w:color w:val="4D4D4F"/>
                <w:w w:val="98"/>
              </w:rPr>
              <w:t>5.3</w:t>
            </w:r>
          </w:p>
        </w:tc>
        <w:tc>
          <w:tcPr>
            <w:tcW w:w="1680" w:type="dxa"/>
            <w:vAlign w:val="bottom"/>
            <w:shd w:val="clear" w:color="auto" w:fill="B7E4FF"/>
          </w:tcPr>
          <w:p>
            <w:pPr>
              <w:jc w:val="center"/>
              <w:ind w:left="140"/>
              <w:spacing w:after="0"/>
              <w:rPr>
                <w:sz w:val="20"/>
                <w:szCs w:val="20"/>
                <w:color w:val="auto"/>
              </w:rPr>
            </w:pPr>
            <w:r>
              <w:rPr>
                <w:rFonts w:ascii="Arial" w:cs="Arial" w:eastAsia="Arial" w:hAnsi="Arial"/>
                <w:sz w:val="16"/>
                <w:szCs w:val="16"/>
                <w:color w:val="4D4D4F"/>
                <w:w w:val="98"/>
              </w:rPr>
              <w:t>4.4</w:t>
            </w:r>
          </w:p>
        </w:tc>
      </w:tr>
      <w:tr>
        <w:trPr>
          <w:trHeight w:val="189"/>
        </w:trPr>
        <w:tc>
          <w:tcPr>
            <w:tcW w:w="4020" w:type="dxa"/>
            <w:vAlign w:val="bottom"/>
            <w:gridSpan w:val="3"/>
          </w:tcPr>
          <w:p>
            <w:pPr>
              <w:spacing w:after="0"/>
              <w:rPr>
                <w:sz w:val="20"/>
                <w:szCs w:val="20"/>
                <w:color w:val="auto"/>
              </w:rPr>
            </w:pPr>
            <w:r>
              <w:rPr>
                <w:rFonts w:ascii="Arial" w:cs="Arial" w:eastAsia="Arial" w:hAnsi="Arial"/>
                <w:sz w:val="16"/>
                <w:szCs w:val="16"/>
                <w:color w:val="4D4D4F"/>
              </w:rPr>
              <w:t>Zhengfan Yang(9)</w:t>
            </w:r>
          </w:p>
        </w:tc>
        <w:tc>
          <w:tcPr>
            <w:tcW w:w="1160" w:type="dxa"/>
            <w:vAlign w:val="bottom"/>
          </w:tcPr>
          <w:p>
            <w:pPr>
              <w:jc w:val="center"/>
              <w:ind w:left="320"/>
              <w:spacing w:after="0"/>
              <w:rPr>
                <w:sz w:val="20"/>
                <w:szCs w:val="20"/>
                <w:color w:val="auto"/>
              </w:rPr>
            </w:pPr>
            <w:r>
              <w:rPr>
                <w:rFonts w:ascii="Arial" w:cs="Arial" w:eastAsia="Arial" w:hAnsi="Arial"/>
                <w:sz w:val="16"/>
                <w:szCs w:val="16"/>
                <w:color w:val="4D4D4F"/>
              </w:rPr>
              <w:t>833,334</w:t>
            </w:r>
          </w:p>
        </w:tc>
        <w:tc>
          <w:tcPr>
            <w:tcW w:w="1700" w:type="dxa"/>
            <w:vAlign w:val="bottom"/>
          </w:tcPr>
          <w:p>
            <w:pPr>
              <w:jc w:val="right"/>
              <w:ind w:right="400"/>
              <w:spacing w:after="0"/>
              <w:rPr>
                <w:sz w:val="20"/>
                <w:szCs w:val="20"/>
                <w:color w:val="auto"/>
              </w:rPr>
            </w:pPr>
            <w:r>
              <w:rPr>
                <w:rFonts w:ascii="Arial" w:cs="Arial" w:eastAsia="Arial" w:hAnsi="Arial"/>
                <w:sz w:val="16"/>
                <w:szCs w:val="16"/>
                <w:color w:val="4D4D4F"/>
              </w:rPr>
              <w:t>5.9</w:t>
            </w:r>
          </w:p>
        </w:tc>
        <w:tc>
          <w:tcPr>
            <w:tcW w:w="1260" w:type="dxa"/>
            <w:vAlign w:val="bottom"/>
          </w:tcPr>
          <w:p>
            <w:pPr>
              <w:ind w:left="1060"/>
              <w:spacing w:after="0"/>
              <w:rPr>
                <w:sz w:val="20"/>
                <w:szCs w:val="20"/>
                <w:color w:val="auto"/>
              </w:rPr>
            </w:pPr>
            <w:r>
              <w:rPr>
                <w:rFonts w:ascii="Arial" w:cs="Arial" w:eastAsia="Arial" w:hAnsi="Arial"/>
                <w:sz w:val="16"/>
                <w:szCs w:val="16"/>
                <w:color w:val="4D4D4F"/>
              </w:rPr>
              <w:t>—</w:t>
            </w:r>
          </w:p>
        </w:tc>
        <w:tc>
          <w:tcPr>
            <w:tcW w:w="1600" w:type="dxa"/>
            <w:vAlign w:val="bottom"/>
          </w:tcPr>
          <w:p>
            <w:pPr>
              <w:ind w:left="1040"/>
              <w:spacing w:after="0"/>
              <w:rPr>
                <w:sz w:val="20"/>
                <w:szCs w:val="20"/>
                <w:color w:val="auto"/>
              </w:rPr>
            </w:pPr>
            <w:r>
              <w:rPr>
                <w:rFonts w:ascii="Arial" w:cs="Arial" w:eastAsia="Arial" w:hAnsi="Arial"/>
                <w:sz w:val="16"/>
                <w:szCs w:val="16"/>
                <w:color w:val="4D4D4F"/>
              </w:rPr>
              <w:t>—</w:t>
            </w:r>
          </w:p>
        </w:tc>
        <w:tc>
          <w:tcPr>
            <w:tcW w:w="1680" w:type="dxa"/>
            <w:vAlign w:val="bottom"/>
          </w:tcPr>
          <w:p>
            <w:pPr>
              <w:jc w:val="center"/>
              <w:ind w:left="140"/>
              <w:spacing w:after="0"/>
              <w:rPr>
                <w:sz w:val="20"/>
                <w:szCs w:val="20"/>
                <w:color w:val="auto"/>
              </w:rPr>
            </w:pPr>
            <w:r>
              <w:rPr>
                <w:rFonts w:ascii="Arial" w:cs="Arial" w:eastAsia="Arial" w:hAnsi="Arial"/>
                <w:sz w:val="16"/>
                <w:szCs w:val="16"/>
                <w:color w:val="4D4D4F"/>
                <w:w w:val="98"/>
              </w:rPr>
              <w:t>1.6</w:t>
            </w:r>
          </w:p>
        </w:tc>
      </w:tr>
      <w:tr>
        <w:trPr>
          <w:trHeight w:val="189"/>
        </w:trPr>
        <w:tc>
          <w:tcPr>
            <w:tcW w:w="4020" w:type="dxa"/>
            <w:vAlign w:val="bottom"/>
            <w:gridSpan w:val="3"/>
            <w:shd w:val="clear" w:color="auto" w:fill="B7E4FF"/>
          </w:tcPr>
          <w:p>
            <w:pPr>
              <w:spacing w:after="0"/>
              <w:rPr>
                <w:sz w:val="20"/>
                <w:szCs w:val="20"/>
                <w:color w:val="auto"/>
              </w:rPr>
            </w:pPr>
            <w:r>
              <w:rPr>
                <w:rFonts w:ascii="Arial" w:cs="Arial" w:eastAsia="Arial" w:hAnsi="Arial"/>
                <w:sz w:val="16"/>
                <w:szCs w:val="16"/>
                <w:color w:val="4D4D4F"/>
              </w:rPr>
              <w:t>Sotheara Cheav(10)</w:t>
            </w:r>
          </w:p>
        </w:tc>
        <w:tc>
          <w:tcPr>
            <w:tcW w:w="1160" w:type="dxa"/>
            <w:vAlign w:val="bottom"/>
            <w:shd w:val="clear" w:color="auto" w:fill="B7E4FF"/>
          </w:tcPr>
          <w:p>
            <w:pPr>
              <w:jc w:val="center"/>
              <w:ind w:left="320"/>
              <w:spacing w:after="0"/>
              <w:rPr>
                <w:sz w:val="20"/>
                <w:szCs w:val="20"/>
                <w:color w:val="auto"/>
              </w:rPr>
            </w:pPr>
            <w:r>
              <w:rPr>
                <w:rFonts w:ascii="Arial" w:cs="Arial" w:eastAsia="Arial" w:hAnsi="Arial"/>
                <w:sz w:val="16"/>
                <w:szCs w:val="16"/>
                <w:color w:val="4D4D4F"/>
                <w:w w:val="98"/>
              </w:rPr>
              <w:t>34,029</w:t>
            </w:r>
          </w:p>
        </w:tc>
        <w:tc>
          <w:tcPr>
            <w:tcW w:w="1700" w:type="dxa"/>
            <w:vAlign w:val="bottom"/>
            <w:shd w:val="clear" w:color="auto" w:fill="B7E4FF"/>
          </w:tcPr>
          <w:p>
            <w:pPr>
              <w:jc w:val="center"/>
              <w:ind w:left="340"/>
              <w:spacing w:after="0"/>
              <w:rPr>
                <w:sz w:val="20"/>
                <w:szCs w:val="20"/>
                <w:color w:val="auto"/>
              </w:rPr>
            </w:pPr>
            <w:r>
              <w:rPr>
                <w:rFonts w:ascii="Arial" w:cs="Arial" w:eastAsia="Arial" w:hAnsi="Arial"/>
                <w:sz w:val="16"/>
                <w:szCs w:val="16"/>
                <w:color w:val="4D4D4F"/>
              </w:rPr>
              <w:t>*</w:t>
            </w:r>
          </w:p>
        </w:tc>
        <w:tc>
          <w:tcPr>
            <w:tcW w:w="1260" w:type="dxa"/>
            <w:vAlign w:val="bottom"/>
            <w:shd w:val="clear" w:color="auto" w:fill="B7E4FF"/>
          </w:tcPr>
          <w:p>
            <w:pPr>
              <w:ind w:left="1060"/>
              <w:spacing w:after="0"/>
              <w:rPr>
                <w:sz w:val="20"/>
                <w:szCs w:val="20"/>
                <w:color w:val="auto"/>
              </w:rPr>
            </w:pPr>
            <w:r>
              <w:rPr>
                <w:rFonts w:ascii="Arial" w:cs="Arial" w:eastAsia="Arial" w:hAnsi="Arial"/>
                <w:sz w:val="16"/>
                <w:szCs w:val="16"/>
                <w:color w:val="4D4D4F"/>
              </w:rPr>
              <w:t>—</w:t>
            </w:r>
          </w:p>
        </w:tc>
        <w:tc>
          <w:tcPr>
            <w:tcW w:w="1600" w:type="dxa"/>
            <w:vAlign w:val="bottom"/>
            <w:shd w:val="clear" w:color="auto" w:fill="B7E4FF"/>
          </w:tcPr>
          <w:p>
            <w:pPr>
              <w:ind w:left="1040"/>
              <w:spacing w:after="0"/>
              <w:rPr>
                <w:sz w:val="20"/>
                <w:szCs w:val="20"/>
                <w:color w:val="auto"/>
              </w:rPr>
            </w:pPr>
            <w:r>
              <w:rPr>
                <w:rFonts w:ascii="Arial" w:cs="Arial" w:eastAsia="Arial" w:hAnsi="Arial"/>
                <w:sz w:val="16"/>
                <w:szCs w:val="16"/>
                <w:color w:val="4D4D4F"/>
              </w:rPr>
              <w:t>—</w:t>
            </w:r>
          </w:p>
        </w:tc>
        <w:tc>
          <w:tcPr>
            <w:tcW w:w="1680" w:type="dxa"/>
            <w:vAlign w:val="bottom"/>
            <w:shd w:val="clear" w:color="auto" w:fill="B7E4FF"/>
          </w:tcPr>
          <w:p>
            <w:pPr>
              <w:jc w:val="center"/>
              <w:ind w:left="140"/>
              <w:spacing w:after="0"/>
              <w:rPr>
                <w:sz w:val="20"/>
                <w:szCs w:val="20"/>
                <w:color w:val="auto"/>
              </w:rPr>
            </w:pPr>
            <w:r>
              <w:rPr>
                <w:rFonts w:ascii="Arial" w:cs="Arial" w:eastAsia="Arial" w:hAnsi="Arial"/>
                <w:sz w:val="16"/>
                <w:szCs w:val="16"/>
                <w:color w:val="4D4D4F"/>
                <w:w w:val="95"/>
              </w:rPr>
              <w:t>*</w:t>
            </w:r>
          </w:p>
        </w:tc>
      </w:tr>
      <w:tr>
        <w:trPr>
          <w:trHeight w:val="189"/>
        </w:trPr>
        <w:tc>
          <w:tcPr>
            <w:tcW w:w="4020" w:type="dxa"/>
            <w:vAlign w:val="bottom"/>
            <w:gridSpan w:val="3"/>
          </w:tcPr>
          <w:p>
            <w:pPr>
              <w:spacing w:after="0"/>
              <w:rPr>
                <w:sz w:val="20"/>
                <w:szCs w:val="20"/>
                <w:color w:val="auto"/>
              </w:rPr>
            </w:pPr>
            <w:r>
              <w:rPr>
                <w:rFonts w:ascii="Arial" w:cs="Arial" w:eastAsia="Arial" w:hAnsi="Arial"/>
                <w:sz w:val="16"/>
                <w:szCs w:val="16"/>
                <w:color w:val="4D4D4F"/>
              </w:rPr>
              <w:t>Jian Wang (11)</w:t>
            </w:r>
          </w:p>
        </w:tc>
        <w:tc>
          <w:tcPr>
            <w:tcW w:w="1160" w:type="dxa"/>
            <w:vAlign w:val="bottom"/>
          </w:tcPr>
          <w:p>
            <w:pPr>
              <w:jc w:val="center"/>
              <w:ind w:left="220"/>
              <w:spacing w:after="0"/>
              <w:rPr>
                <w:sz w:val="20"/>
                <w:szCs w:val="20"/>
                <w:color w:val="auto"/>
              </w:rPr>
            </w:pPr>
            <w:r>
              <w:rPr>
                <w:rFonts w:ascii="Arial" w:cs="Arial" w:eastAsia="Arial" w:hAnsi="Arial"/>
                <w:sz w:val="16"/>
                <w:szCs w:val="16"/>
                <w:color w:val="4D4D4F"/>
              </w:rPr>
              <w:t>531,899</w:t>
            </w:r>
          </w:p>
        </w:tc>
        <w:tc>
          <w:tcPr>
            <w:tcW w:w="1700" w:type="dxa"/>
            <w:vAlign w:val="bottom"/>
          </w:tcPr>
          <w:p>
            <w:pPr>
              <w:jc w:val="right"/>
              <w:ind w:right="400"/>
              <w:spacing w:after="0"/>
              <w:rPr>
                <w:sz w:val="20"/>
                <w:szCs w:val="20"/>
                <w:color w:val="auto"/>
              </w:rPr>
            </w:pPr>
            <w:r>
              <w:rPr>
                <w:rFonts w:ascii="Arial" w:cs="Arial" w:eastAsia="Arial" w:hAnsi="Arial"/>
                <w:sz w:val="16"/>
                <w:szCs w:val="16"/>
                <w:color w:val="4D4D4F"/>
              </w:rPr>
              <w:t>3.4</w:t>
            </w:r>
          </w:p>
        </w:tc>
        <w:tc>
          <w:tcPr>
            <w:tcW w:w="1260" w:type="dxa"/>
            <w:vAlign w:val="bottom"/>
          </w:tcPr>
          <w:p>
            <w:pPr>
              <w:jc w:val="center"/>
              <w:ind w:left="360"/>
              <w:spacing w:after="0"/>
              <w:rPr>
                <w:sz w:val="20"/>
                <w:szCs w:val="20"/>
                <w:color w:val="auto"/>
              </w:rPr>
            </w:pPr>
            <w:r>
              <w:rPr>
                <w:rFonts w:ascii="Arial" w:cs="Arial" w:eastAsia="Arial" w:hAnsi="Arial"/>
                <w:sz w:val="16"/>
                <w:szCs w:val="16"/>
                <w:color w:val="4D4D4F"/>
              </w:rPr>
              <w:t>50,001</w:t>
            </w:r>
          </w:p>
        </w:tc>
        <w:tc>
          <w:tcPr>
            <w:tcW w:w="1600" w:type="dxa"/>
            <w:vAlign w:val="bottom"/>
          </w:tcPr>
          <w:p>
            <w:pPr>
              <w:jc w:val="center"/>
              <w:ind w:left="460"/>
              <w:spacing w:after="0"/>
              <w:rPr>
                <w:sz w:val="20"/>
                <w:szCs w:val="20"/>
                <w:color w:val="auto"/>
              </w:rPr>
            </w:pPr>
            <w:r>
              <w:rPr>
                <w:rFonts w:ascii="Arial" w:cs="Arial" w:eastAsia="Arial" w:hAnsi="Arial"/>
                <w:sz w:val="16"/>
                <w:szCs w:val="16"/>
                <w:color w:val="4D4D4F"/>
                <w:w w:val="98"/>
              </w:rPr>
              <w:t>2.6</w:t>
            </w:r>
          </w:p>
        </w:tc>
        <w:tc>
          <w:tcPr>
            <w:tcW w:w="1680" w:type="dxa"/>
            <w:vAlign w:val="bottom"/>
          </w:tcPr>
          <w:p>
            <w:pPr>
              <w:jc w:val="center"/>
              <w:ind w:left="140"/>
              <w:spacing w:after="0"/>
              <w:rPr>
                <w:sz w:val="20"/>
                <w:szCs w:val="20"/>
                <w:color w:val="auto"/>
              </w:rPr>
            </w:pPr>
            <w:r>
              <w:rPr>
                <w:rFonts w:ascii="Arial" w:cs="Arial" w:eastAsia="Arial" w:hAnsi="Arial"/>
                <w:sz w:val="16"/>
                <w:szCs w:val="16"/>
                <w:color w:val="auto"/>
                <w:w w:val="98"/>
              </w:rPr>
              <w:t>2.9</w:t>
            </w:r>
          </w:p>
        </w:tc>
      </w:tr>
      <w:tr>
        <w:trPr>
          <w:trHeight w:val="189"/>
        </w:trPr>
        <w:tc>
          <w:tcPr>
            <w:tcW w:w="4020" w:type="dxa"/>
            <w:vAlign w:val="bottom"/>
            <w:gridSpan w:val="3"/>
            <w:shd w:val="clear" w:color="auto" w:fill="B7E4FF"/>
          </w:tcPr>
          <w:p>
            <w:pPr>
              <w:spacing w:after="0"/>
              <w:rPr>
                <w:sz w:val="20"/>
                <w:szCs w:val="20"/>
                <w:color w:val="auto"/>
              </w:rPr>
            </w:pPr>
            <w:r>
              <w:rPr>
                <w:rFonts w:ascii="Arial" w:cs="Arial" w:eastAsia="Arial" w:hAnsi="Arial"/>
                <w:sz w:val="16"/>
                <w:szCs w:val="16"/>
                <w:color w:val="4D4D4F"/>
              </w:rPr>
              <w:t>Chenming Hu(12)</w:t>
            </w:r>
          </w:p>
        </w:tc>
        <w:tc>
          <w:tcPr>
            <w:tcW w:w="1160" w:type="dxa"/>
            <w:vAlign w:val="bottom"/>
            <w:shd w:val="clear" w:color="auto" w:fill="B7E4FF"/>
          </w:tcPr>
          <w:p>
            <w:pPr>
              <w:jc w:val="center"/>
              <w:ind w:left="320"/>
              <w:spacing w:after="0"/>
              <w:rPr>
                <w:sz w:val="20"/>
                <w:szCs w:val="20"/>
                <w:color w:val="auto"/>
              </w:rPr>
            </w:pPr>
            <w:r>
              <w:rPr>
                <w:rFonts w:ascii="Arial" w:cs="Arial" w:eastAsia="Arial" w:hAnsi="Arial"/>
                <w:sz w:val="16"/>
                <w:szCs w:val="16"/>
                <w:color w:val="4D4D4F"/>
                <w:w w:val="98"/>
              </w:rPr>
              <w:t>34,861</w:t>
            </w:r>
          </w:p>
        </w:tc>
        <w:tc>
          <w:tcPr>
            <w:tcW w:w="1700" w:type="dxa"/>
            <w:vAlign w:val="bottom"/>
            <w:shd w:val="clear" w:color="auto" w:fill="B7E4FF"/>
          </w:tcPr>
          <w:p>
            <w:pPr>
              <w:jc w:val="center"/>
              <w:ind w:left="340"/>
              <w:spacing w:after="0"/>
              <w:rPr>
                <w:sz w:val="20"/>
                <w:szCs w:val="20"/>
                <w:color w:val="auto"/>
              </w:rPr>
            </w:pPr>
            <w:r>
              <w:rPr>
                <w:rFonts w:ascii="Arial" w:cs="Arial" w:eastAsia="Arial" w:hAnsi="Arial"/>
                <w:sz w:val="16"/>
                <w:szCs w:val="16"/>
                <w:color w:val="4D4D4F"/>
              </w:rPr>
              <w:t>*</w:t>
            </w:r>
          </w:p>
        </w:tc>
        <w:tc>
          <w:tcPr>
            <w:tcW w:w="1260" w:type="dxa"/>
            <w:vAlign w:val="bottom"/>
            <w:shd w:val="clear" w:color="auto" w:fill="B7E4FF"/>
          </w:tcPr>
          <w:p>
            <w:pPr>
              <w:ind w:left="1060"/>
              <w:spacing w:after="0"/>
              <w:rPr>
                <w:sz w:val="20"/>
                <w:szCs w:val="20"/>
                <w:color w:val="auto"/>
              </w:rPr>
            </w:pPr>
            <w:r>
              <w:rPr>
                <w:rFonts w:ascii="Arial" w:cs="Arial" w:eastAsia="Arial" w:hAnsi="Arial"/>
                <w:sz w:val="16"/>
                <w:szCs w:val="16"/>
                <w:color w:val="4D4D4F"/>
              </w:rPr>
              <w:t>—</w:t>
            </w:r>
          </w:p>
        </w:tc>
        <w:tc>
          <w:tcPr>
            <w:tcW w:w="1600" w:type="dxa"/>
            <w:vAlign w:val="bottom"/>
            <w:shd w:val="clear" w:color="auto" w:fill="B7E4FF"/>
          </w:tcPr>
          <w:p>
            <w:pPr>
              <w:ind w:left="1040"/>
              <w:spacing w:after="0"/>
              <w:rPr>
                <w:sz w:val="20"/>
                <w:szCs w:val="20"/>
                <w:color w:val="auto"/>
              </w:rPr>
            </w:pPr>
            <w:r>
              <w:rPr>
                <w:rFonts w:ascii="Arial" w:cs="Arial" w:eastAsia="Arial" w:hAnsi="Arial"/>
                <w:sz w:val="16"/>
                <w:szCs w:val="16"/>
                <w:color w:val="4D4D4F"/>
              </w:rPr>
              <w:t>—</w:t>
            </w:r>
          </w:p>
        </w:tc>
        <w:tc>
          <w:tcPr>
            <w:tcW w:w="1680" w:type="dxa"/>
            <w:vAlign w:val="bottom"/>
            <w:shd w:val="clear" w:color="auto" w:fill="B7E4FF"/>
          </w:tcPr>
          <w:p>
            <w:pPr>
              <w:jc w:val="center"/>
              <w:ind w:left="140"/>
              <w:spacing w:after="0"/>
              <w:rPr>
                <w:sz w:val="20"/>
                <w:szCs w:val="20"/>
                <w:color w:val="auto"/>
              </w:rPr>
            </w:pPr>
            <w:r>
              <w:rPr>
                <w:rFonts w:ascii="Arial" w:cs="Arial" w:eastAsia="Arial" w:hAnsi="Arial"/>
                <w:sz w:val="16"/>
                <w:szCs w:val="16"/>
                <w:color w:val="4D4D4F"/>
                <w:w w:val="95"/>
              </w:rPr>
              <w:t>*</w:t>
            </w:r>
          </w:p>
        </w:tc>
      </w:tr>
      <w:tr>
        <w:trPr>
          <w:trHeight w:val="189"/>
        </w:trPr>
        <w:tc>
          <w:tcPr>
            <w:tcW w:w="4020" w:type="dxa"/>
            <w:vAlign w:val="bottom"/>
            <w:gridSpan w:val="3"/>
          </w:tcPr>
          <w:p>
            <w:pPr>
              <w:spacing w:after="0"/>
              <w:rPr>
                <w:sz w:val="20"/>
                <w:szCs w:val="20"/>
                <w:color w:val="auto"/>
              </w:rPr>
            </w:pPr>
            <w:r>
              <w:rPr>
                <w:rFonts w:ascii="Arial" w:cs="Arial" w:eastAsia="Arial" w:hAnsi="Arial"/>
                <w:sz w:val="16"/>
                <w:szCs w:val="16"/>
                <w:color w:val="4D4D4F"/>
              </w:rPr>
              <w:t>Tracy Liu(13)</w:t>
            </w:r>
          </w:p>
        </w:tc>
        <w:tc>
          <w:tcPr>
            <w:tcW w:w="1160" w:type="dxa"/>
            <w:vAlign w:val="bottom"/>
          </w:tcPr>
          <w:p>
            <w:pPr>
              <w:jc w:val="right"/>
              <w:ind w:right="80"/>
              <w:spacing w:after="0"/>
              <w:rPr>
                <w:sz w:val="20"/>
                <w:szCs w:val="20"/>
                <w:color w:val="auto"/>
              </w:rPr>
            </w:pPr>
            <w:r>
              <w:rPr>
                <w:rFonts w:ascii="Arial" w:cs="Arial" w:eastAsia="Arial" w:hAnsi="Arial"/>
                <w:sz w:val="16"/>
                <w:szCs w:val="16"/>
                <w:color w:val="4D4D4F"/>
              </w:rPr>
              <w:t>4,483</w:t>
            </w:r>
          </w:p>
        </w:tc>
        <w:tc>
          <w:tcPr>
            <w:tcW w:w="1700" w:type="dxa"/>
            <w:vAlign w:val="bottom"/>
          </w:tcPr>
          <w:p>
            <w:pPr>
              <w:jc w:val="center"/>
              <w:ind w:left="340"/>
              <w:spacing w:after="0"/>
              <w:rPr>
                <w:sz w:val="20"/>
                <w:szCs w:val="20"/>
                <w:color w:val="auto"/>
              </w:rPr>
            </w:pPr>
            <w:r>
              <w:rPr>
                <w:rFonts w:ascii="Arial" w:cs="Arial" w:eastAsia="Arial" w:hAnsi="Arial"/>
                <w:sz w:val="16"/>
                <w:szCs w:val="16"/>
                <w:color w:val="4D4D4F"/>
              </w:rPr>
              <w:t>*</w:t>
            </w:r>
          </w:p>
        </w:tc>
        <w:tc>
          <w:tcPr>
            <w:tcW w:w="1260" w:type="dxa"/>
            <w:vAlign w:val="bottom"/>
          </w:tcPr>
          <w:p>
            <w:pPr>
              <w:ind w:left="1060"/>
              <w:spacing w:after="0"/>
              <w:rPr>
                <w:sz w:val="20"/>
                <w:szCs w:val="20"/>
                <w:color w:val="auto"/>
              </w:rPr>
            </w:pPr>
            <w:r>
              <w:rPr>
                <w:rFonts w:ascii="Arial" w:cs="Arial" w:eastAsia="Arial" w:hAnsi="Arial"/>
                <w:sz w:val="16"/>
                <w:szCs w:val="16"/>
                <w:color w:val="4D4D4F"/>
              </w:rPr>
              <w:t>—</w:t>
            </w:r>
          </w:p>
        </w:tc>
        <w:tc>
          <w:tcPr>
            <w:tcW w:w="1600" w:type="dxa"/>
            <w:vAlign w:val="bottom"/>
          </w:tcPr>
          <w:p>
            <w:pPr>
              <w:ind w:left="1040"/>
              <w:spacing w:after="0"/>
              <w:rPr>
                <w:sz w:val="20"/>
                <w:szCs w:val="20"/>
                <w:color w:val="auto"/>
              </w:rPr>
            </w:pPr>
            <w:r>
              <w:rPr>
                <w:rFonts w:ascii="Arial" w:cs="Arial" w:eastAsia="Arial" w:hAnsi="Arial"/>
                <w:sz w:val="16"/>
                <w:szCs w:val="16"/>
                <w:color w:val="4D4D4F"/>
              </w:rPr>
              <w:t>—</w:t>
            </w:r>
          </w:p>
        </w:tc>
        <w:tc>
          <w:tcPr>
            <w:tcW w:w="1680" w:type="dxa"/>
            <w:vAlign w:val="bottom"/>
          </w:tcPr>
          <w:p>
            <w:pPr>
              <w:jc w:val="center"/>
              <w:ind w:left="140"/>
              <w:spacing w:after="0"/>
              <w:rPr>
                <w:sz w:val="20"/>
                <w:szCs w:val="20"/>
                <w:color w:val="auto"/>
              </w:rPr>
            </w:pPr>
            <w:r>
              <w:rPr>
                <w:rFonts w:ascii="Arial" w:cs="Arial" w:eastAsia="Arial" w:hAnsi="Arial"/>
                <w:sz w:val="16"/>
                <w:szCs w:val="16"/>
                <w:color w:val="4D4D4F"/>
                <w:w w:val="95"/>
              </w:rPr>
              <w:t>*</w:t>
            </w:r>
          </w:p>
        </w:tc>
      </w:tr>
      <w:tr>
        <w:trPr>
          <w:trHeight w:val="191"/>
        </w:trPr>
        <w:tc>
          <w:tcPr>
            <w:tcW w:w="4020" w:type="dxa"/>
            <w:vAlign w:val="bottom"/>
            <w:gridSpan w:val="3"/>
            <w:shd w:val="clear" w:color="auto" w:fill="B7E4FF"/>
          </w:tcPr>
          <w:p>
            <w:pPr>
              <w:spacing w:after="0"/>
              <w:rPr>
                <w:sz w:val="20"/>
                <w:szCs w:val="20"/>
                <w:color w:val="auto"/>
              </w:rPr>
            </w:pPr>
            <w:r>
              <w:rPr>
                <w:rFonts w:ascii="Arial" w:cs="Arial" w:eastAsia="Arial" w:hAnsi="Arial"/>
                <w:sz w:val="16"/>
                <w:szCs w:val="16"/>
                <w:color w:val="4D4D4F"/>
              </w:rPr>
              <w:t>All executive officers and directors as a group (9</w:t>
            </w:r>
          </w:p>
        </w:tc>
        <w:tc>
          <w:tcPr>
            <w:tcW w:w="1160" w:type="dxa"/>
            <w:vAlign w:val="bottom"/>
            <w:shd w:val="clear" w:color="auto" w:fill="B7E4FF"/>
          </w:tcPr>
          <w:p>
            <w:pPr>
              <w:jc w:val="center"/>
              <w:ind w:left="240"/>
              <w:spacing w:after="0"/>
              <w:rPr>
                <w:sz w:val="20"/>
                <w:szCs w:val="20"/>
                <w:color w:val="auto"/>
              </w:rPr>
            </w:pPr>
            <w:r>
              <w:rPr>
                <w:rFonts w:ascii="Arial" w:cs="Arial" w:eastAsia="Arial" w:hAnsi="Arial"/>
                <w:sz w:val="16"/>
                <w:szCs w:val="16"/>
                <w:color w:val="4D4D4F"/>
              </w:rPr>
              <w:t>5,418,370</w:t>
            </w:r>
          </w:p>
        </w:tc>
        <w:tc>
          <w:tcPr>
            <w:tcW w:w="1700" w:type="dxa"/>
            <w:vAlign w:val="bottom"/>
            <w:shd w:val="clear" w:color="auto" w:fill="B7E4FF"/>
          </w:tcPr>
          <w:p>
            <w:pPr>
              <w:jc w:val="right"/>
              <w:ind w:right="400"/>
              <w:spacing w:after="0"/>
              <w:rPr>
                <w:sz w:val="20"/>
                <w:szCs w:val="20"/>
                <w:color w:val="auto"/>
              </w:rPr>
            </w:pPr>
            <w:r>
              <w:rPr>
                <w:rFonts w:ascii="Arial" w:cs="Arial" w:eastAsia="Arial" w:hAnsi="Arial"/>
                <w:sz w:val="16"/>
                <w:szCs w:val="16"/>
                <w:color w:val="4D4D4F"/>
              </w:rPr>
              <w:t>34.3</w:t>
            </w:r>
          </w:p>
        </w:tc>
        <w:tc>
          <w:tcPr>
            <w:tcW w:w="1260" w:type="dxa"/>
            <w:vAlign w:val="bottom"/>
            <w:shd w:val="clear" w:color="auto" w:fill="B7E4FF"/>
          </w:tcPr>
          <w:p>
            <w:pPr>
              <w:jc w:val="center"/>
              <w:ind w:left="340"/>
              <w:spacing w:after="0"/>
              <w:rPr>
                <w:sz w:val="20"/>
                <w:szCs w:val="20"/>
                <w:color w:val="auto"/>
              </w:rPr>
            </w:pPr>
            <w:r>
              <w:rPr>
                <w:rFonts w:ascii="Arial" w:cs="Arial" w:eastAsia="Arial" w:hAnsi="Arial"/>
                <w:sz w:val="16"/>
                <w:szCs w:val="16"/>
                <w:color w:val="4D4D4F"/>
              </w:rPr>
              <w:t>1,572,271</w:t>
            </w:r>
          </w:p>
        </w:tc>
        <w:tc>
          <w:tcPr>
            <w:tcW w:w="1600" w:type="dxa"/>
            <w:vAlign w:val="bottom"/>
            <w:shd w:val="clear" w:color="auto" w:fill="B7E4FF"/>
          </w:tcPr>
          <w:p>
            <w:pPr>
              <w:jc w:val="center"/>
              <w:ind w:left="460"/>
              <w:spacing w:after="0"/>
              <w:rPr>
                <w:sz w:val="20"/>
                <w:szCs w:val="20"/>
                <w:color w:val="auto"/>
              </w:rPr>
            </w:pPr>
            <w:r>
              <w:rPr>
                <w:rFonts w:ascii="Arial" w:cs="Arial" w:eastAsia="Arial" w:hAnsi="Arial"/>
                <w:sz w:val="16"/>
                <w:szCs w:val="16"/>
                <w:color w:val="4D4D4F"/>
                <w:w w:val="96"/>
              </w:rPr>
              <w:t>83.0</w:t>
            </w:r>
          </w:p>
        </w:tc>
        <w:tc>
          <w:tcPr>
            <w:tcW w:w="1680" w:type="dxa"/>
            <w:vAlign w:val="bottom"/>
            <w:shd w:val="clear" w:color="auto" w:fill="B7E4FF"/>
          </w:tcPr>
          <w:p>
            <w:pPr>
              <w:jc w:val="center"/>
              <w:ind w:left="120"/>
              <w:spacing w:after="0"/>
              <w:rPr>
                <w:sz w:val="20"/>
                <w:szCs w:val="20"/>
                <w:color w:val="auto"/>
              </w:rPr>
            </w:pPr>
            <w:r>
              <w:rPr>
                <w:rFonts w:ascii="Arial" w:cs="Arial" w:eastAsia="Arial" w:hAnsi="Arial"/>
                <w:sz w:val="16"/>
                <w:szCs w:val="16"/>
                <w:color w:val="4D4D4F"/>
              </w:rPr>
              <w:t>67.7</w:t>
            </w:r>
          </w:p>
        </w:tc>
      </w:tr>
      <w:tr>
        <w:trPr>
          <w:trHeight w:val="194"/>
        </w:trPr>
        <w:tc>
          <w:tcPr>
            <w:tcW w:w="4020" w:type="dxa"/>
            <w:vAlign w:val="bottom"/>
            <w:tcBorders>
              <w:bottom w:val="single" w:sz="8" w:color="auto"/>
            </w:tcBorders>
            <w:gridSpan w:val="3"/>
            <w:shd w:val="clear" w:color="auto" w:fill="B7E4FF"/>
          </w:tcPr>
          <w:p>
            <w:pPr>
              <w:ind w:left="160"/>
              <w:spacing w:after="0"/>
              <w:rPr>
                <w:sz w:val="20"/>
                <w:szCs w:val="20"/>
                <w:color w:val="auto"/>
              </w:rPr>
            </w:pPr>
            <w:r>
              <w:rPr>
                <w:rFonts w:ascii="Arial" w:cs="Arial" w:eastAsia="Arial" w:hAnsi="Arial"/>
                <w:sz w:val="16"/>
                <w:szCs w:val="16"/>
                <w:color w:val="4D4D4F"/>
              </w:rPr>
              <w:t>persons)(14)</w:t>
            </w:r>
          </w:p>
        </w:tc>
        <w:tc>
          <w:tcPr>
            <w:tcW w:w="1160" w:type="dxa"/>
            <w:vAlign w:val="bottom"/>
            <w:tcBorders>
              <w:bottom w:val="single" w:sz="8" w:color="auto"/>
            </w:tcBorders>
            <w:shd w:val="clear" w:color="auto" w:fill="B7E4FF"/>
          </w:tcPr>
          <w:p>
            <w:pPr>
              <w:spacing w:after="0"/>
              <w:rPr>
                <w:sz w:val="16"/>
                <w:szCs w:val="16"/>
                <w:color w:val="auto"/>
              </w:rPr>
            </w:pPr>
          </w:p>
        </w:tc>
        <w:tc>
          <w:tcPr>
            <w:tcW w:w="1700" w:type="dxa"/>
            <w:vAlign w:val="bottom"/>
            <w:tcBorders>
              <w:bottom w:val="single" w:sz="8" w:color="auto"/>
            </w:tcBorders>
            <w:shd w:val="clear" w:color="auto" w:fill="B7E4FF"/>
          </w:tcPr>
          <w:p>
            <w:pPr>
              <w:spacing w:after="0"/>
              <w:rPr>
                <w:sz w:val="16"/>
                <w:szCs w:val="16"/>
                <w:color w:val="auto"/>
              </w:rPr>
            </w:pPr>
          </w:p>
        </w:tc>
        <w:tc>
          <w:tcPr>
            <w:tcW w:w="1260" w:type="dxa"/>
            <w:vAlign w:val="bottom"/>
            <w:tcBorders>
              <w:bottom w:val="single" w:sz="8" w:color="auto"/>
            </w:tcBorders>
            <w:shd w:val="clear" w:color="auto" w:fill="B7E4FF"/>
          </w:tcPr>
          <w:p>
            <w:pPr>
              <w:spacing w:after="0"/>
              <w:rPr>
                <w:sz w:val="16"/>
                <w:szCs w:val="16"/>
                <w:color w:val="auto"/>
              </w:rPr>
            </w:pPr>
          </w:p>
        </w:tc>
        <w:tc>
          <w:tcPr>
            <w:tcW w:w="1600" w:type="dxa"/>
            <w:vAlign w:val="bottom"/>
            <w:tcBorders>
              <w:bottom w:val="single" w:sz="8" w:color="auto"/>
            </w:tcBorders>
            <w:shd w:val="clear" w:color="auto" w:fill="B7E4FF"/>
          </w:tcPr>
          <w:p>
            <w:pPr>
              <w:spacing w:after="0"/>
              <w:rPr>
                <w:sz w:val="16"/>
                <w:szCs w:val="16"/>
                <w:color w:val="auto"/>
              </w:rPr>
            </w:pPr>
          </w:p>
        </w:tc>
        <w:tc>
          <w:tcPr>
            <w:tcW w:w="1680" w:type="dxa"/>
            <w:vAlign w:val="bottom"/>
            <w:tcBorders>
              <w:bottom w:val="single" w:sz="8" w:color="auto"/>
            </w:tcBorders>
            <w:shd w:val="clear" w:color="auto" w:fill="B7E4FF"/>
          </w:tcPr>
          <w:p>
            <w:pPr>
              <w:spacing w:after="0"/>
              <w:rPr>
                <w:sz w:val="16"/>
                <w:szCs w:val="16"/>
                <w:color w:val="auto"/>
              </w:rPr>
            </w:pPr>
          </w:p>
        </w:tc>
      </w:tr>
    </w:tbl>
    <w:p>
      <w:pPr>
        <w:spacing w:after="0" w:line="5"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4"/>
          <w:szCs w:val="14"/>
          <w:color w:val="4D4D4F"/>
        </w:rPr>
      </w:pPr>
      <w:r>
        <w:rPr>
          <w:rFonts w:ascii="Arial" w:cs="Arial" w:eastAsia="Arial" w:hAnsi="Arial"/>
          <w:sz w:val="14"/>
          <w:szCs w:val="14"/>
          <w:color w:val="4D4D4F"/>
        </w:rPr>
        <w:t>Less than 1%.</w:t>
      </w:r>
    </w:p>
    <w:p>
      <w:pPr>
        <w:spacing w:after="0" w:line="1" w:lineRule="exact"/>
        <w:rPr>
          <w:sz w:val="20"/>
          <w:szCs w:val="20"/>
          <w:color w:val="auto"/>
        </w:rPr>
      </w:pPr>
    </w:p>
    <w:p>
      <w:pPr>
        <w:ind w:left="340" w:hanging="332"/>
        <w:spacing w:after="0" w:line="241" w:lineRule="auto"/>
        <w:tabs>
          <w:tab w:leader="none" w:pos="340" w:val="left"/>
        </w:tabs>
        <w:numPr>
          <w:ilvl w:val="0"/>
          <w:numId w:val="53"/>
        </w:numPr>
        <w:rPr>
          <w:rFonts w:ascii="Arial" w:cs="Arial" w:eastAsia="Arial" w:hAnsi="Arial"/>
          <w:sz w:val="14"/>
          <w:szCs w:val="14"/>
          <w:color w:val="4D4D4F"/>
        </w:rPr>
      </w:pPr>
      <w:r>
        <w:rPr>
          <w:rFonts w:ascii="Arial" w:cs="Arial" w:eastAsia="Arial" w:hAnsi="Arial"/>
          <w:sz w:val="14"/>
          <w:szCs w:val="14"/>
          <w:color w:val="4D4D4F"/>
        </w:rPr>
        <w:t>Percentage of total voting power represents voting power with respect to all shares of Class A and Class B common stock, voting as a single class. Holders are entitled to one vote per share of Class A common stock and twenty votes per share of Class B common stock.</w:t>
      </w:r>
    </w:p>
    <w:p>
      <w:pPr>
        <w:ind w:left="340" w:hanging="332"/>
        <w:spacing w:after="0" w:line="241" w:lineRule="auto"/>
        <w:tabs>
          <w:tab w:leader="none" w:pos="340" w:val="left"/>
        </w:tabs>
        <w:numPr>
          <w:ilvl w:val="0"/>
          <w:numId w:val="53"/>
        </w:numPr>
        <w:rPr>
          <w:rFonts w:ascii="Arial" w:cs="Arial" w:eastAsia="Arial" w:hAnsi="Arial"/>
          <w:sz w:val="14"/>
          <w:szCs w:val="14"/>
          <w:color w:val="4D4D4F"/>
        </w:rPr>
      </w:pPr>
      <w:r>
        <w:rPr>
          <w:rFonts w:ascii="Arial" w:cs="Arial" w:eastAsia="Arial" w:hAnsi="Arial"/>
          <w:sz w:val="14"/>
          <w:szCs w:val="14"/>
          <w:color w:val="4D4D4F"/>
        </w:rPr>
        <w:t>Weiguo Shen is the Chairman and General Manager of Shanghai Science and Technology Venture Co., Ltd., or SSTVC, and may be deemed to beneficially own the shares held by SSTVC. The address of SSTVC and Mr. Shen is Floor 39, #669 Xin Zha Road, Jing An District, Shanghai, PRC.</w:t>
      </w:r>
    </w:p>
    <w:p>
      <w:pPr>
        <w:jc w:val="both"/>
        <w:ind w:left="340" w:hanging="332"/>
        <w:spacing w:after="0" w:line="241" w:lineRule="auto"/>
        <w:tabs>
          <w:tab w:leader="none" w:pos="340" w:val="left"/>
        </w:tabs>
        <w:numPr>
          <w:ilvl w:val="0"/>
          <w:numId w:val="53"/>
        </w:numPr>
        <w:rPr>
          <w:rFonts w:ascii="Arial" w:cs="Arial" w:eastAsia="Arial" w:hAnsi="Arial"/>
          <w:sz w:val="14"/>
          <w:szCs w:val="14"/>
          <w:color w:val="4D4D4F"/>
        </w:rPr>
      </w:pPr>
      <w:r>
        <w:rPr>
          <w:rFonts w:ascii="Arial" w:cs="Arial" w:eastAsia="Arial" w:hAnsi="Arial"/>
          <w:sz w:val="14"/>
          <w:szCs w:val="14"/>
          <w:color w:val="4D4D4F"/>
        </w:rPr>
        <w:t>Pudong Science and Technology (Cayman) Co., Ltd., or PST, is a wholly owned subsidiary of Shanghai Pudong High-Tech Investment Co., Ltd. Long Ji is the Corporate Representative of Pudong High-Tech Investment Co., Ltd. and may be deemed to beneficially own the shares held by PST. The address of PST, its parent and Mr. Ji is No. 439, 13 Building, Chunxiao Road, Zhangjiang Hi-tech Park, Pudong District, Shanghai.</w:t>
      </w:r>
    </w:p>
    <w:p>
      <w:pPr>
        <w:jc w:val="both"/>
        <w:ind w:left="340" w:hanging="332"/>
        <w:spacing w:after="0" w:line="245" w:lineRule="auto"/>
        <w:tabs>
          <w:tab w:leader="none" w:pos="340" w:val="left"/>
        </w:tabs>
        <w:numPr>
          <w:ilvl w:val="0"/>
          <w:numId w:val="53"/>
        </w:numPr>
        <w:rPr>
          <w:rFonts w:ascii="Arial" w:cs="Arial" w:eastAsia="Arial" w:hAnsi="Arial"/>
          <w:sz w:val="14"/>
          <w:szCs w:val="14"/>
          <w:color w:val="4D4D4F"/>
        </w:rPr>
      </w:pPr>
      <w:r>
        <w:rPr>
          <w:rFonts w:ascii="Arial" w:cs="Arial" w:eastAsia="Arial" w:hAnsi="Arial"/>
          <w:sz w:val="14"/>
          <w:szCs w:val="14"/>
          <w:color w:val="4D4D4F"/>
        </w:rPr>
        <w:t>Xinxin (Hongkong) Capital Co., Limited is a wholly owned subsidiary of Xunxin (Shanghai) Capital Co., Ltd., which is a wholly owned subsidiary of China IC Industry Investment Fund. Sino IC Capital Co., Limited is the management company of China IC Industry Investment Fund and Kai Ren is the Vice President of Sino IC Capital Co., Limited and may be deemed to beneficially own the shares held by Xinxin (Hongkong) Capital Co., Limited. The address of Xinxin (Hongkong) Capital Co., Limited, Xunxin (Shanghai) Capital Co., Limited, Sino IC Capital Co., Limited, China IC Industry Investment Fund and Kai Ren is 3rd Floor North, No. 7 Financial Street, Xicheng District, Beijing 100033.</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4D4D4F"/>
        </w:rPr>
        <w:t>[Footnotes continued on next page.]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72" w:lineRule="exact"/>
        <w:rPr>
          <w:sz w:val="20"/>
          <w:szCs w:val="20"/>
          <w:color w:val="auto"/>
        </w:rPr>
      </w:pPr>
    </w:p>
    <w:p>
      <w:pPr>
        <w:jc w:val="both"/>
        <w:ind w:left="340" w:hanging="332"/>
        <w:spacing w:after="0" w:line="241" w:lineRule="auto"/>
        <w:tabs>
          <w:tab w:leader="none" w:pos="340" w:val="left"/>
        </w:tabs>
        <w:numPr>
          <w:ilvl w:val="0"/>
          <w:numId w:val="54"/>
        </w:numPr>
        <w:rPr>
          <w:rFonts w:ascii="Arial" w:cs="Arial" w:eastAsia="Arial" w:hAnsi="Arial"/>
          <w:sz w:val="14"/>
          <w:szCs w:val="14"/>
          <w:color w:val="4D4D4F"/>
        </w:rPr>
      </w:pPr>
      <w:r>
        <w:rPr>
          <w:rFonts w:ascii="Arial" w:cs="Arial" w:eastAsia="Arial" w:hAnsi="Arial"/>
          <w:sz w:val="14"/>
          <w:szCs w:val="14"/>
          <w:color w:val="4D4D4F"/>
        </w:rPr>
        <w:t>Zhangjiang AJ Company Limited is a wholly owned subsidiary of Shanghai Zhangjiang Science &amp; Technology Venture Capital Co., Ltd. Weiwei Chen is the Chairman, General Manager and Corporate Representative of Shanghai Zhangjiang Science &amp; Technology Venture Capital Co., Ltd. and may be deemed to beneficially own the shares held by Zhangjiang AJ Company Limited. The address of Zhangjiang AJ Company Limited and its parent and Ms. Chen is 1387 Zhangdong Road, Building 16, Room C305, Zhangjiang Hi-tech Park, Shanghai, PRC.</w:t>
      </w:r>
    </w:p>
    <w:p>
      <w:pPr>
        <w:jc w:val="both"/>
        <w:ind w:left="340" w:hanging="332"/>
        <w:spacing w:after="0" w:line="241" w:lineRule="auto"/>
        <w:tabs>
          <w:tab w:leader="none" w:pos="340" w:val="left"/>
        </w:tabs>
        <w:numPr>
          <w:ilvl w:val="0"/>
          <w:numId w:val="54"/>
        </w:numPr>
        <w:rPr>
          <w:rFonts w:ascii="Arial" w:cs="Arial" w:eastAsia="Arial" w:hAnsi="Arial"/>
          <w:sz w:val="14"/>
          <w:szCs w:val="14"/>
          <w:color w:val="4D4D4F"/>
        </w:rPr>
      </w:pPr>
      <w:r>
        <w:rPr>
          <w:rFonts w:ascii="Arial" w:cs="Arial" w:eastAsia="Arial" w:hAnsi="Arial"/>
          <w:sz w:val="14"/>
          <w:szCs w:val="14"/>
          <w:color w:val="4D4D4F"/>
        </w:rPr>
        <w:t>Includes (a) 206,667 shares of Class A common stock held by Dr. Wang and Jing Chen, as Trustees for the Wang-Chen Family Living Trust; (b) 60,000 shares of Class A common stock held by Dr. Wang and Jing Chen, as Trustees for The David Hui Wang and Jing Chen Family Irrevocable Trust for Wang Children; (c) 1,422,270 shares of Class A common stock issuable upon conversion of Class B common stock, of which shares of Class B common stock a total of 117,334 are held by Dr. Wang’s son, Brian Wang, 117,334 are held by Dr. Wang’s daughter, Sophia Wang, 33,334 are held by Dr. Wang’s spouse, Jing Chen, and 7,334 are held by Dr. Wang and Jing Chen, as Trustees for The David Hui Wang and Jing Chen Family Irrevocable Trust for Wang Children; and (d) 22,223 shares of Class A common stock issuable upon the exercise of options exercisable by June 23, 2019.</w:t>
      </w:r>
    </w:p>
    <w:p>
      <w:pPr>
        <w:spacing w:after="0" w:line="1" w:lineRule="exact"/>
        <w:rPr>
          <w:rFonts w:ascii="Arial" w:cs="Arial" w:eastAsia="Arial" w:hAnsi="Arial"/>
          <w:sz w:val="14"/>
          <w:szCs w:val="14"/>
          <w:color w:val="4D4D4F"/>
        </w:rPr>
      </w:pPr>
    </w:p>
    <w:p>
      <w:pPr>
        <w:jc w:val="both"/>
        <w:ind w:left="340" w:hanging="332"/>
        <w:spacing w:after="0" w:line="241" w:lineRule="auto"/>
        <w:tabs>
          <w:tab w:leader="none" w:pos="340" w:val="left"/>
        </w:tabs>
        <w:numPr>
          <w:ilvl w:val="0"/>
          <w:numId w:val="54"/>
        </w:numPr>
        <w:rPr>
          <w:rFonts w:ascii="Arial" w:cs="Arial" w:eastAsia="Arial" w:hAnsi="Arial"/>
          <w:sz w:val="14"/>
          <w:szCs w:val="14"/>
          <w:color w:val="4D4D4F"/>
        </w:rPr>
      </w:pPr>
      <w:r>
        <w:rPr>
          <w:rFonts w:ascii="Arial" w:cs="Arial" w:eastAsia="Arial" w:hAnsi="Arial"/>
          <w:sz w:val="14"/>
          <w:szCs w:val="14"/>
          <w:color w:val="4D4D4F"/>
        </w:rPr>
        <w:t>Consists of shares owned by Shanghai Science and Technology Venture Co., Ltd., or SSTVC (see note (2) above). As described under “Corporate Governance—Director Nomination Rights,” SSTVC has exercised a contractual right by designating Ms. Xiang for nomination to the board and the board has elected Ms. Xiang to the board. Ms. Xiang disclaims beneficial ownership of the shares owned by SSTVC except to the extent of her pecuniary interest therein.</w:t>
      </w:r>
    </w:p>
    <w:p>
      <w:pPr>
        <w:ind w:left="340" w:hanging="332"/>
        <w:spacing w:after="0"/>
        <w:tabs>
          <w:tab w:leader="none" w:pos="340" w:val="left"/>
        </w:tabs>
        <w:numPr>
          <w:ilvl w:val="0"/>
          <w:numId w:val="54"/>
        </w:numPr>
        <w:rPr>
          <w:rFonts w:ascii="Arial" w:cs="Arial" w:eastAsia="Arial" w:hAnsi="Arial"/>
          <w:sz w:val="14"/>
          <w:szCs w:val="14"/>
          <w:color w:val="4D4D4F"/>
        </w:rPr>
      </w:pPr>
      <w:r>
        <w:rPr>
          <w:rFonts w:ascii="Arial" w:cs="Arial" w:eastAsia="Arial" w:hAnsi="Arial"/>
          <w:sz w:val="14"/>
          <w:szCs w:val="14"/>
          <w:color w:val="4D4D4F"/>
        </w:rPr>
        <w:t>Includes 3,473 shares of Class A common stock issuable under options exercisable by June 23, 2019.</w:t>
      </w:r>
    </w:p>
    <w:p>
      <w:pPr>
        <w:jc w:val="both"/>
        <w:ind w:left="340" w:hanging="332"/>
        <w:spacing w:after="0" w:line="241" w:lineRule="auto"/>
        <w:tabs>
          <w:tab w:leader="none" w:pos="340" w:val="left"/>
        </w:tabs>
        <w:numPr>
          <w:ilvl w:val="0"/>
          <w:numId w:val="54"/>
        </w:numPr>
        <w:rPr>
          <w:rFonts w:ascii="Arial" w:cs="Arial" w:eastAsia="Arial" w:hAnsi="Arial"/>
          <w:sz w:val="14"/>
          <w:szCs w:val="14"/>
          <w:color w:val="4D4D4F"/>
        </w:rPr>
      </w:pPr>
      <w:r>
        <w:rPr>
          <w:rFonts w:ascii="Arial" w:cs="Arial" w:eastAsia="Arial" w:hAnsi="Arial"/>
          <w:sz w:val="14"/>
          <w:szCs w:val="14"/>
          <w:color w:val="4D4D4F"/>
        </w:rPr>
        <w:t>Consists of shares owned by Xinxin (Hongkong) Capital Co., Limited (see note (4) above). As described under “Corporate Governance—Director Nomination Rights,” Xinxin (Hongkong) Capital Co., Limited has exercised a contractual right by designating Mr. Yang for nomination to the board and the board has elected Mr. Yang to the board. Mr. Yang disclaims beneficial ownership of the shares owned by Xinxin (Hongkong) Capital Co., Limited except to the extent of his pecuniary interest therein.</w:t>
      </w:r>
    </w:p>
    <w:p>
      <w:pPr>
        <w:ind w:left="340" w:hanging="332"/>
        <w:spacing w:after="0"/>
        <w:tabs>
          <w:tab w:leader="none" w:pos="340" w:val="left"/>
        </w:tabs>
        <w:numPr>
          <w:ilvl w:val="0"/>
          <w:numId w:val="54"/>
        </w:numPr>
        <w:rPr>
          <w:rFonts w:ascii="Arial" w:cs="Arial" w:eastAsia="Arial" w:hAnsi="Arial"/>
          <w:sz w:val="14"/>
          <w:szCs w:val="14"/>
          <w:color w:val="4D4D4F"/>
        </w:rPr>
      </w:pPr>
      <w:r>
        <w:rPr>
          <w:rFonts w:ascii="Arial" w:cs="Arial" w:eastAsia="Arial" w:hAnsi="Arial"/>
          <w:sz w:val="14"/>
          <w:szCs w:val="14"/>
          <w:color w:val="4D4D4F"/>
        </w:rPr>
        <w:t>Includes 695 shares of Class A common stock issuable under options exercisable by June 23, 2019.</w:t>
      </w:r>
    </w:p>
    <w:p>
      <w:pPr>
        <w:jc w:val="both"/>
        <w:ind w:left="340" w:hanging="332"/>
        <w:spacing w:after="0" w:line="241" w:lineRule="auto"/>
        <w:tabs>
          <w:tab w:leader="none" w:pos="340" w:val="left"/>
        </w:tabs>
        <w:numPr>
          <w:ilvl w:val="0"/>
          <w:numId w:val="54"/>
        </w:numPr>
        <w:rPr>
          <w:rFonts w:ascii="Arial" w:cs="Arial" w:eastAsia="Arial" w:hAnsi="Arial"/>
          <w:sz w:val="14"/>
          <w:szCs w:val="14"/>
          <w:color w:val="4D4D4F"/>
        </w:rPr>
      </w:pPr>
      <w:r>
        <w:rPr>
          <w:rFonts w:ascii="Arial" w:cs="Arial" w:eastAsia="Arial" w:hAnsi="Arial"/>
          <w:sz w:val="14"/>
          <w:szCs w:val="14"/>
          <w:color w:val="4D4D4F"/>
        </w:rPr>
        <w:t>Includes 397,502 shares of Class A common stock held by Shengxin (Shanghai) Management Consulting Limited Partnership, or SMC, as described under “Certain Relationships and Related-Person Transactions—Warrant Issuance and Exercise.” Jian Wang is the general partner of SMC and may be deemed to beneficially own the shares of Class A common stock held by SMC. Jian Wang is our Vice President, Research and Development and the brother of David H. Wang, our Chair of the Board, Chief Executive Officer and President.</w:t>
      </w:r>
    </w:p>
    <w:p>
      <w:pPr>
        <w:ind w:left="340" w:hanging="332"/>
        <w:spacing w:after="0"/>
        <w:tabs>
          <w:tab w:leader="none" w:pos="340" w:val="left"/>
        </w:tabs>
        <w:numPr>
          <w:ilvl w:val="0"/>
          <w:numId w:val="54"/>
        </w:numPr>
        <w:rPr>
          <w:rFonts w:ascii="Arial" w:cs="Arial" w:eastAsia="Arial" w:hAnsi="Arial"/>
          <w:sz w:val="14"/>
          <w:szCs w:val="14"/>
          <w:color w:val="4D4D4F"/>
        </w:rPr>
      </w:pPr>
      <w:r>
        <w:rPr>
          <w:rFonts w:ascii="Arial" w:cs="Arial" w:eastAsia="Arial" w:hAnsi="Arial"/>
          <w:sz w:val="14"/>
          <w:szCs w:val="14"/>
          <w:color w:val="4D4D4F"/>
        </w:rPr>
        <w:t>Includes 4,861 shares of Class A common stock issuable under options exercisable by June 23, 2019.</w:t>
      </w:r>
    </w:p>
    <w:p>
      <w:pPr>
        <w:ind w:left="340" w:hanging="332"/>
        <w:spacing w:after="0"/>
        <w:tabs>
          <w:tab w:leader="none" w:pos="340" w:val="left"/>
        </w:tabs>
        <w:numPr>
          <w:ilvl w:val="0"/>
          <w:numId w:val="54"/>
        </w:numPr>
        <w:rPr>
          <w:rFonts w:ascii="Arial" w:cs="Arial" w:eastAsia="Arial" w:hAnsi="Arial"/>
          <w:sz w:val="14"/>
          <w:szCs w:val="14"/>
          <w:color w:val="4D4D4F"/>
        </w:rPr>
      </w:pPr>
      <w:r>
        <w:rPr>
          <w:rFonts w:ascii="Arial" w:cs="Arial" w:eastAsia="Arial" w:hAnsi="Arial"/>
          <w:sz w:val="14"/>
          <w:szCs w:val="14"/>
          <w:color w:val="4D4D4F"/>
        </w:rPr>
        <w:t>Includes 2,083 shares of Class A common stock issuable under options exercisable by June 23, 2019.</w:t>
      </w:r>
    </w:p>
    <w:p>
      <w:pPr>
        <w:ind w:left="340" w:hanging="332"/>
        <w:spacing w:after="0"/>
        <w:tabs>
          <w:tab w:leader="none" w:pos="340" w:val="left"/>
        </w:tabs>
        <w:numPr>
          <w:ilvl w:val="0"/>
          <w:numId w:val="54"/>
        </w:numPr>
        <w:rPr>
          <w:rFonts w:ascii="Arial" w:cs="Arial" w:eastAsia="Arial" w:hAnsi="Arial"/>
          <w:sz w:val="14"/>
          <w:szCs w:val="14"/>
          <w:color w:val="4D4D4F"/>
        </w:rPr>
      </w:pPr>
      <w:r>
        <w:rPr>
          <w:rFonts w:ascii="Arial" w:cs="Arial" w:eastAsia="Arial" w:hAnsi="Arial"/>
          <w:sz w:val="14"/>
          <w:szCs w:val="14"/>
          <w:color w:val="4D4D4F"/>
        </w:rPr>
        <w:t>Includes shares held jointly, indirectly and/or in trust. See notes (6) through (13).</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Section 16(a) Beneficial Ownership Reporting Compliance</w:t>
      </w:r>
    </w:p>
    <w:p>
      <w:pPr>
        <w:spacing w:after="0" w:line="309"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Section 16(a) of the Securities Exchange Act requires our executive officers and directors and any persons owning ten percent or more of our Class A common stock to file reports with the SEC to report their beneficial ownership of and transactions in our securities and to furnish us with copies of the reports.</w:t>
      </w:r>
    </w:p>
    <w:p>
      <w:pPr>
        <w:spacing w:after="0" w:line="161"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4D4D4F"/>
        </w:rPr>
        <w:t>Based solely upon a review of the Section 16(a) reports furnished to us, along with written representations from our executive officers and directors, we believe that all required reports were timely filed during 2018, except that:</w:t>
      </w:r>
    </w:p>
    <w:p>
      <w:pPr>
        <w:spacing w:after="0" w:line="90" w:lineRule="exact"/>
        <w:rPr>
          <w:sz w:val="20"/>
          <w:szCs w:val="20"/>
          <w:color w:val="auto"/>
        </w:rPr>
      </w:pPr>
    </w:p>
    <w:p>
      <w:pPr>
        <w:jc w:val="both"/>
        <w:ind w:left="340" w:hanging="332"/>
        <w:spacing w:after="0"/>
        <w:tabs>
          <w:tab w:leader="none" w:pos="340" w:val="left"/>
        </w:tabs>
        <w:numPr>
          <w:ilvl w:val="0"/>
          <w:numId w:val="55"/>
        </w:numPr>
        <w:rPr>
          <w:rFonts w:ascii="Arial" w:cs="Arial" w:eastAsia="Arial" w:hAnsi="Arial"/>
          <w:sz w:val="18"/>
          <w:szCs w:val="18"/>
          <w:color w:val="4D4D4F"/>
        </w:rPr>
      </w:pPr>
      <w:r>
        <w:rPr>
          <w:rFonts w:ascii="Arial" w:cs="Arial" w:eastAsia="Arial" w:hAnsi="Arial"/>
          <w:sz w:val="18"/>
          <w:szCs w:val="18"/>
          <w:color w:val="4D4D4F"/>
        </w:rPr>
        <w:t>Sotheara Cheav, Vice President, Manufacturing of ACM (Shanghai) Research, Inc., filed (a) a report 55 days late with respect to his June 2018 conversion of 25,667 shares of Class B common stock into 25,667 shares of Class A common stock and (b) a report 81 days late with respect to his August 2018 receipt of an option to acquire 40,000 shares of Class A common stock; and</w:t>
      </w:r>
    </w:p>
    <w:p>
      <w:pPr>
        <w:spacing w:after="0" w:line="93" w:lineRule="exact"/>
        <w:rPr>
          <w:rFonts w:ascii="Arial" w:cs="Arial" w:eastAsia="Arial" w:hAnsi="Arial"/>
          <w:sz w:val="18"/>
          <w:szCs w:val="18"/>
          <w:color w:val="4D4D4F"/>
        </w:rPr>
      </w:pPr>
    </w:p>
    <w:p>
      <w:pPr>
        <w:jc w:val="both"/>
        <w:ind w:left="340" w:hanging="332"/>
        <w:spacing w:after="0" w:line="238" w:lineRule="auto"/>
        <w:tabs>
          <w:tab w:leader="none" w:pos="340" w:val="left"/>
        </w:tabs>
        <w:numPr>
          <w:ilvl w:val="0"/>
          <w:numId w:val="55"/>
        </w:numPr>
        <w:rPr>
          <w:rFonts w:ascii="Arial" w:cs="Arial" w:eastAsia="Arial" w:hAnsi="Arial"/>
          <w:sz w:val="18"/>
          <w:szCs w:val="18"/>
          <w:color w:val="4D4D4F"/>
        </w:rPr>
      </w:pPr>
      <w:r>
        <w:rPr>
          <w:rFonts w:ascii="Arial" w:cs="Arial" w:eastAsia="Arial" w:hAnsi="Arial"/>
          <w:sz w:val="18"/>
          <w:szCs w:val="18"/>
          <w:color w:val="4D4D4F"/>
        </w:rPr>
        <w:t>Jian Wang, our Vice President, Research and Development, filed (a) a report 118 days late with respect to SMC’s exercise of its warrant (as described in “Certain Relationships and Related-Person Transactions—Issuance and Exercise of Warrant”), of which Mr. Wang was deemed to be a beneficial owner, to acquire 397,502 shares of Class A common stock and (b) a report 81 days late with respect to his August 2018 receipt of an option to acquire 40,000 shares of Class A common stock.</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Executive Officers</w:t>
      </w:r>
    </w:p>
    <w:p>
      <w:pPr>
        <w:spacing w:after="0" w:line="309"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4D4D4F"/>
        </w:rPr>
        <w:t>The following table sets forth, as of April 24, 2019, the names of our executive officers, their ages, their positions and business experience, and the year of their first election as officers. Each executive officer serves at the discretion of the board of directors and holds office until his successor is duly elected and qualified or until his earlier resignation or removal.</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shd w:val="clear" w:color="auto" w:fill="003E64"/>
          </w:tcPr>
          <w:p>
            <w:pPr>
              <w:spacing w:after="0"/>
              <w:rPr>
                <w:sz w:val="14"/>
                <w:szCs w:val="14"/>
                <w:color w:val="auto"/>
              </w:rPr>
            </w:pPr>
          </w:p>
        </w:tc>
        <w:tc>
          <w:tcPr>
            <w:tcW w:w="1060" w:type="dxa"/>
            <w:vAlign w:val="bottom"/>
            <w:shd w:val="clear" w:color="auto" w:fill="003E64"/>
          </w:tcPr>
          <w:p>
            <w:pPr>
              <w:spacing w:after="0"/>
              <w:rPr>
                <w:sz w:val="14"/>
                <w:szCs w:val="14"/>
                <w:color w:val="auto"/>
              </w:rPr>
            </w:pPr>
          </w:p>
        </w:tc>
        <w:tc>
          <w:tcPr>
            <w:tcW w:w="6960" w:type="dxa"/>
            <w:vAlign w:val="bottom"/>
            <w:shd w:val="clear" w:color="auto" w:fill="003E64"/>
          </w:tcPr>
          <w:p>
            <w:pPr>
              <w:spacing w:after="0"/>
              <w:rPr>
                <w:sz w:val="14"/>
                <w:szCs w:val="14"/>
                <w:color w:val="auto"/>
              </w:rPr>
            </w:pPr>
          </w:p>
        </w:tc>
        <w:tc>
          <w:tcPr>
            <w:tcW w:w="15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w w:val="99"/>
              </w:rPr>
              <w:t>Year First</w:t>
            </w:r>
          </w:p>
        </w:tc>
      </w:tr>
      <w:tr>
        <w:trPr>
          <w:trHeight w:val="175"/>
        </w:trPr>
        <w:tc>
          <w:tcPr>
            <w:tcW w:w="1860" w:type="dxa"/>
            <w:vAlign w:val="bottom"/>
            <w:shd w:val="clear" w:color="auto" w:fill="003E64"/>
          </w:tcPr>
          <w:p>
            <w:pPr>
              <w:ind w:left="800"/>
              <w:spacing w:after="0"/>
              <w:rPr>
                <w:sz w:val="20"/>
                <w:szCs w:val="20"/>
                <w:color w:val="auto"/>
              </w:rPr>
            </w:pPr>
            <w:r>
              <w:rPr>
                <w:rFonts w:ascii="Arial" w:cs="Arial" w:eastAsia="Arial" w:hAnsi="Arial"/>
                <w:sz w:val="14"/>
                <w:szCs w:val="14"/>
                <w:b w:val="1"/>
                <w:bCs w:val="1"/>
                <w:color w:val="FFFFFF"/>
              </w:rPr>
              <w:t>Name</w:t>
            </w:r>
          </w:p>
        </w:tc>
        <w:tc>
          <w:tcPr>
            <w:tcW w:w="1060" w:type="dxa"/>
            <w:vAlign w:val="bottom"/>
            <w:shd w:val="clear" w:color="auto" w:fill="003E64"/>
          </w:tcPr>
          <w:p>
            <w:pPr>
              <w:jc w:val="center"/>
              <w:ind w:left="254"/>
              <w:spacing w:after="0"/>
              <w:rPr>
                <w:sz w:val="20"/>
                <w:szCs w:val="20"/>
                <w:color w:val="auto"/>
              </w:rPr>
            </w:pPr>
            <w:r>
              <w:rPr>
                <w:rFonts w:ascii="Arial" w:cs="Arial" w:eastAsia="Arial" w:hAnsi="Arial"/>
                <w:sz w:val="14"/>
                <w:szCs w:val="14"/>
                <w:b w:val="1"/>
                <w:bCs w:val="1"/>
                <w:color w:val="FFFFFF"/>
              </w:rPr>
              <w:t>Age</w:t>
            </w:r>
          </w:p>
        </w:tc>
        <w:tc>
          <w:tcPr>
            <w:tcW w:w="6960" w:type="dxa"/>
            <w:vAlign w:val="bottom"/>
            <w:shd w:val="clear" w:color="auto" w:fill="003E64"/>
          </w:tcPr>
          <w:p>
            <w:pPr>
              <w:ind w:left="2240"/>
              <w:spacing w:after="0"/>
              <w:rPr>
                <w:sz w:val="20"/>
                <w:szCs w:val="20"/>
                <w:color w:val="auto"/>
              </w:rPr>
            </w:pPr>
            <w:r>
              <w:rPr>
                <w:rFonts w:ascii="Arial" w:cs="Arial" w:eastAsia="Arial" w:hAnsi="Arial"/>
                <w:sz w:val="14"/>
                <w:szCs w:val="14"/>
                <w:b w:val="1"/>
                <w:bCs w:val="1"/>
                <w:color w:val="FFFFFF"/>
              </w:rPr>
              <w:t>Positions and Business Experience</w:t>
            </w:r>
          </w:p>
        </w:tc>
        <w:tc>
          <w:tcPr>
            <w:tcW w:w="15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Elected Officer</w:t>
            </w:r>
          </w:p>
        </w:tc>
      </w:tr>
      <w:tr>
        <w:trPr>
          <w:trHeight w:val="282"/>
        </w:trPr>
        <w:tc>
          <w:tcPr>
            <w:tcW w:w="1860" w:type="dxa"/>
            <w:vAlign w:val="bottom"/>
            <w:shd w:val="clear" w:color="auto" w:fill="B7E4FF"/>
          </w:tcPr>
          <w:p>
            <w:pPr>
              <w:spacing w:after="0"/>
              <w:rPr>
                <w:sz w:val="20"/>
                <w:szCs w:val="20"/>
                <w:color w:val="auto"/>
              </w:rPr>
            </w:pPr>
            <w:r>
              <w:rPr>
                <w:rFonts w:ascii="Arial" w:cs="Arial" w:eastAsia="Arial" w:hAnsi="Arial"/>
                <w:sz w:val="18"/>
                <w:szCs w:val="18"/>
                <w:color w:val="4D4D4F"/>
              </w:rPr>
              <w:t>David H. Wang</w:t>
            </w:r>
          </w:p>
        </w:tc>
        <w:tc>
          <w:tcPr>
            <w:tcW w:w="1060" w:type="dxa"/>
            <w:vAlign w:val="bottom"/>
            <w:shd w:val="clear" w:color="auto" w:fill="B7E4FF"/>
          </w:tcPr>
          <w:p>
            <w:pPr>
              <w:jc w:val="center"/>
              <w:ind w:left="254"/>
              <w:spacing w:after="0"/>
              <w:rPr>
                <w:sz w:val="20"/>
                <w:szCs w:val="20"/>
                <w:color w:val="auto"/>
              </w:rPr>
            </w:pPr>
            <w:r>
              <w:rPr>
                <w:rFonts w:ascii="Arial" w:cs="Arial" w:eastAsia="Arial" w:hAnsi="Arial"/>
                <w:sz w:val="18"/>
                <w:szCs w:val="18"/>
                <w:color w:val="4D4D4F"/>
                <w:w w:val="99"/>
              </w:rPr>
              <w:t>57</w:t>
            </w:r>
          </w:p>
        </w:tc>
        <w:tc>
          <w:tcPr>
            <w:tcW w:w="6960" w:type="dxa"/>
            <w:vAlign w:val="bottom"/>
            <w:shd w:val="clear" w:color="auto" w:fill="B7E4FF"/>
          </w:tcPr>
          <w:p>
            <w:pPr>
              <w:ind w:left="240"/>
              <w:spacing w:after="0"/>
              <w:rPr>
                <w:sz w:val="20"/>
                <w:szCs w:val="20"/>
                <w:color w:val="auto"/>
              </w:rPr>
            </w:pPr>
            <w:r>
              <w:rPr>
                <w:rFonts w:ascii="Arial" w:cs="Arial" w:eastAsia="Arial" w:hAnsi="Arial"/>
                <w:sz w:val="18"/>
                <w:szCs w:val="18"/>
                <w:color w:val="4D4D4F"/>
              </w:rPr>
              <w:t>Please  see  “Proposal  1.  Election  of  Directors—Information  Concerning</w:t>
            </w:r>
          </w:p>
        </w:tc>
        <w:tc>
          <w:tcPr>
            <w:tcW w:w="1540" w:type="dxa"/>
            <w:vAlign w:val="bottom"/>
            <w:shd w:val="clear" w:color="auto" w:fill="B7E4FF"/>
          </w:tcPr>
          <w:p>
            <w:pPr>
              <w:jc w:val="center"/>
              <w:spacing w:after="0"/>
              <w:rPr>
                <w:sz w:val="20"/>
                <w:szCs w:val="20"/>
                <w:color w:val="auto"/>
              </w:rPr>
            </w:pPr>
            <w:r>
              <w:rPr>
                <w:rFonts w:ascii="Arial" w:cs="Arial" w:eastAsia="Arial" w:hAnsi="Arial"/>
                <w:sz w:val="18"/>
                <w:szCs w:val="18"/>
                <w:color w:val="4D4D4F"/>
                <w:w w:val="99"/>
              </w:rPr>
              <w:t>1998</w:t>
            </w:r>
          </w:p>
        </w:tc>
      </w:tr>
      <w:tr>
        <w:trPr>
          <w:trHeight w:val="217"/>
        </w:trPr>
        <w:tc>
          <w:tcPr>
            <w:tcW w:w="1860" w:type="dxa"/>
            <w:vAlign w:val="bottom"/>
            <w:shd w:val="clear" w:color="auto" w:fill="B7E4FF"/>
          </w:tcPr>
          <w:p>
            <w:pPr>
              <w:spacing w:after="0"/>
              <w:rPr>
                <w:sz w:val="18"/>
                <w:szCs w:val="18"/>
                <w:color w:val="auto"/>
              </w:rPr>
            </w:pPr>
          </w:p>
        </w:tc>
        <w:tc>
          <w:tcPr>
            <w:tcW w:w="1060" w:type="dxa"/>
            <w:vAlign w:val="bottom"/>
            <w:shd w:val="clear" w:color="auto" w:fill="B7E4FF"/>
          </w:tcPr>
          <w:p>
            <w:pPr>
              <w:spacing w:after="0"/>
              <w:rPr>
                <w:sz w:val="18"/>
                <w:szCs w:val="18"/>
                <w:color w:val="auto"/>
              </w:rPr>
            </w:pPr>
          </w:p>
        </w:tc>
        <w:tc>
          <w:tcPr>
            <w:tcW w:w="6960" w:type="dxa"/>
            <w:vAlign w:val="bottom"/>
            <w:shd w:val="clear" w:color="auto" w:fill="B7E4FF"/>
          </w:tcPr>
          <w:p>
            <w:pPr>
              <w:ind w:left="240"/>
              <w:spacing w:after="0"/>
              <w:rPr>
                <w:sz w:val="20"/>
                <w:szCs w:val="20"/>
                <w:color w:val="auto"/>
              </w:rPr>
            </w:pPr>
            <w:r>
              <w:rPr>
                <w:rFonts w:ascii="Arial" w:cs="Arial" w:eastAsia="Arial" w:hAnsi="Arial"/>
                <w:sz w:val="18"/>
                <w:szCs w:val="18"/>
                <w:color w:val="4D4D4F"/>
              </w:rPr>
              <w:t>Nominees for Election as Directors.”</w:t>
            </w:r>
          </w:p>
        </w:tc>
        <w:tc>
          <w:tcPr>
            <w:tcW w:w="1540" w:type="dxa"/>
            <w:vAlign w:val="bottom"/>
            <w:shd w:val="clear" w:color="auto" w:fill="B7E4FF"/>
          </w:tcPr>
          <w:p>
            <w:pPr>
              <w:spacing w:after="0"/>
              <w:rPr>
                <w:sz w:val="18"/>
                <w:szCs w:val="18"/>
                <w:color w:val="auto"/>
              </w:rPr>
            </w:pPr>
          </w:p>
        </w:tc>
      </w:tr>
      <w:tr>
        <w:trPr>
          <w:trHeight w:val="81"/>
        </w:trPr>
        <w:tc>
          <w:tcPr>
            <w:tcW w:w="1860" w:type="dxa"/>
            <w:vAlign w:val="bottom"/>
            <w:shd w:val="clear" w:color="auto" w:fill="B7E4FF"/>
          </w:tcPr>
          <w:p>
            <w:pPr>
              <w:spacing w:after="0"/>
              <w:rPr>
                <w:sz w:val="7"/>
                <w:szCs w:val="7"/>
                <w:color w:val="auto"/>
              </w:rPr>
            </w:pPr>
          </w:p>
        </w:tc>
        <w:tc>
          <w:tcPr>
            <w:tcW w:w="1060" w:type="dxa"/>
            <w:vAlign w:val="bottom"/>
            <w:shd w:val="clear" w:color="auto" w:fill="B7E4FF"/>
          </w:tcPr>
          <w:p>
            <w:pPr>
              <w:spacing w:after="0"/>
              <w:rPr>
                <w:sz w:val="7"/>
                <w:szCs w:val="7"/>
                <w:color w:val="auto"/>
              </w:rPr>
            </w:pPr>
          </w:p>
        </w:tc>
        <w:tc>
          <w:tcPr>
            <w:tcW w:w="6960" w:type="dxa"/>
            <w:vAlign w:val="bottom"/>
            <w:shd w:val="clear" w:color="auto" w:fill="B7E4FF"/>
          </w:tcPr>
          <w:p>
            <w:pPr>
              <w:spacing w:after="0"/>
              <w:rPr>
                <w:sz w:val="7"/>
                <w:szCs w:val="7"/>
                <w:color w:val="auto"/>
              </w:rPr>
            </w:pPr>
          </w:p>
        </w:tc>
        <w:tc>
          <w:tcPr>
            <w:tcW w:w="1540" w:type="dxa"/>
            <w:vAlign w:val="bottom"/>
            <w:shd w:val="clear" w:color="auto" w:fill="B7E4FF"/>
          </w:tcPr>
          <w:p>
            <w:pPr>
              <w:spacing w:after="0"/>
              <w:rPr>
                <w:sz w:val="7"/>
                <w:szCs w:val="7"/>
                <w:color w:val="auto"/>
              </w:rPr>
            </w:pPr>
          </w:p>
        </w:tc>
      </w:tr>
      <w:tr>
        <w:trPr>
          <w:trHeight w:val="282"/>
        </w:trPr>
        <w:tc>
          <w:tcPr>
            <w:tcW w:w="1860" w:type="dxa"/>
            <w:vAlign w:val="bottom"/>
          </w:tcPr>
          <w:p>
            <w:pPr>
              <w:spacing w:after="0"/>
              <w:rPr>
                <w:sz w:val="20"/>
                <w:szCs w:val="20"/>
                <w:color w:val="auto"/>
              </w:rPr>
            </w:pPr>
            <w:r>
              <w:rPr>
                <w:rFonts w:ascii="Arial" w:cs="Arial" w:eastAsia="Arial" w:hAnsi="Arial"/>
                <w:sz w:val="18"/>
                <w:szCs w:val="18"/>
                <w:color w:val="4D4D4F"/>
              </w:rPr>
              <w:t>Sotheara Cheav</w:t>
            </w:r>
          </w:p>
        </w:tc>
        <w:tc>
          <w:tcPr>
            <w:tcW w:w="1060" w:type="dxa"/>
            <w:vAlign w:val="bottom"/>
          </w:tcPr>
          <w:p>
            <w:pPr>
              <w:jc w:val="center"/>
              <w:ind w:left="254"/>
              <w:spacing w:after="0"/>
              <w:rPr>
                <w:sz w:val="20"/>
                <w:szCs w:val="20"/>
                <w:color w:val="auto"/>
              </w:rPr>
            </w:pPr>
            <w:r>
              <w:rPr>
                <w:rFonts w:ascii="Arial" w:cs="Arial" w:eastAsia="Arial" w:hAnsi="Arial"/>
                <w:sz w:val="18"/>
                <w:szCs w:val="18"/>
                <w:color w:val="4D4D4F"/>
                <w:w w:val="99"/>
              </w:rPr>
              <w:t>67</w:t>
            </w:r>
          </w:p>
        </w:tc>
        <w:tc>
          <w:tcPr>
            <w:tcW w:w="6960" w:type="dxa"/>
            <w:vAlign w:val="bottom"/>
          </w:tcPr>
          <w:p>
            <w:pPr>
              <w:ind w:left="240"/>
              <w:spacing w:after="0"/>
              <w:rPr>
                <w:sz w:val="20"/>
                <w:szCs w:val="20"/>
                <w:color w:val="auto"/>
              </w:rPr>
            </w:pPr>
            <w:r>
              <w:rPr>
                <w:rFonts w:ascii="Arial" w:cs="Arial" w:eastAsia="Arial" w:hAnsi="Arial"/>
                <w:sz w:val="18"/>
                <w:szCs w:val="18"/>
                <w:color w:val="4D4D4F"/>
              </w:rPr>
              <w:t>Vice President, Manufacturing of ACM Research (Shanghai), Inc. (January 2015-</w:t>
            </w:r>
          </w:p>
        </w:tc>
        <w:tc>
          <w:tcPr>
            <w:tcW w:w="1540" w:type="dxa"/>
            <w:vAlign w:val="bottom"/>
          </w:tcPr>
          <w:p>
            <w:pPr>
              <w:jc w:val="center"/>
              <w:spacing w:after="0"/>
              <w:rPr>
                <w:sz w:val="20"/>
                <w:szCs w:val="20"/>
                <w:color w:val="auto"/>
              </w:rPr>
            </w:pPr>
            <w:r>
              <w:rPr>
                <w:rFonts w:ascii="Arial" w:cs="Arial" w:eastAsia="Arial" w:hAnsi="Arial"/>
                <w:sz w:val="18"/>
                <w:szCs w:val="18"/>
                <w:color w:val="4D4D4F"/>
                <w:w w:val="99"/>
              </w:rPr>
              <w:t>2015</w:t>
            </w:r>
          </w:p>
        </w:tc>
      </w:tr>
      <w:tr>
        <w:trPr>
          <w:trHeight w:val="202"/>
        </w:trPr>
        <w:tc>
          <w:tcPr>
            <w:tcW w:w="1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960" w:type="dxa"/>
            <w:vAlign w:val="bottom"/>
          </w:tcPr>
          <w:p>
            <w:pPr>
              <w:ind w:left="240"/>
              <w:spacing w:after="0" w:line="202" w:lineRule="exact"/>
              <w:rPr>
                <w:sz w:val="20"/>
                <w:szCs w:val="20"/>
                <w:color w:val="auto"/>
              </w:rPr>
            </w:pPr>
            <w:r>
              <w:rPr>
                <w:rFonts w:ascii="Arial" w:cs="Arial" w:eastAsia="Arial" w:hAnsi="Arial"/>
                <w:sz w:val="18"/>
                <w:szCs w:val="18"/>
                <w:color w:val="4D4D4F"/>
              </w:rPr>
              <w:t>present); Director of Manufacturing of ACM Research (Shanghai), Inc. (2011-</w:t>
            </w:r>
          </w:p>
        </w:tc>
        <w:tc>
          <w:tcPr>
            <w:tcW w:w="1540" w:type="dxa"/>
            <w:vAlign w:val="bottom"/>
          </w:tcPr>
          <w:p>
            <w:pPr>
              <w:spacing w:after="0"/>
              <w:rPr>
                <w:sz w:val="17"/>
                <w:szCs w:val="17"/>
                <w:color w:val="auto"/>
              </w:rPr>
            </w:pPr>
          </w:p>
        </w:tc>
      </w:tr>
      <w:tr>
        <w:trPr>
          <w:trHeight w:val="202"/>
        </w:trPr>
        <w:tc>
          <w:tcPr>
            <w:tcW w:w="1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960" w:type="dxa"/>
            <w:vAlign w:val="bottom"/>
          </w:tcPr>
          <w:p>
            <w:pPr>
              <w:ind w:left="240"/>
              <w:spacing w:after="0" w:line="202" w:lineRule="exact"/>
              <w:rPr>
                <w:sz w:val="20"/>
                <w:szCs w:val="20"/>
                <w:color w:val="auto"/>
              </w:rPr>
            </w:pPr>
            <w:r>
              <w:rPr>
                <w:rFonts w:ascii="Arial" w:cs="Arial" w:eastAsia="Arial" w:hAnsi="Arial"/>
                <w:sz w:val="18"/>
                <w:szCs w:val="18"/>
                <w:color w:val="4D4D4F"/>
              </w:rPr>
              <w:t>December  2014);  received  a  Bachelor  of  Science  degree  in  science  and</w:t>
            </w:r>
          </w:p>
        </w:tc>
        <w:tc>
          <w:tcPr>
            <w:tcW w:w="1540" w:type="dxa"/>
            <w:vAlign w:val="bottom"/>
          </w:tcPr>
          <w:p>
            <w:pPr>
              <w:spacing w:after="0"/>
              <w:rPr>
                <w:sz w:val="17"/>
                <w:szCs w:val="17"/>
                <w:color w:val="auto"/>
              </w:rPr>
            </w:pPr>
          </w:p>
        </w:tc>
      </w:tr>
      <w:tr>
        <w:trPr>
          <w:trHeight w:val="202"/>
        </w:trPr>
        <w:tc>
          <w:tcPr>
            <w:tcW w:w="1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960" w:type="dxa"/>
            <w:vAlign w:val="bottom"/>
          </w:tcPr>
          <w:p>
            <w:pPr>
              <w:ind w:left="240"/>
              <w:spacing w:after="0" w:line="202" w:lineRule="exact"/>
              <w:rPr>
                <w:sz w:val="20"/>
                <w:szCs w:val="20"/>
                <w:color w:val="auto"/>
              </w:rPr>
            </w:pPr>
            <w:r>
              <w:rPr>
                <w:rFonts w:ascii="Arial" w:cs="Arial" w:eastAsia="Arial" w:hAnsi="Arial"/>
                <w:sz w:val="18"/>
                <w:szCs w:val="18"/>
                <w:color w:val="4D4D4F"/>
              </w:rPr>
              <w:t>technology from the University of Cambodia and an Associate of Science degree</w:t>
            </w:r>
          </w:p>
        </w:tc>
        <w:tc>
          <w:tcPr>
            <w:tcW w:w="1540" w:type="dxa"/>
            <w:vAlign w:val="bottom"/>
          </w:tcPr>
          <w:p>
            <w:pPr>
              <w:spacing w:after="0"/>
              <w:rPr>
                <w:sz w:val="17"/>
                <w:szCs w:val="17"/>
                <w:color w:val="auto"/>
              </w:rPr>
            </w:pPr>
          </w:p>
        </w:tc>
      </w:tr>
      <w:tr>
        <w:trPr>
          <w:trHeight w:val="217"/>
        </w:trPr>
        <w:tc>
          <w:tcPr>
            <w:tcW w:w="1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4D4D4F"/>
              </w:rPr>
              <w:t>in electronics from Bay Valley Technical Institute.</w:t>
            </w:r>
          </w:p>
        </w:tc>
        <w:tc>
          <w:tcPr>
            <w:tcW w:w="1540" w:type="dxa"/>
            <w:vAlign w:val="bottom"/>
          </w:tcPr>
          <w:p>
            <w:pPr>
              <w:spacing w:after="0"/>
              <w:rPr>
                <w:sz w:val="18"/>
                <w:szCs w:val="18"/>
                <w:color w:val="auto"/>
              </w:rPr>
            </w:pPr>
          </w:p>
        </w:tc>
      </w:tr>
      <w:tr>
        <w:trPr>
          <w:trHeight w:val="81"/>
        </w:trPr>
        <w:tc>
          <w:tcPr>
            <w:tcW w:w="18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960" w:type="dxa"/>
            <w:vAlign w:val="bottom"/>
          </w:tcPr>
          <w:p>
            <w:pPr>
              <w:spacing w:after="0"/>
              <w:rPr>
                <w:sz w:val="7"/>
                <w:szCs w:val="7"/>
                <w:color w:val="auto"/>
              </w:rPr>
            </w:pPr>
          </w:p>
        </w:tc>
        <w:tc>
          <w:tcPr>
            <w:tcW w:w="1540" w:type="dxa"/>
            <w:vAlign w:val="bottom"/>
          </w:tcPr>
          <w:p>
            <w:pPr>
              <w:spacing w:after="0"/>
              <w:rPr>
                <w:sz w:val="7"/>
                <w:szCs w:val="7"/>
                <w:color w:val="auto"/>
              </w:rPr>
            </w:pPr>
          </w:p>
        </w:tc>
      </w:tr>
      <w:tr>
        <w:trPr>
          <w:trHeight w:val="282"/>
        </w:trPr>
        <w:tc>
          <w:tcPr>
            <w:tcW w:w="1860" w:type="dxa"/>
            <w:vAlign w:val="bottom"/>
            <w:shd w:val="clear" w:color="auto" w:fill="B7E4FF"/>
          </w:tcPr>
          <w:p>
            <w:pPr>
              <w:spacing w:after="0"/>
              <w:rPr>
                <w:sz w:val="20"/>
                <w:szCs w:val="20"/>
                <w:color w:val="auto"/>
              </w:rPr>
            </w:pPr>
            <w:r>
              <w:rPr>
                <w:rFonts w:ascii="Arial" w:cs="Arial" w:eastAsia="Arial" w:hAnsi="Arial"/>
                <w:sz w:val="18"/>
                <w:szCs w:val="18"/>
                <w:color w:val="4D4D4F"/>
              </w:rPr>
              <w:t>Fuping Chen</w:t>
            </w:r>
          </w:p>
        </w:tc>
        <w:tc>
          <w:tcPr>
            <w:tcW w:w="1060" w:type="dxa"/>
            <w:vAlign w:val="bottom"/>
            <w:shd w:val="clear" w:color="auto" w:fill="B7E4FF"/>
          </w:tcPr>
          <w:p>
            <w:pPr>
              <w:jc w:val="center"/>
              <w:ind w:left="254"/>
              <w:spacing w:after="0"/>
              <w:rPr>
                <w:sz w:val="20"/>
                <w:szCs w:val="20"/>
                <w:color w:val="auto"/>
              </w:rPr>
            </w:pPr>
            <w:r>
              <w:rPr>
                <w:rFonts w:ascii="Arial" w:cs="Arial" w:eastAsia="Arial" w:hAnsi="Arial"/>
                <w:sz w:val="18"/>
                <w:szCs w:val="18"/>
                <w:color w:val="4D4D4F"/>
                <w:w w:val="99"/>
              </w:rPr>
              <w:t>37</w:t>
            </w:r>
          </w:p>
        </w:tc>
        <w:tc>
          <w:tcPr>
            <w:tcW w:w="6960" w:type="dxa"/>
            <w:vAlign w:val="bottom"/>
            <w:shd w:val="clear" w:color="auto" w:fill="B7E4FF"/>
          </w:tcPr>
          <w:p>
            <w:pPr>
              <w:ind w:left="240"/>
              <w:spacing w:after="0"/>
              <w:rPr>
                <w:sz w:val="20"/>
                <w:szCs w:val="20"/>
                <w:color w:val="auto"/>
              </w:rPr>
            </w:pPr>
            <w:r>
              <w:rPr>
                <w:rFonts w:ascii="Arial" w:cs="Arial" w:eastAsia="Arial" w:hAnsi="Arial"/>
                <w:sz w:val="18"/>
                <w:szCs w:val="18"/>
                <w:color w:val="4D4D4F"/>
              </w:rPr>
              <w:t>Vice President, Sales—China of ACM Research (Shanghai), Inc. (January 2018-</w:t>
            </w:r>
          </w:p>
        </w:tc>
        <w:tc>
          <w:tcPr>
            <w:tcW w:w="1540" w:type="dxa"/>
            <w:vAlign w:val="bottom"/>
            <w:shd w:val="clear" w:color="auto" w:fill="B7E4FF"/>
          </w:tcPr>
          <w:p>
            <w:pPr>
              <w:jc w:val="center"/>
              <w:spacing w:after="0"/>
              <w:rPr>
                <w:sz w:val="20"/>
                <w:szCs w:val="20"/>
                <w:color w:val="auto"/>
              </w:rPr>
            </w:pPr>
            <w:r>
              <w:rPr>
                <w:rFonts w:ascii="Arial" w:cs="Arial" w:eastAsia="Arial" w:hAnsi="Arial"/>
                <w:sz w:val="18"/>
                <w:szCs w:val="18"/>
                <w:color w:val="4D4D4F"/>
                <w:w w:val="99"/>
              </w:rPr>
              <w:t>2018</w:t>
            </w:r>
          </w:p>
        </w:tc>
      </w:tr>
      <w:tr>
        <w:trPr>
          <w:trHeight w:val="202"/>
        </w:trPr>
        <w:tc>
          <w:tcPr>
            <w:tcW w:w="1860" w:type="dxa"/>
            <w:vAlign w:val="bottom"/>
            <w:shd w:val="clear" w:color="auto" w:fill="B7E4FF"/>
          </w:tcPr>
          <w:p>
            <w:pPr>
              <w:spacing w:after="0"/>
              <w:rPr>
                <w:sz w:val="17"/>
                <w:szCs w:val="17"/>
                <w:color w:val="auto"/>
              </w:rPr>
            </w:pPr>
          </w:p>
        </w:tc>
        <w:tc>
          <w:tcPr>
            <w:tcW w:w="1060" w:type="dxa"/>
            <w:vAlign w:val="bottom"/>
            <w:shd w:val="clear" w:color="auto" w:fill="B7E4FF"/>
          </w:tcPr>
          <w:p>
            <w:pPr>
              <w:spacing w:after="0"/>
              <w:rPr>
                <w:sz w:val="17"/>
                <w:szCs w:val="17"/>
                <w:color w:val="auto"/>
              </w:rPr>
            </w:pPr>
          </w:p>
        </w:tc>
        <w:tc>
          <w:tcPr>
            <w:tcW w:w="6960" w:type="dxa"/>
            <w:vAlign w:val="bottom"/>
            <w:shd w:val="clear" w:color="auto" w:fill="B7E4FF"/>
          </w:tcPr>
          <w:p>
            <w:pPr>
              <w:ind w:left="240"/>
              <w:spacing w:after="0" w:line="202" w:lineRule="exact"/>
              <w:rPr>
                <w:sz w:val="20"/>
                <w:szCs w:val="20"/>
                <w:color w:val="auto"/>
              </w:rPr>
            </w:pPr>
            <w:r>
              <w:rPr>
                <w:rFonts w:ascii="Arial" w:cs="Arial" w:eastAsia="Arial" w:hAnsi="Arial"/>
                <w:sz w:val="18"/>
                <w:szCs w:val="18"/>
                <w:color w:val="4D4D4F"/>
              </w:rPr>
              <w:t>present);  Senior  Technical  Director  of  ACM  Research,  Inc.  (2010-2017);</w:t>
            </w:r>
          </w:p>
        </w:tc>
        <w:tc>
          <w:tcPr>
            <w:tcW w:w="1540" w:type="dxa"/>
            <w:vAlign w:val="bottom"/>
            <w:shd w:val="clear" w:color="auto" w:fill="B7E4FF"/>
          </w:tcPr>
          <w:p>
            <w:pPr>
              <w:spacing w:after="0"/>
              <w:rPr>
                <w:sz w:val="17"/>
                <w:szCs w:val="17"/>
                <w:color w:val="auto"/>
              </w:rPr>
            </w:pPr>
          </w:p>
        </w:tc>
      </w:tr>
      <w:tr>
        <w:trPr>
          <w:trHeight w:val="202"/>
        </w:trPr>
        <w:tc>
          <w:tcPr>
            <w:tcW w:w="1860" w:type="dxa"/>
            <w:vAlign w:val="bottom"/>
            <w:shd w:val="clear" w:color="auto" w:fill="B7E4FF"/>
          </w:tcPr>
          <w:p>
            <w:pPr>
              <w:spacing w:after="0"/>
              <w:rPr>
                <w:sz w:val="17"/>
                <w:szCs w:val="17"/>
                <w:color w:val="auto"/>
              </w:rPr>
            </w:pPr>
          </w:p>
        </w:tc>
        <w:tc>
          <w:tcPr>
            <w:tcW w:w="1060" w:type="dxa"/>
            <w:vAlign w:val="bottom"/>
            <w:shd w:val="clear" w:color="auto" w:fill="B7E4FF"/>
          </w:tcPr>
          <w:p>
            <w:pPr>
              <w:spacing w:after="0"/>
              <w:rPr>
                <w:sz w:val="17"/>
                <w:szCs w:val="17"/>
                <w:color w:val="auto"/>
              </w:rPr>
            </w:pPr>
          </w:p>
        </w:tc>
        <w:tc>
          <w:tcPr>
            <w:tcW w:w="6960" w:type="dxa"/>
            <w:vAlign w:val="bottom"/>
            <w:shd w:val="clear" w:color="auto" w:fill="B7E4FF"/>
          </w:tcPr>
          <w:p>
            <w:pPr>
              <w:ind w:left="240"/>
              <w:spacing w:after="0" w:line="202" w:lineRule="exact"/>
              <w:rPr>
                <w:sz w:val="20"/>
                <w:szCs w:val="20"/>
                <w:color w:val="auto"/>
              </w:rPr>
            </w:pPr>
            <w:r>
              <w:rPr>
                <w:rFonts w:ascii="Arial" w:cs="Arial" w:eastAsia="Arial" w:hAnsi="Arial"/>
                <w:sz w:val="18"/>
                <w:szCs w:val="18"/>
                <w:color w:val="4D4D4F"/>
              </w:rPr>
              <w:t>Assistant Wet Process Manager of SK Hynix Inc. (2006-2010); received a</w:t>
            </w:r>
          </w:p>
        </w:tc>
        <w:tc>
          <w:tcPr>
            <w:tcW w:w="1540" w:type="dxa"/>
            <w:vAlign w:val="bottom"/>
            <w:shd w:val="clear" w:color="auto" w:fill="B7E4FF"/>
          </w:tcPr>
          <w:p>
            <w:pPr>
              <w:spacing w:after="0"/>
              <w:rPr>
                <w:sz w:val="17"/>
                <w:szCs w:val="17"/>
                <w:color w:val="auto"/>
              </w:rPr>
            </w:pPr>
          </w:p>
        </w:tc>
      </w:tr>
      <w:tr>
        <w:trPr>
          <w:trHeight w:val="202"/>
        </w:trPr>
        <w:tc>
          <w:tcPr>
            <w:tcW w:w="1860" w:type="dxa"/>
            <w:vAlign w:val="bottom"/>
            <w:shd w:val="clear" w:color="auto" w:fill="B7E4FF"/>
          </w:tcPr>
          <w:p>
            <w:pPr>
              <w:spacing w:after="0"/>
              <w:rPr>
                <w:sz w:val="17"/>
                <w:szCs w:val="17"/>
                <w:color w:val="auto"/>
              </w:rPr>
            </w:pPr>
          </w:p>
        </w:tc>
        <w:tc>
          <w:tcPr>
            <w:tcW w:w="1060" w:type="dxa"/>
            <w:vAlign w:val="bottom"/>
            <w:shd w:val="clear" w:color="auto" w:fill="B7E4FF"/>
          </w:tcPr>
          <w:p>
            <w:pPr>
              <w:spacing w:after="0"/>
              <w:rPr>
                <w:sz w:val="17"/>
                <w:szCs w:val="17"/>
                <w:color w:val="auto"/>
              </w:rPr>
            </w:pPr>
          </w:p>
        </w:tc>
        <w:tc>
          <w:tcPr>
            <w:tcW w:w="6960" w:type="dxa"/>
            <w:vAlign w:val="bottom"/>
            <w:shd w:val="clear" w:color="auto" w:fill="B7E4FF"/>
          </w:tcPr>
          <w:p>
            <w:pPr>
              <w:ind w:left="240"/>
              <w:spacing w:after="0" w:line="202" w:lineRule="exact"/>
              <w:rPr>
                <w:sz w:val="20"/>
                <w:szCs w:val="20"/>
                <w:color w:val="auto"/>
              </w:rPr>
            </w:pPr>
            <w:r>
              <w:rPr>
                <w:rFonts w:ascii="Arial" w:cs="Arial" w:eastAsia="Arial" w:hAnsi="Arial"/>
                <w:sz w:val="18"/>
                <w:szCs w:val="18"/>
                <w:color w:val="4D4D4F"/>
              </w:rPr>
              <w:t>Bachelor of Science degree from Nanjing University of Technology of Material</w:t>
            </w:r>
          </w:p>
        </w:tc>
        <w:tc>
          <w:tcPr>
            <w:tcW w:w="1540" w:type="dxa"/>
            <w:vAlign w:val="bottom"/>
            <w:shd w:val="clear" w:color="auto" w:fill="B7E4FF"/>
          </w:tcPr>
          <w:p>
            <w:pPr>
              <w:spacing w:after="0"/>
              <w:rPr>
                <w:sz w:val="17"/>
                <w:szCs w:val="17"/>
                <w:color w:val="auto"/>
              </w:rPr>
            </w:pPr>
          </w:p>
        </w:tc>
      </w:tr>
      <w:tr>
        <w:trPr>
          <w:trHeight w:val="202"/>
        </w:trPr>
        <w:tc>
          <w:tcPr>
            <w:tcW w:w="1860" w:type="dxa"/>
            <w:vAlign w:val="bottom"/>
            <w:shd w:val="clear" w:color="auto" w:fill="B7E4FF"/>
          </w:tcPr>
          <w:p>
            <w:pPr>
              <w:spacing w:after="0"/>
              <w:rPr>
                <w:sz w:val="17"/>
                <w:szCs w:val="17"/>
                <w:color w:val="auto"/>
              </w:rPr>
            </w:pPr>
          </w:p>
        </w:tc>
        <w:tc>
          <w:tcPr>
            <w:tcW w:w="1060" w:type="dxa"/>
            <w:vAlign w:val="bottom"/>
            <w:shd w:val="clear" w:color="auto" w:fill="B7E4FF"/>
          </w:tcPr>
          <w:p>
            <w:pPr>
              <w:spacing w:after="0"/>
              <w:rPr>
                <w:sz w:val="17"/>
                <w:szCs w:val="17"/>
                <w:color w:val="auto"/>
              </w:rPr>
            </w:pPr>
          </w:p>
        </w:tc>
        <w:tc>
          <w:tcPr>
            <w:tcW w:w="6960" w:type="dxa"/>
            <w:vAlign w:val="bottom"/>
            <w:shd w:val="clear" w:color="auto" w:fill="B7E4FF"/>
          </w:tcPr>
          <w:p>
            <w:pPr>
              <w:ind w:left="240"/>
              <w:spacing w:after="0" w:line="202" w:lineRule="exact"/>
              <w:rPr>
                <w:sz w:val="20"/>
                <w:szCs w:val="20"/>
                <w:color w:val="auto"/>
              </w:rPr>
            </w:pPr>
            <w:r>
              <w:rPr>
                <w:rFonts w:ascii="Arial" w:cs="Arial" w:eastAsia="Arial" w:hAnsi="Arial"/>
                <w:sz w:val="18"/>
                <w:szCs w:val="18"/>
                <w:color w:val="4D4D4F"/>
              </w:rPr>
              <w:t>Science  and  Engineering  and  a  Master  of  Science  degree  from  Zhejiang</w:t>
            </w:r>
          </w:p>
        </w:tc>
        <w:tc>
          <w:tcPr>
            <w:tcW w:w="1540" w:type="dxa"/>
            <w:vAlign w:val="bottom"/>
            <w:shd w:val="clear" w:color="auto" w:fill="B7E4FF"/>
          </w:tcPr>
          <w:p>
            <w:pPr>
              <w:spacing w:after="0"/>
              <w:rPr>
                <w:sz w:val="17"/>
                <w:szCs w:val="17"/>
                <w:color w:val="auto"/>
              </w:rPr>
            </w:pPr>
          </w:p>
        </w:tc>
      </w:tr>
      <w:tr>
        <w:trPr>
          <w:trHeight w:val="217"/>
        </w:trPr>
        <w:tc>
          <w:tcPr>
            <w:tcW w:w="1860" w:type="dxa"/>
            <w:vAlign w:val="bottom"/>
            <w:shd w:val="clear" w:color="auto" w:fill="B7E4FF"/>
          </w:tcPr>
          <w:p>
            <w:pPr>
              <w:spacing w:after="0"/>
              <w:rPr>
                <w:sz w:val="18"/>
                <w:szCs w:val="18"/>
                <w:color w:val="auto"/>
              </w:rPr>
            </w:pPr>
          </w:p>
        </w:tc>
        <w:tc>
          <w:tcPr>
            <w:tcW w:w="1060" w:type="dxa"/>
            <w:vAlign w:val="bottom"/>
            <w:shd w:val="clear" w:color="auto" w:fill="B7E4FF"/>
          </w:tcPr>
          <w:p>
            <w:pPr>
              <w:spacing w:after="0"/>
              <w:rPr>
                <w:sz w:val="18"/>
                <w:szCs w:val="18"/>
                <w:color w:val="auto"/>
              </w:rPr>
            </w:pPr>
          </w:p>
        </w:tc>
        <w:tc>
          <w:tcPr>
            <w:tcW w:w="6960" w:type="dxa"/>
            <w:vAlign w:val="bottom"/>
            <w:shd w:val="clear" w:color="auto" w:fill="B7E4FF"/>
          </w:tcPr>
          <w:p>
            <w:pPr>
              <w:ind w:left="240"/>
              <w:spacing w:after="0"/>
              <w:rPr>
                <w:sz w:val="20"/>
                <w:szCs w:val="20"/>
                <w:color w:val="auto"/>
              </w:rPr>
            </w:pPr>
            <w:r>
              <w:rPr>
                <w:rFonts w:ascii="Arial" w:cs="Arial" w:eastAsia="Arial" w:hAnsi="Arial"/>
                <w:sz w:val="18"/>
                <w:szCs w:val="18"/>
                <w:color w:val="4D4D4F"/>
              </w:rPr>
              <w:t>University of Material Science and Engineering.</w:t>
            </w:r>
          </w:p>
        </w:tc>
        <w:tc>
          <w:tcPr>
            <w:tcW w:w="1540" w:type="dxa"/>
            <w:vAlign w:val="bottom"/>
            <w:shd w:val="clear" w:color="auto" w:fill="B7E4FF"/>
          </w:tcPr>
          <w:p>
            <w:pPr>
              <w:spacing w:after="0"/>
              <w:rPr>
                <w:sz w:val="18"/>
                <w:szCs w:val="18"/>
                <w:color w:val="auto"/>
              </w:rPr>
            </w:pPr>
          </w:p>
        </w:tc>
      </w:tr>
      <w:tr>
        <w:trPr>
          <w:trHeight w:val="81"/>
        </w:trPr>
        <w:tc>
          <w:tcPr>
            <w:tcW w:w="1860" w:type="dxa"/>
            <w:vAlign w:val="bottom"/>
            <w:shd w:val="clear" w:color="auto" w:fill="B7E4FF"/>
          </w:tcPr>
          <w:p>
            <w:pPr>
              <w:spacing w:after="0"/>
              <w:rPr>
                <w:sz w:val="7"/>
                <w:szCs w:val="7"/>
                <w:color w:val="auto"/>
              </w:rPr>
            </w:pPr>
          </w:p>
        </w:tc>
        <w:tc>
          <w:tcPr>
            <w:tcW w:w="1060" w:type="dxa"/>
            <w:vAlign w:val="bottom"/>
            <w:shd w:val="clear" w:color="auto" w:fill="B7E4FF"/>
          </w:tcPr>
          <w:p>
            <w:pPr>
              <w:spacing w:after="0"/>
              <w:rPr>
                <w:sz w:val="7"/>
                <w:szCs w:val="7"/>
                <w:color w:val="auto"/>
              </w:rPr>
            </w:pPr>
          </w:p>
        </w:tc>
        <w:tc>
          <w:tcPr>
            <w:tcW w:w="6960" w:type="dxa"/>
            <w:vAlign w:val="bottom"/>
            <w:shd w:val="clear" w:color="auto" w:fill="B7E4FF"/>
          </w:tcPr>
          <w:p>
            <w:pPr>
              <w:spacing w:after="0"/>
              <w:rPr>
                <w:sz w:val="7"/>
                <w:szCs w:val="7"/>
                <w:color w:val="auto"/>
              </w:rPr>
            </w:pPr>
          </w:p>
        </w:tc>
        <w:tc>
          <w:tcPr>
            <w:tcW w:w="1540" w:type="dxa"/>
            <w:vAlign w:val="bottom"/>
            <w:shd w:val="clear" w:color="auto" w:fill="B7E4FF"/>
          </w:tcPr>
          <w:p>
            <w:pPr>
              <w:spacing w:after="0"/>
              <w:rPr>
                <w:sz w:val="7"/>
                <w:szCs w:val="7"/>
                <w:color w:val="auto"/>
              </w:rPr>
            </w:pPr>
          </w:p>
        </w:tc>
      </w:tr>
      <w:tr>
        <w:trPr>
          <w:trHeight w:val="282"/>
        </w:trPr>
        <w:tc>
          <w:tcPr>
            <w:tcW w:w="1860" w:type="dxa"/>
            <w:vAlign w:val="bottom"/>
          </w:tcPr>
          <w:p>
            <w:pPr>
              <w:spacing w:after="0"/>
              <w:rPr>
                <w:sz w:val="20"/>
                <w:szCs w:val="20"/>
                <w:color w:val="auto"/>
              </w:rPr>
            </w:pPr>
            <w:r>
              <w:rPr>
                <w:rFonts w:ascii="Arial" w:cs="Arial" w:eastAsia="Arial" w:hAnsi="Arial"/>
                <w:sz w:val="18"/>
                <w:szCs w:val="18"/>
                <w:color w:val="4D4D4F"/>
              </w:rPr>
              <w:t>Jian Wang</w:t>
            </w:r>
          </w:p>
        </w:tc>
        <w:tc>
          <w:tcPr>
            <w:tcW w:w="1060" w:type="dxa"/>
            <w:vAlign w:val="bottom"/>
          </w:tcPr>
          <w:p>
            <w:pPr>
              <w:jc w:val="center"/>
              <w:ind w:left="254"/>
              <w:spacing w:after="0"/>
              <w:rPr>
                <w:sz w:val="20"/>
                <w:szCs w:val="20"/>
                <w:color w:val="auto"/>
              </w:rPr>
            </w:pPr>
            <w:r>
              <w:rPr>
                <w:rFonts w:ascii="Arial" w:cs="Arial" w:eastAsia="Arial" w:hAnsi="Arial"/>
                <w:sz w:val="18"/>
                <w:szCs w:val="18"/>
                <w:color w:val="4D4D4F"/>
                <w:w w:val="99"/>
              </w:rPr>
              <w:t>54</w:t>
            </w:r>
          </w:p>
        </w:tc>
        <w:tc>
          <w:tcPr>
            <w:tcW w:w="6960" w:type="dxa"/>
            <w:vAlign w:val="bottom"/>
          </w:tcPr>
          <w:p>
            <w:pPr>
              <w:ind w:left="240"/>
              <w:spacing w:after="0"/>
              <w:rPr>
                <w:sz w:val="20"/>
                <w:szCs w:val="20"/>
                <w:color w:val="auto"/>
              </w:rPr>
            </w:pPr>
            <w:r>
              <w:rPr>
                <w:rFonts w:ascii="Arial" w:cs="Arial" w:eastAsia="Arial" w:hAnsi="Arial"/>
                <w:sz w:val="18"/>
                <w:szCs w:val="18"/>
                <w:color w:val="4D4D4F"/>
              </w:rPr>
              <w:t>Vice President, Research and Development (January 2015-present); Director of</w:t>
            </w:r>
          </w:p>
        </w:tc>
        <w:tc>
          <w:tcPr>
            <w:tcW w:w="1540" w:type="dxa"/>
            <w:vAlign w:val="bottom"/>
          </w:tcPr>
          <w:p>
            <w:pPr>
              <w:jc w:val="center"/>
              <w:spacing w:after="0"/>
              <w:rPr>
                <w:sz w:val="20"/>
                <w:szCs w:val="20"/>
                <w:color w:val="auto"/>
              </w:rPr>
            </w:pPr>
            <w:r>
              <w:rPr>
                <w:rFonts w:ascii="Arial" w:cs="Arial" w:eastAsia="Arial" w:hAnsi="Arial"/>
                <w:sz w:val="18"/>
                <w:szCs w:val="18"/>
                <w:color w:val="4D4D4F"/>
                <w:w w:val="99"/>
              </w:rPr>
              <w:t>2015</w:t>
            </w:r>
          </w:p>
        </w:tc>
      </w:tr>
      <w:tr>
        <w:trPr>
          <w:trHeight w:val="202"/>
        </w:trPr>
        <w:tc>
          <w:tcPr>
            <w:tcW w:w="1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960" w:type="dxa"/>
            <w:vAlign w:val="bottom"/>
          </w:tcPr>
          <w:p>
            <w:pPr>
              <w:ind w:left="240"/>
              <w:spacing w:after="0" w:line="202" w:lineRule="exact"/>
              <w:rPr>
                <w:sz w:val="20"/>
                <w:szCs w:val="20"/>
                <w:color w:val="auto"/>
              </w:rPr>
            </w:pPr>
            <w:r>
              <w:rPr>
                <w:rFonts w:ascii="Arial" w:cs="Arial" w:eastAsia="Arial" w:hAnsi="Arial"/>
                <w:sz w:val="18"/>
                <w:szCs w:val="18"/>
                <w:color w:val="4D4D4F"/>
              </w:rPr>
              <w:t>Research and Development of ACM Research (Shanghai), Inc. (2011-January</w:t>
            </w:r>
          </w:p>
        </w:tc>
        <w:tc>
          <w:tcPr>
            <w:tcW w:w="1540" w:type="dxa"/>
            <w:vAlign w:val="bottom"/>
          </w:tcPr>
          <w:p>
            <w:pPr>
              <w:spacing w:after="0"/>
              <w:rPr>
                <w:sz w:val="17"/>
                <w:szCs w:val="17"/>
                <w:color w:val="auto"/>
              </w:rPr>
            </w:pPr>
          </w:p>
        </w:tc>
      </w:tr>
      <w:tr>
        <w:trPr>
          <w:trHeight w:val="202"/>
        </w:trPr>
        <w:tc>
          <w:tcPr>
            <w:tcW w:w="1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960" w:type="dxa"/>
            <w:vAlign w:val="bottom"/>
          </w:tcPr>
          <w:p>
            <w:pPr>
              <w:ind w:left="240"/>
              <w:spacing w:after="0" w:line="202" w:lineRule="exact"/>
              <w:rPr>
                <w:sz w:val="20"/>
                <w:szCs w:val="20"/>
                <w:color w:val="auto"/>
              </w:rPr>
            </w:pPr>
            <w:r>
              <w:rPr>
                <w:rFonts w:ascii="Arial" w:cs="Arial" w:eastAsia="Arial" w:hAnsi="Arial"/>
                <w:sz w:val="18"/>
                <w:szCs w:val="18"/>
                <w:color w:val="4D4D4F"/>
              </w:rPr>
              <w:t>2015), focusing on the research and development of stress-free polishing and</w:t>
            </w:r>
          </w:p>
        </w:tc>
        <w:tc>
          <w:tcPr>
            <w:tcW w:w="1540" w:type="dxa"/>
            <w:vAlign w:val="bottom"/>
          </w:tcPr>
          <w:p>
            <w:pPr>
              <w:spacing w:after="0"/>
              <w:rPr>
                <w:sz w:val="17"/>
                <w:szCs w:val="17"/>
                <w:color w:val="auto"/>
              </w:rPr>
            </w:pPr>
          </w:p>
        </w:tc>
      </w:tr>
    </w:tbl>
    <w:p>
      <w:pPr>
        <w:jc w:val="both"/>
        <w:ind w:left="3160" w:right="1800"/>
        <w:spacing w:after="0" w:line="237" w:lineRule="auto"/>
        <w:rPr>
          <w:sz w:val="20"/>
          <w:szCs w:val="20"/>
          <w:color w:val="auto"/>
        </w:rPr>
      </w:pPr>
      <w:r>
        <w:rPr>
          <w:rFonts w:ascii="Arial" w:cs="Arial" w:eastAsia="Arial" w:hAnsi="Arial"/>
          <w:sz w:val="18"/>
          <w:szCs w:val="18"/>
          <w:color w:val="4D4D4F"/>
        </w:rPr>
        <w:t>electro-chemical-copper-planarization technologies; received a Master of Science degree in computer science from Northwestern Polytechnic University, a Master of Science degree in marine engineering from Kobe University and a Bachelor of Science degree in mechanical engineering from Southeast University.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4D4D4F"/>
        </w:rPr>
        <w:t>David Wang and Jian Wang are brothers.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Executive Compensation</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Summary Compensation Table</w:t>
      </w:r>
    </w:p>
    <w:p>
      <w:pPr>
        <w:spacing w:after="0" w:line="197" w:lineRule="exact"/>
        <w:rPr>
          <w:sz w:val="20"/>
          <w:szCs w:val="20"/>
          <w:color w:val="auto"/>
        </w:rPr>
      </w:pPr>
    </w:p>
    <w:p>
      <w:pPr>
        <w:spacing w:after="0" w:line="245" w:lineRule="auto"/>
        <w:rPr>
          <w:sz w:val="20"/>
          <w:szCs w:val="20"/>
          <w:color w:val="auto"/>
        </w:rPr>
      </w:pPr>
      <w:r>
        <w:rPr>
          <w:rFonts w:ascii="Arial" w:cs="Arial" w:eastAsia="Arial" w:hAnsi="Arial"/>
          <w:sz w:val="18"/>
          <w:szCs w:val="18"/>
          <w:color w:val="4D4D4F"/>
        </w:rPr>
        <w:t>The following table provides information concerning the compensation paid for 2018 and 2017 to our “named executive officers,” who consist of our Chief Executive Officer and President and our other two next most highly compensated executive officers during 2018.</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shd w:val="clear" w:color="auto" w:fill="003E64"/>
          </w:tcPr>
          <w:p>
            <w:pPr>
              <w:spacing w:after="0"/>
              <w:rPr>
                <w:sz w:val="14"/>
                <w:szCs w:val="14"/>
                <w:color w:val="auto"/>
              </w:rPr>
            </w:pPr>
          </w:p>
        </w:tc>
        <w:tc>
          <w:tcPr>
            <w:tcW w:w="780" w:type="dxa"/>
            <w:vAlign w:val="bottom"/>
            <w:shd w:val="clear" w:color="auto" w:fill="003E64"/>
          </w:tcPr>
          <w:p>
            <w:pPr>
              <w:spacing w:after="0"/>
              <w:rPr>
                <w:sz w:val="14"/>
                <w:szCs w:val="14"/>
                <w:color w:val="auto"/>
              </w:rPr>
            </w:pPr>
          </w:p>
        </w:tc>
        <w:tc>
          <w:tcPr>
            <w:tcW w:w="1200" w:type="dxa"/>
            <w:vAlign w:val="bottom"/>
            <w:shd w:val="clear" w:color="auto" w:fill="003E64"/>
          </w:tcPr>
          <w:p>
            <w:pPr>
              <w:spacing w:after="0"/>
              <w:rPr>
                <w:sz w:val="14"/>
                <w:szCs w:val="14"/>
                <w:color w:val="auto"/>
              </w:rPr>
            </w:pPr>
          </w:p>
        </w:tc>
        <w:tc>
          <w:tcPr>
            <w:tcW w:w="1240" w:type="dxa"/>
            <w:vAlign w:val="bottom"/>
            <w:shd w:val="clear" w:color="auto" w:fill="003E64"/>
          </w:tcPr>
          <w:p>
            <w:pPr>
              <w:spacing w:after="0"/>
              <w:rPr>
                <w:sz w:val="14"/>
                <w:szCs w:val="14"/>
                <w:color w:val="auto"/>
              </w:rPr>
            </w:pPr>
          </w:p>
        </w:tc>
        <w:tc>
          <w:tcPr>
            <w:tcW w:w="1220" w:type="dxa"/>
            <w:vAlign w:val="bottom"/>
            <w:shd w:val="clear" w:color="auto" w:fill="003E64"/>
          </w:tcPr>
          <w:p>
            <w:pPr>
              <w:spacing w:after="0"/>
              <w:rPr>
                <w:sz w:val="14"/>
                <w:szCs w:val="14"/>
                <w:color w:val="auto"/>
              </w:rPr>
            </w:pPr>
          </w:p>
        </w:tc>
        <w:tc>
          <w:tcPr>
            <w:tcW w:w="1380" w:type="dxa"/>
            <w:vAlign w:val="bottom"/>
            <w:shd w:val="clear" w:color="auto" w:fill="003E64"/>
          </w:tcPr>
          <w:p>
            <w:pPr>
              <w:jc w:val="right"/>
              <w:ind w:right="348"/>
              <w:spacing w:after="0"/>
              <w:rPr>
                <w:sz w:val="20"/>
                <w:szCs w:val="20"/>
                <w:color w:val="auto"/>
              </w:rPr>
            </w:pPr>
            <w:r>
              <w:rPr>
                <w:rFonts w:ascii="Arial" w:cs="Arial" w:eastAsia="Arial" w:hAnsi="Arial"/>
                <w:sz w:val="14"/>
                <w:szCs w:val="14"/>
                <w:b w:val="1"/>
                <w:bCs w:val="1"/>
                <w:color w:val="FFFFFF"/>
              </w:rPr>
              <w:t>All Other</w:t>
            </w:r>
          </w:p>
        </w:tc>
        <w:tc>
          <w:tcPr>
            <w:tcW w:w="1100" w:type="dxa"/>
            <w:vAlign w:val="bottom"/>
            <w:shd w:val="clear" w:color="auto" w:fill="003E64"/>
          </w:tcPr>
          <w:p>
            <w:pPr>
              <w:spacing w:after="0"/>
              <w:rPr>
                <w:sz w:val="14"/>
                <w:szCs w:val="14"/>
                <w:color w:val="auto"/>
              </w:rPr>
            </w:pPr>
          </w:p>
        </w:tc>
      </w:tr>
      <w:tr>
        <w:trPr>
          <w:trHeight w:val="162"/>
        </w:trPr>
        <w:tc>
          <w:tcPr>
            <w:tcW w:w="4500" w:type="dxa"/>
            <w:vAlign w:val="bottom"/>
            <w:shd w:val="clear" w:color="auto" w:fill="003E64"/>
          </w:tcPr>
          <w:p>
            <w:pPr>
              <w:spacing w:after="0"/>
              <w:rPr>
                <w:sz w:val="14"/>
                <w:szCs w:val="14"/>
                <w:color w:val="auto"/>
              </w:rPr>
            </w:pPr>
          </w:p>
        </w:tc>
        <w:tc>
          <w:tcPr>
            <w:tcW w:w="780" w:type="dxa"/>
            <w:vAlign w:val="bottom"/>
            <w:shd w:val="clear" w:color="auto" w:fill="003E64"/>
          </w:tcPr>
          <w:p>
            <w:pPr>
              <w:spacing w:after="0"/>
              <w:rPr>
                <w:sz w:val="14"/>
                <w:szCs w:val="14"/>
                <w:color w:val="auto"/>
              </w:rPr>
            </w:pPr>
          </w:p>
        </w:tc>
        <w:tc>
          <w:tcPr>
            <w:tcW w:w="1200" w:type="dxa"/>
            <w:vAlign w:val="bottom"/>
            <w:shd w:val="clear" w:color="auto" w:fill="003E64"/>
          </w:tcPr>
          <w:p>
            <w:pPr>
              <w:spacing w:after="0"/>
              <w:rPr>
                <w:sz w:val="14"/>
                <w:szCs w:val="14"/>
                <w:color w:val="auto"/>
              </w:rPr>
            </w:pPr>
          </w:p>
        </w:tc>
        <w:tc>
          <w:tcPr>
            <w:tcW w:w="1240" w:type="dxa"/>
            <w:vAlign w:val="bottom"/>
            <w:shd w:val="clear" w:color="auto" w:fill="003E64"/>
          </w:tcPr>
          <w:p>
            <w:pPr>
              <w:spacing w:after="0"/>
              <w:rPr>
                <w:sz w:val="14"/>
                <w:szCs w:val="14"/>
                <w:color w:val="auto"/>
              </w:rPr>
            </w:pPr>
          </w:p>
        </w:tc>
        <w:tc>
          <w:tcPr>
            <w:tcW w:w="122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Option</w:t>
            </w:r>
          </w:p>
        </w:tc>
        <w:tc>
          <w:tcPr>
            <w:tcW w:w="1380" w:type="dxa"/>
            <w:vAlign w:val="bottom"/>
            <w:shd w:val="clear" w:color="auto" w:fill="003E64"/>
          </w:tcPr>
          <w:p>
            <w:pPr>
              <w:jc w:val="right"/>
              <w:ind w:right="148"/>
              <w:spacing w:after="0"/>
              <w:rPr>
                <w:sz w:val="20"/>
                <w:szCs w:val="20"/>
                <w:color w:val="auto"/>
              </w:rPr>
            </w:pPr>
            <w:r>
              <w:rPr>
                <w:rFonts w:ascii="Arial" w:cs="Arial" w:eastAsia="Arial" w:hAnsi="Arial"/>
                <w:sz w:val="14"/>
                <w:szCs w:val="14"/>
                <w:b w:val="1"/>
                <w:bCs w:val="1"/>
                <w:color w:val="FFFFFF"/>
              </w:rPr>
              <w:t>Compensation</w:t>
            </w:r>
          </w:p>
        </w:tc>
        <w:tc>
          <w:tcPr>
            <w:tcW w:w="1100" w:type="dxa"/>
            <w:vAlign w:val="bottom"/>
            <w:shd w:val="clear" w:color="auto" w:fill="003E64"/>
          </w:tcPr>
          <w:p>
            <w:pPr>
              <w:spacing w:after="0"/>
              <w:rPr>
                <w:sz w:val="14"/>
                <w:szCs w:val="14"/>
                <w:color w:val="auto"/>
              </w:rPr>
            </w:pPr>
          </w:p>
        </w:tc>
      </w:tr>
      <w:tr>
        <w:trPr>
          <w:trHeight w:val="175"/>
        </w:trPr>
        <w:tc>
          <w:tcPr>
            <w:tcW w:w="4500" w:type="dxa"/>
            <w:vAlign w:val="bottom"/>
            <w:shd w:val="clear" w:color="auto" w:fill="003E64"/>
          </w:tcPr>
          <w:p>
            <w:pPr>
              <w:ind w:left="1280"/>
              <w:spacing w:after="0"/>
              <w:rPr>
                <w:sz w:val="20"/>
                <w:szCs w:val="20"/>
                <w:color w:val="auto"/>
              </w:rPr>
            </w:pPr>
            <w:r>
              <w:rPr>
                <w:rFonts w:ascii="Arial" w:cs="Arial" w:eastAsia="Arial" w:hAnsi="Arial"/>
                <w:sz w:val="14"/>
                <w:szCs w:val="14"/>
                <w:b w:val="1"/>
                <w:bCs w:val="1"/>
                <w:color w:val="FFFFFF"/>
              </w:rPr>
              <w:t>Name and Principal Position</w:t>
            </w:r>
          </w:p>
        </w:tc>
        <w:tc>
          <w:tcPr>
            <w:tcW w:w="780" w:type="dxa"/>
            <w:vAlign w:val="bottom"/>
            <w:shd w:val="clear" w:color="auto" w:fill="003E64"/>
          </w:tcPr>
          <w:p>
            <w:pPr>
              <w:ind w:left="260"/>
              <w:spacing w:after="0"/>
              <w:rPr>
                <w:sz w:val="20"/>
                <w:szCs w:val="20"/>
                <w:color w:val="auto"/>
              </w:rPr>
            </w:pPr>
            <w:r>
              <w:rPr>
                <w:rFonts w:ascii="Arial" w:cs="Arial" w:eastAsia="Arial" w:hAnsi="Arial"/>
                <w:sz w:val="14"/>
                <w:szCs w:val="14"/>
                <w:b w:val="1"/>
                <w:bCs w:val="1"/>
                <w:color w:val="FFFFFF"/>
              </w:rPr>
              <w:t>Year</w:t>
            </w:r>
          </w:p>
        </w:tc>
        <w:tc>
          <w:tcPr>
            <w:tcW w:w="1200" w:type="dxa"/>
            <w:vAlign w:val="bottom"/>
            <w:shd w:val="clear" w:color="auto" w:fill="003E64"/>
          </w:tcPr>
          <w:p>
            <w:pPr>
              <w:jc w:val="right"/>
              <w:ind w:right="148"/>
              <w:spacing w:after="0"/>
              <w:rPr>
                <w:sz w:val="20"/>
                <w:szCs w:val="20"/>
                <w:color w:val="auto"/>
              </w:rPr>
            </w:pPr>
            <w:r>
              <w:rPr>
                <w:rFonts w:ascii="Arial" w:cs="Arial" w:eastAsia="Arial" w:hAnsi="Arial"/>
                <w:sz w:val="14"/>
                <w:szCs w:val="14"/>
                <w:b w:val="1"/>
                <w:bCs w:val="1"/>
                <w:color w:val="FFFFFF"/>
              </w:rPr>
              <w:t>Salary($)(1)</w:t>
            </w:r>
          </w:p>
        </w:tc>
        <w:tc>
          <w:tcPr>
            <w:tcW w:w="1240" w:type="dxa"/>
            <w:vAlign w:val="bottom"/>
            <w:shd w:val="clear" w:color="auto" w:fill="003E64"/>
          </w:tcPr>
          <w:p>
            <w:pPr>
              <w:ind w:left="220"/>
              <w:spacing w:after="0"/>
              <w:rPr>
                <w:sz w:val="20"/>
                <w:szCs w:val="20"/>
                <w:color w:val="auto"/>
              </w:rPr>
            </w:pPr>
            <w:r>
              <w:rPr>
                <w:rFonts w:ascii="Arial" w:cs="Arial" w:eastAsia="Arial" w:hAnsi="Arial"/>
                <w:sz w:val="14"/>
                <w:szCs w:val="14"/>
                <w:b w:val="1"/>
                <w:bCs w:val="1"/>
                <w:color w:val="FFFFFF"/>
              </w:rPr>
              <w:t>Bonus($)(1)</w:t>
            </w:r>
          </w:p>
        </w:tc>
        <w:tc>
          <w:tcPr>
            <w:tcW w:w="122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Awards($)(2)</w:t>
            </w:r>
          </w:p>
        </w:tc>
        <w:tc>
          <w:tcPr>
            <w:tcW w:w="1380" w:type="dxa"/>
            <w:vAlign w:val="bottom"/>
            <w:shd w:val="clear" w:color="auto" w:fill="003E64"/>
          </w:tcPr>
          <w:p>
            <w:pPr>
              <w:jc w:val="right"/>
              <w:ind w:right="388"/>
              <w:spacing w:after="0"/>
              <w:rPr>
                <w:sz w:val="20"/>
                <w:szCs w:val="20"/>
                <w:color w:val="auto"/>
              </w:rPr>
            </w:pPr>
            <w:r>
              <w:rPr>
                <w:rFonts w:ascii="Arial" w:cs="Arial" w:eastAsia="Arial" w:hAnsi="Arial"/>
                <w:sz w:val="14"/>
                <w:szCs w:val="14"/>
                <w:b w:val="1"/>
                <w:bCs w:val="1"/>
                <w:color w:val="FFFFFF"/>
              </w:rPr>
              <w:t>($)(1)(3)</w:t>
            </w:r>
          </w:p>
        </w:tc>
        <w:tc>
          <w:tcPr>
            <w:tcW w:w="1100" w:type="dxa"/>
            <w:vAlign w:val="bottom"/>
            <w:shd w:val="clear" w:color="auto" w:fill="003E64"/>
          </w:tcPr>
          <w:p>
            <w:pPr>
              <w:jc w:val="right"/>
              <w:ind w:right="248"/>
              <w:spacing w:after="0"/>
              <w:rPr>
                <w:sz w:val="20"/>
                <w:szCs w:val="20"/>
                <w:color w:val="auto"/>
              </w:rPr>
            </w:pPr>
            <w:r>
              <w:rPr>
                <w:rFonts w:ascii="Arial" w:cs="Arial" w:eastAsia="Arial" w:hAnsi="Arial"/>
                <w:sz w:val="14"/>
                <w:szCs w:val="14"/>
                <w:b w:val="1"/>
                <w:bCs w:val="1"/>
                <w:color w:val="FFFFFF"/>
              </w:rPr>
              <w:t>Total($)</w:t>
            </w:r>
          </w:p>
        </w:tc>
      </w:tr>
      <w:tr>
        <w:trPr>
          <w:trHeight w:val="189"/>
        </w:trPr>
        <w:tc>
          <w:tcPr>
            <w:tcW w:w="4500" w:type="dxa"/>
            <w:vAlign w:val="bottom"/>
            <w:shd w:val="clear" w:color="auto" w:fill="B7E4FF"/>
          </w:tcPr>
          <w:p>
            <w:pPr>
              <w:spacing w:after="0"/>
              <w:rPr>
                <w:sz w:val="20"/>
                <w:szCs w:val="20"/>
                <w:color w:val="auto"/>
              </w:rPr>
            </w:pPr>
            <w:r>
              <w:rPr>
                <w:rFonts w:ascii="Arial" w:cs="Arial" w:eastAsia="Arial" w:hAnsi="Arial"/>
                <w:sz w:val="14"/>
                <w:szCs w:val="14"/>
                <w:color w:val="4D4D4F"/>
              </w:rPr>
              <w:t>David H. Wang</w:t>
            </w:r>
          </w:p>
        </w:tc>
        <w:tc>
          <w:tcPr>
            <w:tcW w:w="780" w:type="dxa"/>
            <w:vAlign w:val="bottom"/>
            <w:shd w:val="clear" w:color="auto" w:fill="B7E4FF"/>
          </w:tcPr>
          <w:p>
            <w:pPr>
              <w:ind w:left="240"/>
              <w:spacing w:after="0"/>
              <w:rPr>
                <w:sz w:val="20"/>
                <w:szCs w:val="20"/>
                <w:color w:val="auto"/>
              </w:rPr>
            </w:pPr>
            <w:r>
              <w:rPr>
                <w:rFonts w:ascii="Arial" w:cs="Arial" w:eastAsia="Arial" w:hAnsi="Arial"/>
                <w:sz w:val="14"/>
                <w:szCs w:val="14"/>
                <w:color w:val="4D4D4F"/>
              </w:rPr>
              <w:t>2018</w:t>
            </w:r>
          </w:p>
        </w:tc>
        <w:tc>
          <w:tcPr>
            <w:tcW w:w="120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$189,373</w:t>
            </w:r>
          </w:p>
        </w:tc>
        <w:tc>
          <w:tcPr>
            <w:tcW w:w="124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$139,824</w:t>
            </w:r>
          </w:p>
        </w:tc>
        <w:tc>
          <w:tcPr>
            <w:tcW w:w="1220" w:type="dxa"/>
            <w:vAlign w:val="bottom"/>
            <w:shd w:val="clear" w:color="auto" w:fill="B7E4FF"/>
          </w:tcPr>
          <w:p>
            <w:pPr>
              <w:ind w:left="720"/>
              <w:spacing w:after="0"/>
              <w:rPr>
                <w:sz w:val="20"/>
                <w:szCs w:val="20"/>
                <w:color w:val="auto"/>
              </w:rPr>
            </w:pPr>
            <w:r>
              <w:rPr>
                <w:rFonts w:ascii="Arial" w:cs="Arial" w:eastAsia="Arial" w:hAnsi="Arial"/>
                <w:sz w:val="14"/>
                <w:szCs w:val="14"/>
                <w:color w:val="4D4D4F"/>
              </w:rPr>
              <w:t>—</w:t>
            </w:r>
          </w:p>
        </w:tc>
        <w:tc>
          <w:tcPr>
            <w:tcW w:w="1380" w:type="dxa"/>
            <w:vAlign w:val="bottom"/>
            <w:shd w:val="clear" w:color="auto" w:fill="B7E4FF"/>
          </w:tcPr>
          <w:p>
            <w:pPr>
              <w:jc w:val="right"/>
              <w:ind w:right="388"/>
              <w:spacing w:after="0"/>
              <w:rPr>
                <w:sz w:val="20"/>
                <w:szCs w:val="20"/>
                <w:color w:val="auto"/>
              </w:rPr>
            </w:pPr>
            <w:r>
              <w:rPr>
                <w:rFonts w:ascii="Arial" w:cs="Arial" w:eastAsia="Arial" w:hAnsi="Arial"/>
                <w:sz w:val="14"/>
                <w:szCs w:val="14"/>
                <w:color w:val="4D4D4F"/>
              </w:rPr>
              <w:t>$12,985</w:t>
            </w:r>
          </w:p>
        </w:tc>
        <w:tc>
          <w:tcPr>
            <w:tcW w:w="1100" w:type="dxa"/>
            <w:vAlign w:val="bottom"/>
            <w:shd w:val="clear" w:color="auto" w:fill="B7E4FF"/>
          </w:tcPr>
          <w:p>
            <w:pPr>
              <w:jc w:val="right"/>
              <w:ind w:right="208"/>
              <w:spacing w:after="0"/>
              <w:rPr>
                <w:sz w:val="20"/>
                <w:szCs w:val="20"/>
                <w:color w:val="auto"/>
              </w:rPr>
            </w:pPr>
            <w:r>
              <w:rPr>
                <w:rFonts w:ascii="Arial" w:cs="Arial" w:eastAsia="Arial" w:hAnsi="Arial"/>
                <w:sz w:val="14"/>
                <w:szCs w:val="14"/>
                <w:color w:val="4D4D4F"/>
              </w:rPr>
              <w:t>$236,877</w:t>
            </w:r>
          </w:p>
        </w:tc>
      </w:tr>
      <w:tr>
        <w:trPr>
          <w:trHeight w:val="189"/>
        </w:trPr>
        <w:tc>
          <w:tcPr>
            <w:tcW w:w="4500" w:type="dxa"/>
            <w:vAlign w:val="bottom"/>
            <w:shd w:val="clear" w:color="auto" w:fill="B7E4FF"/>
          </w:tcPr>
          <w:p>
            <w:pPr>
              <w:spacing w:after="0"/>
              <w:rPr>
                <w:sz w:val="20"/>
                <w:szCs w:val="20"/>
                <w:color w:val="auto"/>
              </w:rPr>
            </w:pPr>
            <w:r>
              <w:rPr>
                <w:rFonts w:ascii="Arial" w:cs="Arial" w:eastAsia="Arial" w:hAnsi="Arial"/>
                <w:sz w:val="14"/>
                <w:szCs w:val="14"/>
                <w:i w:val="1"/>
                <w:iCs w:val="1"/>
                <w:color w:val="4D4D4F"/>
              </w:rPr>
              <w:t>Chief Executive Officer and President</w:t>
            </w:r>
          </w:p>
        </w:tc>
        <w:tc>
          <w:tcPr>
            <w:tcW w:w="780" w:type="dxa"/>
            <w:vAlign w:val="bottom"/>
            <w:shd w:val="clear" w:color="auto" w:fill="B7E4FF"/>
          </w:tcPr>
          <w:p>
            <w:pPr>
              <w:ind w:left="240"/>
              <w:spacing w:after="0"/>
              <w:rPr>
                <w:sz w:val="20"/>
                <w:szCs w:val="20"/>
                <w:color w:val="auto"/>
              </w:rPr>
            </w:pPr>
            <w:r>
              <w:rPr>
                <w:rFonts w:ascii="Arial" w:cs="Arial" w:eastAsia="Arial" w:hAnsi="Arial"/>
                <w:sz w:val="14"/>
                <w:szCs w:val="14"/>
                <w:color w:val="4D4D4F"/>
              </w:rPr>
              <w:t>2017</w:t>
            </w:r>
          </w:p>
        </w:tc>
        <w:tc>
          <w:tcPr>
            <w:tcW w:w="1200" w:type="dxa"/>
            <w:vAlign w:val="bottom"/>
            <w:shd w:val="clear" w:color="auto" w:fill="B7E4FF"/>
          </w:tcPr>
          <w:p>
            <w:pPr>
              <w:jc w:val="right"/>
              <w:ind w:right="228"/>
              <w:spacing w:after="0"/>
              <w:rPr>
                <w:sz w:val="20"/>
                <w:szCs w:val="20"/>
                <w:color w:val="auto"/>
              </w:rPr>
            </w:pPr>
            <w:r>
              <w:rPr>
                <w:rFonts w:ascii="Arial" w:cs="Arial" w:eastAsia="Arial" w:hAnsi="Arial"/>
                <w:sz w:val="14"/>
                <w:szCs w:val="14"/>
                <w:color w:val="4D4D4F"/>
              </w:rPr>
              <w:t>174,656</w:t>
            </w:r>
          </w:p>
        </w:tc>
        <w:tc>
          <w:tcPr>
            <w:tcW w:w="1240" w:type="dxa"/>
            <w:vAlign w:val="bottom"/>
            <w:shd w:val="clear" w:color="auto" w:fill="B7E4FF"/>
          </w:tcPr>
          <w:p>
            <w:pPr>
              <w:ind w:left="720"/>
              <w:spacing w:after="0"/>
              <w:rPr>
                <w:sz w:val="20"/>
                <w:szCs w:val="20"/>
                <w:color w:val="auto"/>
              </w:rPr>
            </w:pPr>
            <w:r>
              <w:rPr>
                <w:rFonts w:ascii="Arial" w:cs="Arial" w:eastAsia="Arial" w:hAnsi="Arial"/>
                <w:sz w:val="14"/>
                <w:szCs w:val="14"/>
                <w:color w:val="4D4D4F"/>
              </w:rPr>
              <w:t>—</w:t>
            </w:r>
          </w:p>
        </w:tc>
        <w:tc>
          <w:tcPr>
            <w:tcW w:w="1220" w:type="dxa"/>
            <w:vAlign w:val="bottom"/>
            <w:shd w:val="clear" w:color="auto" w:fill="B7E4FF"/>
          </w:tcPr>
          <w:p>
            <w:pPr>
              <w:ind w:left="740"/>
              <w:spacing w:after="0"/>
              <w:rPr>
                <w:sz w:val="20"/>
                <w:szCs w:val="20"/>
                <w:color w:val="auto"/>
              </w:rPr>
            </w:pPr>
            <w:r>
              <w:rPr>
                <w:rFonts w:ascii="Arial" w:cs="Arial" w:eastAsia="Arial" w:hAnsi="Arial"/>
                <w:sz w:val="14"/>
                <w:szCs w:val="14"/>
                <w:color w:val="4D4D4F"/>
              </w:rPr>
              <w:t>—</w:t>
            </w:r>
          </w:p>
        </w:tc>
        <w:tc>
          <w:tcPr>
            <w:tcW w:w="1380" w:type="dxa"/>
            <w:vAlign w:val="bottom"/>
            <w:shd w:val="clear" w:color="auto" w:fill="B7E4FF"/>
          </w:tcPr>
          <w:p>
            <w:pPr>
              <w:jc w:val="right"/>
              <w:ind w:right="388"/>
              <w:spacing w:after="0"/>
              <w:rPr>
                <w:sz w:val="20"/>
                <w:szCs w:val="20"/>
                <w:color w:val="auto"/>
              </w:rPr>
            </w:pPr>
            <w:r>
              <w:rPr>
                <w:rFonts w:ascii="Arial" w:cs="Arial" w:eastAsia="Arial" w:hAnsi="Arial"/>
                <w:sz w:val="14"/>
                <w:szCs w:val="14"/>
                <w:color w:val="4D4D4F"/>
              </w:rPr>
              <w:t>14,066</w:t>
            </w:r>
          </w:p>
        </w:tc>
        <w:tc>
          <w:tcPr>
            <w:tcW w:w="1100" w:type="dxa"/>
            <w:vAlign w:val="bottom"/>
            <w:shd w:val="clear" w:color="auto" w:fill="B7E4FF"/>
          </w:tcPr>
          <w:p>
            <w:pPr>
              <w:jc w:val="right"/>
              <w:ind w:right="208"/>
              <w:spacing w:after="0"/>
              <w:rPr>
                <w:sz w:val="20"/>
                <w:szCs w:val="20"/>
                <w:color w:val="auto"/>
              </w:rPr>
            </w:pPr>
            <w:r>
              <w:rPr>
                <w:rFonts w:ascii="Arial" w:cs="Arial" w:eastAsia="Arial" w:hAnsi="Arial"/>
                <w:sz w:val="14"/>
                <w:szCs w:val="14"/>
                <w:color w:val="4D4D4F"/>
              </w:rPr>
              <w:t>188,722</w:t>
            </w:r>
          </w:p>
        </w:tc>
      </w:tr>
      <w:tr>
        <w:trPr>
          <w:trHeight w:val="180"/>
        </w:trPr>
        <w:tc>
          <w:tcPr>
            <w:tcW w:w="4500" w:type="dxa"/>
            <w:vAlign w:val="bottom"/>
          </w:tcPr>
          <w:p>
            <w:pPr>
              <w:spacing w:after="0"/>
              <w:rPr>
                <w:sz w:val="20"/>
                <w:szCs w:val="20"/>
                <w:color w:val="auto"/>
              </w:rPr>
            </w:pPr>
            <w:r>
              <w:rPr>
                <w:rFonts w:ascii="Arial" w:cs="Arial" w:eastAsia="Arial" w:hAnsi="Arial"/>
                <w:sz w:val="14"/>
                <w:szCs w:val="14"/>
                <w:color w:val="4D4D4F"/>
              </w:rPr>
              <w:t>Sotheara Cheav</w:t>
            </w:r>
          </w:p>
        </w:tc>
        <w:tc>
          <w:tcPr>
            <w:tcW w:w="780" w:type="dxa"/>
            <w:vAlign w:val="bottom"/>
          </w:tcPr>
          <w:p>
            <w:pPr>
              <w:ind w:left="240"/>
              <w:spacing w:after="0"/>
              <w:rPr>
                <w:sz w:val="20"/>
                <w:szCs w:val="20"/>
                <w:color w:val="auto"/>
              </w:rPr>
            </w:pPr>
            <w:r>
              <w:rPr>
                <w:rFonts w:ascii="Arial" w:cs="Arial" w:eastAsia="Arial" w:hAnsi="Arial"/>
                <w:sz w:val="14"/>
                <w:szCs w:val="14"/>
                <w:color w:val="4D4D4F"/>
              </w:rPr>
              <w:t>2018</w:t>
            </w:r>
          </w:p>
        </w:tc>
        <w:tc>
          <w:tcPr>
            <w:tcW w:w="1200" w:type="dxa"/>
            <w:vAlign w:val="bottom"/>
          </w:tcPr>
          <w:p>
            <w:pPr>
              <w:jc w:val="center"/>
              <w:spacing w:after="0"/>
              <w:rPr>
                <w:sz w:val="20"/>
                <w:szCs w:val="20"/>
                <w:color w:val="auto"/>
              </w:rPr>
            </w:pPr>
            <w:r>
              <w:rPr>
                <w:rFonts w:ascii="Arial" w:cs="Arial" w:eastAsia="Arial" w:hAnsi="Arial"/>
                <w:sz w:val="14"/>
                <w:szCs w:val="14"/>
                <w:color w:val="4D4D4F"/>
              </w:rPr>
              <w:t>139,824</w:t>
            </w:r>
          </w:p>
        </w:tc>
        <w:tc>
          <w:tcPr>
            <w:tcW w:w="1240" w:type="dxa"/>
            <w:vAlign w:val="bottom"/>
          </w:tcPr>
          <w:p>
            <w:pPr>
              <w:jc w:val="center"/>
              <w:spacing w:after="0"/>
              <w:rPr>
                <w:sz w:val="20"/>
                <w:szCs w:val="20"/>
                <w:color w:val="auto"/>
              </w:rPr>
            </w:pPr>
            <w:r>
              <w:rPr>
                <w:rFonts w:ascii="Arial" w:cs="Arial" w:eastAsia="Arial" w:hAnsi="Arial"/>
                <w:sz w:val="14"/>
                <w:szCs w:val="14"/>
                <w:color w:val="4D4D4F"/>
              </w:rPr>
              <w:t>16,296</w:t>
            </w:r>
          </w:p>
        </w:tc>
        <w:tc>
          <w:tcPr>
            <w:tcW w:w="1220" w:type="dxa"/>
            <w:vAlign w:val="bottom"/>
          </w:tcPr>
          <w:p>
            <w:pPr>
              <w:jc w:val="right"/>
              <w:ind w:right="208"/>
              <w:spacing w:after="0"/>
              <w:rPr>
                <w:sz w:val="20"/>
                <w:szCs w:val="20"/>
                <w:color w:val="auto"/>
              </w:rPr>
            </w:pPr>
            <w:r>
              <w:rPr>
                <w:rFonts w:ascii="Arial" w:cs="Arial" w:eastAsia="Arial" w:hAnsi="Arial"/>
                <w:sz w:val="14"/>
                <w:szCs w:val="14"/>
                <w:color w:val="4D4D4F"/>
              </w:rPr>
              <w:t>$257,032</w:t>
            </w:r>
          </w:p>
        </w:tc>
        <w:tc>
          <w:tcPr>
            <w:tcW w:w="1380" w:type="dxa"/>
            <w:vAlign w:val="bottom"/>
          </w:tcPr>
          <w:p>
            <w:pPr>
              <w:jc w:val="right"/>
              <w:ind w:right="388"/>
              <w:spacing w:after="0"/>
              <w:rPr>
                <w:sz w:val="20"/>
                <w:szCs w:val="20"/>
                <w:color w:val="auto"/>
              </w:rPr>
            </w:pPr>
            <w:r>
              <w:rPr>
                <w:rFonts w:ascii="Arial" w:cs="Arial" w:eastAsia="Arial" w:hAnsi="Arial"/>
                <w:sz w:val="14"/>
                <w:szCs w:val="14"/>
                <w:color w:val="4D4D4F"/>
              </w:rPr>
              <w:t>13,895</w:t>
            </w:r>
          </w:p>
        </w:tc>
        <w:tc>
          <w:tcPr>
            <w:tcW w:w="1100" w:type="dxa"/>
            <w:vAlign w:val="bottom"/>
          </w:tcPr>
          <w:p>
            <w:pPr>
              <w:jc w:val="right"/>
              <w:ind w:right="208"/>
              <w:spacing w:after="0"/>
              <w:rPr>
                <w:sz w:val="20"/>
                <w:szCs w:val="20"/>
                <w:color w:val="auto"/>
              </w:rPr>
            </w:pPr>
            <w:r>
              <w:rPr>
                <w:rFonts w:ascii="Arial" w:cs="Arial" w:eastAsia="Arial" w:hAnsi="Arial"/>
                <w:sz w:val="14"/>
                <w:szCs w:val="14"/>
                <w:color w:val="4D4D4F"/>
              </w:rPr>
              <w:t>427,047</w:t>
            </w:r>
          </w:p>
        </w:tc>
      </w:tr>
      <w:tr>
        <w:trPr>
          <w:trHeight w:val="198"/>
        </w:trPr>
        <w:tc>
          <w:tcPr>
            <w:tcW w:w="4500" w:type="dxa"/>
            <w:vAlign w:val="bottom"/>
          </w:tcPr>
          <w:p>
            <w:pPr>
              <w:spacing w:after="0"/>
              <w:rPr>
                <w:sz w:val="20"/>
                <w:szCs w:val="20"/>
                <w:color w:val="auto"/>
              </w:rPr>
            </w:pPr>
            <w:r>
              <w:rPr>
                <w:rFonts w:ascii="Arial" w:cs="Arial" w:eastAsia="Arial" w:hAnsi="Arial"/>
                <w:sz w:val="14"/>
                <w:szCs w:val="14"/>
                <w:i w:val="1"/>
                <w:iCs w:val="1"/>
                <w:color w:val="4D4D4F"/>
              </w:rPr>
              <w:t>Vice President, Manufacturing, ACM Research (Shanghai), Inc.</w:t>
            </w:r>
          </w:p>
        </w:tc>
        <w:tc>
          <w:tcPr>
            <w:tcW w:w="780" w:type="dxa"/>
            <w:vAlign w:val="bottom"/>
          </w:tcPr>
          <w:p>
            <w:pPr>
              <w:ind w:left="240"/>
              <w:spacing w:after="0"/>
              <w:rPr>
                <w:sz w:val="20"/>
                <w:szCs w:val="20"/>
                <w:color w:val="auto"/>
              </w:rPr>
            </w:pPr>
            <w:r>
              <w:rPr>
                <w:rFonts w:ascii="Arial" w:cs="Arial" w:eastAsia="Arial" w:hAnsi="Arial"/>
                <w:sz w:val="14"/>
                <w:szCs w:val="14"/>
                <w:color w:val="4D4D4F"/>
              </w:rPr>
              <w:t>2017</w:t>
            </w:r>
          </w:p>
        </w:tc>
        <w:tc>
          <w:tcPr>
            <w:tcW w:w="1200" w:type="dxa"/>
            <w:vAlign w:val="bottom"/>
          </w:tcPr>
          <w:p>
            <w:pPr>
              <w:jc w:val="center"/>
              <w:spacing w:after="0"/>
              <w:rPr>
                <w:sz w:val="20"/>
                <w:szCs w:val="20"/>
                <w:color w:val="auto"/>
              </w:rPr>
            </w:pPr>
            <w:r>
              <w:rPr>
                <w:rFonts w:ascii="Arial" w:cs="Arial" w:eastAsia="Arial" w:hAnsi="Arial"/>
                <w:sz w:val="14"/>
                <w:szCs w:val="14"/>
                <w:color w:val="4D4D4F"/>
              </w:rPr>
              <w:t>123,345</w:t>
            </w:r>
          </w:p>
        </w:tc>
        <w:tc>
          <w:tcPr>
            <w:tcW w:w="1240" w:type="dxa"/>
            <w:vAlign w:val="bottom"/>
          </w:tcPr>
          <w:p>
            <w:pPr>
              <w:ind w:left="700"/>
              <w:spacing w:after="0"/>
              <w:rPr>
                <w:sz w:val="20"/>
                <w:szCs w:val="20"/>
                <w:color w:val="auto"/>
              </w:rPr>
            </w:pPr>
            <w:r>
              <w:rPr>
                <w:rFonts w:ascii="Arial" w:cs="Arial" w:eastAsia="Arial" w:hAnsi="Arial"/>
                <w:sz w:val="14"/>
                <w:szCs w:val="14"/>
                <w:color w:val="4D4D4F"/>
              </w:rPr>
              <w:t>—</w:t>
            </w:r>
          </w:p>
        </w:tc>
        <w:tc>
          <w:tcPr>
            <w:tcW w:w="1220" w:type="dxa"/>
            <w:vAlign w:val="bottom"/>
          </w:tcPr>
          <w:p>
            <w:pPr>
              <w:ind w:left="760"/>
              <w:spacing w:after="0"/>
              <w:rPr>
                <w:sz w:val="20"/>
                <w:szCs w:val="20"/>
                <w:color w:val="auto"/>
              </w:rPr>
            </w:pPr>
            <w:r>
              <w:rPr>
                <w:rFonts w:ascii="Arial" w:cs="Arial" w:eastAsia="Arial" w:hAnsi="Arial"/>
                <w:sz w:val="14"/>
                <w:szCs w:val="14"/>
                <w:color w:val="4D4D4F"/>
              </w:rPr>
              <w:t>—</w:t>
            </w:r>
          </w:p>
        </w:tc>
        <w:tc>
          <w:tcPr>
            <w:tcW w:w="1380" w:type="dxa"/>
            <w:vAlign w:val="bottom"/>
          </w:tcPr>
          <w:p>
            <w:pPr>
              <w:jc w:val="right"/>
              <w:ind w:right="388"/>
              <w:spacing w:after="0"/>
              <w:rPr>
                <w:sz w:val="20"/>
                <w:szCs w:val="20"/>
                <w:color w:val="auto"/>
              </w:rPr>
            </w:pPr>
            <w:r>
              <w:rPr>
                <w:rFonts w:ascii="Arial" w:cs="Arial" w:eastAsia="Arial" w:hAnsi="Arial"/>
                <w:sz w:val="14"/>
                <w:szCs w:val="14"/>
                <w:color w:val="4D4D4F"/>
              </w:rPr>
              <w:t>14,563</w:t>
            </w:r>
          </w:p>
        </w:tc>
        <w:tc>
          <w:tcPr>
            <w:tcW w:w="1100" w:type="dxa"/>
            <w:vAlign w:val="bottom"/>
          </w:tcPr>
          <w:p>
            <w:pPr>
              <w:jc w:val="right"/>
              <w:ind w:right="208"/>
              <w:spacing w:after="0"/>
              <w:rPr>
                <w:sz w:val="20"/>
                <w:szCs w:val="20"/>
                <w:color w:val="auto"/>
              </w:rPr>
            </w:pPr>
            <w:r>
              <w:rPr>
                <w:rFonts w:ascii="Arial" w:cs="Arial" w:eastAsia="Arial" w:hAnsi="Arial"/>
                <w:sz w:val="14"/>
                <w:szCs w:val="14"/>
                <w:color w:val="4D4D4F"/>
              </w:rPr>
              <w:t>137,908</w:t>
            </w:r>
          </w:p>
        </w:tc>
      </w:tr>
      <w:tr>
        <w:trPr>
          <w:trHeight w:val="189"/>
        </w:trPr>
        <w:tc>
          <w:tcPr>
            <w:tcW w:w="4500" w:type="dxa"/>
            <w:vAlign w:val="bottom"/>
            <w:shd w:val="clear" w:color="auto" w:fill="B7E4FF"/>
          </w:tcPr>
          <w:p>
            <w:pPr>
              <w:spacing w:after="0"/>
              <w:rPr>
                <w:sz w:val="20"/>
                <w:szCs w:val="20"/>
                <w:color w:val="auto"/>
              </w:rPr>
            </w:pPr>
            <w:r>
              <w:rPr>
                <w:rFonts w:ascii="Arial" w:cs="Arial" w:eastAsia="Arial" w:hAnsi="Arial"/>
                <w:sz w:val="14"/>
                <w:szCs w:val="14"/>
                <w:color w:val="4D4D4F"/>
              </w:rPr>
              <w:t>Jian Wang</w:t>
            </w:r>
          </w:p>
        </w:tc>
        <w:tc>
          <w:tcPr>
            <w:tcW w:w="780" w:type="dxa"/>
            <w:vAlign w:val="bottom"/>
            <w:shd w:val="clear" w:color="auto" w:fill="B7E4FF"/>
          </w:tcPr>
          <w:p>
            <w:pPr>
              <w:ind w:left="240"/>
              <w:spacing w:after="0"/>
              <w:rPr>
                <w:sz w:val="20"/>
                <w:szCs w:val="20"/>
                <w:color w:val="auto"/>
              </w:rPr>
            </w:pPr>
            <w:r>
              <w:rPr>
                <w:rFonts w:ascii="Arial" w:cs="Arial" w:eastAsia="Arial" w:hAnsi="Arial"/>
                <w:sz w:val="14"/>
                <w:szCs w:val="14"/>
                <w:color w:val="4D4D4F"/>
              </w:rPr>
              <w:t>2018</w:t>
            </w:r>
          </w:p>
        </w:tc>
        <w:tc>
          <w:tcPr>
            <w:tcW w:w="120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140,059</w:t>
            </w:r>
          </w:p>
        </w:tc>
        <w:tc>
          <w:tcPr>
            <w:tcW w:w="124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16,296</w:t>
            </w:r>
          </w:p>
        </w:tc>
        <w:tc>
          <w:tcPr>
            <w:tcW w:w="1220" w:type="dxa"/>
            <w:vAlign w:val="bottom"/>
            <w:shd w:val="clear" w:color="auto" w:fill="B7E4FF"/>
          </w:tcPr>
          <w:p>
            <w:pPr>
              <w:jc w:val="right"/>
              <w:ind w:right="248"/>
              <w:spacing w:after="0"/>
              <w:rPr>
                <w:sz w:val="20"/>
                <w:szCs w:val="20"/>
                <w:color w:val="auto"/>
              </w:rPr>
            </w:pPr>
            <w:r>
              <w:rPr>
                <w:rFonts w:ascii="Arial" w:cs="Arial" w:eastAsia="Arial" w:hAnsi="Arial"/>
                <w:sz w:val="14"/>
                <w:szCs w:val="14"/>
                <w:color w:val="4D4D4F"/>
              </w:rPr>
              <w:t>257,032</w:t>
            </w:r>
          </w:p>
        </w:tc>
        <w:tc>
          <w:tcPr>
            <w:tcW w:w="1380" w:type="dxa"/>
            <w:vAlign w:val="bottom"/>
            <w:shd w:val="clear" w:color="auto" w:fill="B7E4FF"/>
          </w:tcPr>
          <w:p>
            <w:pPr>
              <w:jc w:val="right"/>
              <w:ind w:right="388"/>
              <w:spacing w:after="0"/>
              <w:rPr>
                <w:sz w:val="20"/>
                <w:szCs w:val="20"/>
                <w:color w:val="auto"/>
              </w:rPr>
            </w:pPr>
            <w:r>
              <w:rPr>
                <w:rFonts w:ascii="Arial" w:cs="Arial" w:eastAsia="Arial" w:hAnsi="Arial"/>
                <w:sz w:val="14"/>
                <w:szCs w:val="14"/>
                <w:color w:val="4D4D4F"/>
              </w:rPr>
              <w:t>16,647</w:t>
            </w:r>
          </w:p>
        </w:tc>
        <w:tc>
          <w:tcPr>
            <w:tcW w:w="1100" w:type="dxa"/>
            <w:vAlign w:val="bottom"/>
            <w:shd w:val="clear" w:color="auto" w:fill="B7E4FF"/>
          </w:tcPr>
          <w:p>
            <w:pPr>
              <w:jc w:val="right"/>
              <w:ind w:right="208"/>
              <w:spacing w:after="0"/>
              <w:rPr>
                <w:sz w:val="20"/>
                <w:szCs w:val="20"/>
                <w:color w:val="auto"/>
              </w:rPr>
            </w:pPr>
            <w:r>
              <w:rPr>
                <w:rFonts w:ascii="Arial" w:cs="Arial" w:eastAsia="Arial" w:hAnsi="Arial"/>
                <w:sz w:val="14"/>
                <w:szCs w:val="14"/>
                <w:color w:val="4D4D4F"/>
              </w:rPr>
              <w:t>430,034</w:t>
            </w:r>
          </w:p>
        </w:tc>
      </w:tr>
      <w:tr>
        <w:trPr>
          <w:trHeight w:val="189"/>
        </w:trPr>
        <w:tc>
          <w:tcPr>
            <w:tcW w:w="4500" w:type="dxa"/>
            <w:vAlign w:val="bottom"/>
            <w:shd w:val="clear" w:color="auto" w:fill="B7E4FF"/>
          </w:tcPr>
          <w:p>
            <w:pPr>
              <w:spacing w:after="0"/>
              <w:rPr>
                <w:sz w:val="20"/>
                <w:szCs w:val="20"/>
                <w:color w:val="auto"/>
              </w:rPr>
            </w:pPr>
            <w:r>
              <w:rPr>
                <w:rFonts w:ascii="Arial" w:cs="Arial" w:eastAsia="Arial" w:hAnsi="Arial"/>
                <w:sz w:val="14"/>
                <w:szCs w:val="14"/>
                <w:i w:val="1"/>
                <w:iCs w:val="1"/>
                <w:color w:val="4D4D4F"/>
              </w:rPr>
              <w:t>Vice President, Research and Development</w:t>
            </w:r>
          </w:p>
        </w:tc>
        <w:tc>
          <w:tcPr>
            <w:tcW w:w="780" w:type="dxa"/>
            <w:vAlign w:val="bottom"/>
            <w:shd w:val="clear" w:color="auto" w:fill="B7E4FF"/>
          </w:tcPr>
          <w:p>
            <w:pPr>
              <w:ind w:left="240"/>
              <w:spacing w:after="0"/>
              <w:rPr>
                <w:sz w:val="20"/>
                <w:szCs w:val="20"/>
                <w:color w:val="auto"/>
              </w:rPr>
            </w:pPr>
            <w:r>
              <w:rPr>
                <w:rFonts w:ascii="Arial" w:cs="Arial" w:eastAsia="Arial" w:hAnsi="Arial"/>
                <w:sz w:val="14"/>
                <w:szCs w:val="14"/>
                <w:color w:val="4D4D4F"/>
              </w:rPr>
              <w:t>2017</w:t>
            </w:r>
          </w:p>
        </w:tc>
        <w:tc>
          <w:tcPr>
            <w:tcW w:w="120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122,008</w:t>
            </w:r>
          </w:p>
        </w:tc>
        <w:tc>
          <w:tcPr>
            <w:tcW w:w="1240" w:type="dxa"/>
            <w:vAlign w:val="bottom"/>
            <w:shd w:val="clear" w:color="auto" w:fill="B7E4FF"/>
          </w:tcPr>
          <w:p>
            <w:pPr>
              <w:ind w:left="680"/>
              <w:spacing w:after="0"/>
              <w:rPr>
                <w:sz w:val="20"/>
                <w:szCs w:val="20"/>
                <w:color w:val="auto"/>
              </w:rPr>
            </w:pPr>
            <w:r>
              <w:rPr>
                <w:rFonts w:ascii="Arial" w:cs="Arial" w:eastAsia="Arial" w:hAnsi="Arial"/>
                <w:sz w:val="14"/>
                <w:szCs w:val="14"/>
                <w:color w:val="4D4D4F"/>
              </w:rPr>
              <w:t>—</w:t>
            </w:r>
          </w:p>
        </w:tc>
        <w:tc>
          <w:tcPr>
            <w:tcW w:w="1220" w:type="dxa"/>
            <w:vAlign w:val="bottom"/>
            <w:shd w:val="clear" w:color="auto" w:fill="B7E4FF"/>
          </w:tcPr>
          <w:p>
            <w:pPr>
              <w:ind w:left="760"/>
              <w:spacing w:after="0"/>
              <w:rPr>
                <w:sz w:val="20"/>
                <w:szCs w:val="20"/>
                <w:color w:val="auto"/>
              </w:rPr>
            </w:pPr>
            <w:r>
              <w:rPr>
                <w:rFonts w:ascii="Arial" w:cs="Arial" w:eastAsia="Arial" w:hAnsi="Arial"/>
                <w:sz w:val="14"/>
                <w:szCs w:val="14"/>
                <w:color w:val="4D4D4F"/>
              </w:rPr>
              <w:t>—</w:t>
            </w:r>
          </w:p>
        </w:tc>
        <w:tc>
          <w:tcPr>
            <w:tcW w:w="1380" w:type="dxa"/>
            <w:vAlign w:val="bottom"/>
            <w:shd w:val="clear" w:color="auto" w:fill="B7E4FF"/>
          </w:tcPr>
          <w:p>
            <w:pPr>
              <w:jc w:val="right"/>
              <w:ind w:right="388"/>
              <w:spacing w:after="0"/>
              <w:rPr>
                <w:sz w:val="20"/>
                <w:szCs w:val="20"/>
                <w:color w:val="auto"/>
              </w:rPr>
            </w:pPr>
            <w:r>
              <w:rPr>
                <w:rFonts w:ascii="Arial" w:cs="Arial" w:eastAsia="Arial" w:hAnsi="Arial"/>
                <w:sz w:val="14"/>
                <w:szCs w:val="14"/>
                <w:color w:val="4D4D4F"/>
              </w:rPr>
              <w:t>18,318</w:t>
            </w:r>
          </w:p>
        </w:tc>
        <w:tc>
          <w:tcPr>
            <w:tcW w:w="1100" w:type="dxa"/>
            <w:vAlign w:val="bottom"/>
            <w:shd w:val="clear" w:color="auto" w:fill="B7E4FF"/>
          </w:tcPr>
          <w:p>
            <w:pPr>
              <w:jc w:val="right"/>
              <w:ind w:right="208"/>
              <w:spacing w:after="0"/>
              <w:rPr>
                <w:sz w:val="20"/>
                <w:szCs w:val="20"/>
                <w:color w:val="auto"/>
              </w:rPr>
            </w:pPr>
            <w:r>
              <w:rPr>
                <w:rFonts w:ascii="Arial" w:cs="Arial" w:eastAsia="Arial" w:hAnsi="Arial"/>
                <w:sz w:val="14"/>
                <w:szCs w:val="14"/>
                <w:color w:val="4D4D4F"/>
              </w:rPr>
              <w:t>140,326</w:t>
            </w:r>
          </w:p>
        </w:tc>
      </w:tr>
    </w:tbl>
    <w:p>
      <w:pPr>
        <w:spacing w:after="0" w:line="59" w:lineRule="exact"/>
        <w:rPr>
          <w:sz w:val="20"/>
          <w:szCs w:val="20"/>
          <w:color w:val="auto"/>
        </w:rPr>
      </w:pPr>
    </w:p>
    <w:p>
      <w:pPr>
        <w:ind w:left="340" w:right="20" w:hanging="332"/>
        <w:spacing w:after="0" w:line="257" w:lineRule="auto"/>
        <w:tabs>
          <w:tab w:leader="none" w:pos="340" w:val="left"/>
        </w:tabs>
        <w:numPr>
          <w:ilvl w:val="0"/>
          <w:numId w:val="56"/>
        </w:numPr>
        <w:rPr>
          <w:rFonts w:ascii="Arial" w:cs="Arial" w:eastAsia="Arial" w:hAnsi="Arial"/>
          <w:sz w:val="14"/>
          <w:szCs w:val="14"/>
          <w:color w:val="4D4D4F"/>
        </w:rPr>
      </w:pPr>
      <w:r>
        <w:rPr>
          <w:rFonts w:ascii="Arial" w:cs="Arial" w:eastAsia="Arial" w:hAnsi="Arial"/>
          <w:sz w:val="14"/>
          <w:szCs w:val="14"/>
          <w:color w:val="4D4D4F"/>
        </w:rPr>
        <w:t>Except as otherwise indicated, compensation amounts were paid in RMB and have been converted to U.S. dollars for purposes of the table. The RMB per U.S. dollar exchange rate used for such conversion reflects the average exchange rate during 2018 and 2017, as appropriate.</w:t>
      </w:r>
    </w:p>
    <w:p>
      <w:pPr>
        <w:spacing w:after="0" w:line="32" w:lineRule="exact"/>
        <w:rPr>
          <w:rFonts w:ascii="Arial" w:cs="Arial" w:eastAsia="Arial" w:hAnsi="Arial"/>
          <w:sz w:val="14"/>
          <w:szCs w:val="14"/>
          <w:color w:val="4D4D4F"/>
        </w:rPr>
      </w:pPr>
    </w:p>
    <w:p>
      <w:pPr>
        <w:jc w:val="both"/>
        <w:ind w:left="340" w:hanging="332"/>
        <w:spacing w:after="0" w:line="246" w:lineRule="auto"/>
        <w:tabs>
          <w:tab w:leader="none" w:pos="340" w:val="left"/>
        </w:tabs>
        <w:numPr>
          <w:ilvl w:val="0"/>
          <w:numId w:val="56"/>
        </w:numPr>
        <w:rPr>
          <w:rFonts w:ascii="Arial" w:cs="Arial" w:eastAsia="Arial" w:hAnsi="Arial"/>
          <w:sz w:val="14"/>
          <w:szCs w:val="14"/>
          <w:color w:val="4D4D4F"/>
        </w:rPr>
      </w:pPr>
      <w:r>
        <w:rPr>
          <w:rFonts w:ascii="Arial" w:cs="Arial" w:eastAsia="Arial" w:hAnsi="Arial"/>
          <w:sz w:val="14"/>
          <w:szCs w:val="14"/>
          <w:color w:val="4D4D4F"/>
        </w:rPr>
        <w:t xml:space="preserve">The amounts shown represent the aggregate grant date fair value of stock awards granted in accordance with Financial Accounting Standards Board Accounting Standards Codification Topic 718, </w:t>
      </w:r>
      <w:r>
        <w:rPr>
          <w:rFonts w:ascii="Arial" w:cs="Arial" w:eastAsia="Arial" w:hAnsi="Arial"/>
          <w:sz w:val="14"/>
          <w:szCs w:val="14"/>
          <w:i w:val="1"/>
          <w:iCs w:val="1"/>
          <w:color w:val="4D4D4F"/>
        </w:rPr>
        <w:t>Compensation—Stock Compensation</w:t>
      </w:r>
      <w:r>
        <w:rPr>
          <w:rFonts w:ascii="Arial" w:cs="Arial" w:eastAsia="Arial" w:hAnsi="Arial"/>
          <w:sz w:val="14"/>
          <w:szCs w:val="14"/>
          <w:color w:val="4D4D4F"/>
        </w:rPr>
        <w:t>. The amounts do not necessarily correspond to the actual amounts that will be earned by the named executive officers. For assumptions made in valuing these awards and related information, see note 2 to our consolidated financial statements included in our Annual Report on Form 10-K for the fiscal year ended December 31, 2018.</w:t>
      </w:r>
    </w:p>
    <w:p>
      <w:pPr>
        <w:spacing w:after="0" w:line="34" w:lineRule="exact"/>
        <w:rPr>
          <w:rFonts w:ascii="Arial" w:cs="Arial" w:eastAsia="Arial" w:hAnsi="Arial"/>
          <w:sz w:val="14"/>
          <w:szCs w:val="14"/>
          <w:color w:val="4D4D4F"/>
        </w:rPr>
      </w:pPr>
    </w:p>
    <w:p>
      <w:pPr>
        <w:ind w:left="340" w:hanging="332"/>
        <w:spacing w:after="0"/>
        <w:tabs>
          <w:tab w:leader="none" w:pos="340" w:val="left"/>
        </w:tabs>
        <w:numPr>
          <w:ilvl w:val="0"/>
          <w:numId w:val="56"/>
        </w:numPr>
        <w:rPr>
          <w:rFonts w:ascii="Arial" w:cs="Arial" w:eastAsia="Arial" w:hAnsi="Arial"/>
          <w:sz w:val="14"/>
          <w:szCs w:val="14"/>
          <w:color w:val="4D4D4F"/>
        </w:rPr>
      </w:pPr>
      <w:r>
        <w:rPr>
          <w:rFonts w:ascii="Arial" w:cs="Arial" w:eastAsia="Arial" w:hAnsi="Arial"/>
          <w:sz w:val="14"/>
          <w:szCs w:val="14"/>
          <w:color w:val="4D4D4F"/>
        </w:rPr>
        <w:t>The amounts shown are attributable to the following:</w:t>
      </w:r>
    </w:p>
    <w:tbl>
      <w:tblPr>
        <w:tblLayout w:type="fixed"/>
        <w:tblInd w:w="340" w:type="dxa"/>
        <w:tblCellMar>
          <w:top w:w="0" w:type="dxa"/>
          <w:left w:w="0" w:type="dxa"/>
          <w:bottom w:w="0" w:type="dxa"/>
          <w:right w:w="0" w:type="dxa"/>
        </w:tblCellMar>
      </w:tblPr>
      <w:tr>
        <w:trPr>
          <w:trHeight w:val="109"/>
        </w:trPr>
        <w:tc>
          <w:tcPr>
            <w:tcW w:w="5580" w:type="dxa"/>
            <w:vAlign w:val="bottom"/>
            <w:shd w:val="clear" w:color="auto" w:fill="003E64"/>
          </w:tcPr>
          <w:p>
            <w:pPr>
              <w:spacing w:after="0"/>
              <w:rPr>
                <w:sz w:val="9"/>
                <w:szCs w:val="9"/>
                <w:color w:val="auto"/>
              </w:rPr>
            </w:pPr>
          </w:p>
        </w:tc>
        <w:tc>
          <w:tcPr>
            <w:tcW w:w="1100" w:type="dxa"/>
            <w:vAlign w:val="bottom"/>
            <w:shd w:val="clear" w:color="auto" w:fill="003E64"/>
          </w:tcPr>
          <w:p>
            <w:pPr>
              <w:spacing w:after="0"/>
              <w:rPr>
                <w:sz w:val="9"/>
                <w:szCs w:val="9"/>
                <w:color w:val="auto"/>
              </w:rPr>
            </w:pPr>
          </w:p>
        </w:tc>
        <w:tc>
          <w:tcPr>
            <w:tcW w:w="1080" w:type="dxa"/>
            <w:vAlign w:val="bottom"/>
            <w:shd w:val="clear" w:color="auto" w:fill="003E64"/>
          </w:tcPr>
          <w:p>
            <w:pPr>
              <w:jc w:val="right"/>
              <w:ind w:right="193"/>
              <w:spacing w:after="0" w:line="110" w:lineRule="exact"/>
              <w:rPr>
                <w:sz w:val="20"/>
                <w:szCs w:val="20"/>
                <w:color w:val="auto"/>
              </w:rPr>
            </w:pPr>
            <w:r>
              <w:rPr>
                <w:rFonts w:ascii="Arial" w:cs="Arial" w:eastAsia="Arial" w:hAnsi="Arial"/>
                <w:sz w:val="11"/>
                <w:szCs w:val="11"/>
                <w:b w:val="1"/>
                <w:bCs w:val="1"/>
                <w:color w:val="FFFFFF"/>
              </w:rPr>
              <w:t>Housing</w:t>
            </w:r>
          </w:p>
        </w:tc>
        <w:tc>
          <w:tcPr>
            <w:tcW w:w="1240" w:type="dxa"/>
            <w:vAlign w:val="bottom"/>
            <w:shd w:val="clear" w:color="auto" w:fill="003E64"/>
          </w:tcPr>
          <w:p>
            <w:pPr>
              <w:jc w:val="right"/>
              <w:ind w:right="273"/>
              <w:spacing w:after="0" w:line="110" w:lineRule="exact"/>
              <w:rPr>
                <w:sz w:val="20"/>
                <w:szCs w:val="20"/>
                <w:color w:val="auto"/>
              </w:rPr>
            </w:pPr>
            <w:r>
              <w:rPr>
                <w:rFonts w:ascii="Arial" w:cs="Arial" w:eastAsia="Arial" w:hAnsi="Arial"/>
                <w:sz w:val="11"/>
                <w:szCs w:val="11"/>
                <w:b w:val="1"/>
                <w:bCs w:val="1"/>
                <w:color w:val="FFFFFF"/>
              </w:rPr>
              <w:t>Health and</w:t>
            </w:r>
          </w:p>
        </w:tc>
        <w:tc>
          <w:tcPr>
            <w:tcW w:w="960" w:type="dxa"/>
            <w:vAlign w:val="bottom"/>
            <w:shd w:val="clear" w:color="auto" w:fill="003E64"/>
          </w:tcPr>
          <w:p>
            <w:pPr>
              <w:spacing w:after="0"/>
              <w:rPr>
                <w:sz w:val="9"/>
                <w:szCs w:val="9"/>
                <w:color w:val="auto"/>
              </w:rPr>
            </w:pPr>
          </w:p>
        </w:tc>
      </w:tr>
      <w:tr>
        <w:trPr>
          <w:trHeight w:val="137"/>
        </w:trPr>
        <w:tc>
          <w:tcPr>
            <w:tcW w:w="5580" w:type="dxa"/>
            <w:vAlign w:val="bottom"/>
            <w:shd w:val="clear" w:color="auto" w:fill="003E64"/>
          </w:tcPr>
          <w:p>
            <w:pPr>
              <w:spacing w:after="0"/>
              <w:rPr>
                <w:sz w:val="20"/>
                <w:szCs w:val="20"/>
                <w:color w:val="auto"/>
              </w:rPr>
            </w:pPr>
            <w:r>
              <w:rPr>
                <w:rFonts w:ascii="Arial" w:cs="Arial" w:eastAsia="Arial" w:hAnsi="Arial"/>
                <w:sz w:val="11"/>
                <w:szCs w:val="11"/>
                <w:b w:val="1"/>
                <w:bCs w:val="1"/>
                <w:color w:val="FFFFFF"/>
              </w:rPr>
              <w:t>Name and Principal Position</w:t>
            </w:r>
          </w:p>
        </w:tc>
        <w:tc>
          <w:tcPr>
            <w:tcW w:w="1100" w:type="dxa"/>
            <w:vAlign w:val="bottom"/>
            <w:shd w:val="clear" w:color="auto" w:fill="003E64"/>
          </w:tcPr>
          <w:p>
            <w:pPr>
              <w:jc w:val="center"/>
              <w:ind w:left="31"/>
              <w:spacing w:after="0"/>
              <w:rPr>
                <w:sz w:val="20"/>
                <w:szCs w:val="20"/>
                <w:color w:val="auto"/>
              </w:rPr>
            </w:pPr>
            <w:r>
              <w:rPr>
                <w:rFonts w:ascii="Arial" w:cs="Arial" w:eastAsia="Arial" w:hAnsi="Arial"/>
                <w:sz w:val="11"/>
                <w:szCs w:val="11"/>
                <w:b w:val="1"/>
                <w:bCs w:val="1"/>
                <w:color w:val="FFFFFF"/>
              </w:rPr>
              <w:t>Year</w:t>
            </w:r>
          </w:p>
        </w:tc>
        <w:tc>
          <w:tcPr>
            <w:tcW w:w="1080" w:type="dxa"/>
            <w:vAlign w:val="bottom"/>
            <w:shd w:val="clear" w:color="auto" w:fill="003E64"/>
          </w:tcPr>
          <w:p>
            <w:pPr>
              <w:jc w:val="right"/>
              <w:ind w:right="133"/>
              <w:spacing w:after="0"/>
              <w:rPr>
                <w:sz w:val="20"/>
                <w:szCs w:val="20"/>
                <w:color w:val="auto"/>
              </w:rPr>
            </w:pPr>
            <w:r>
              <w:rPr>
                <w:rFonts w:ascii="Arial" w:cs="Arial" w:eastAsia="Arial" w:hAnsi="Arial"/>
                <w:sz w:val="11"/>
                <w:szCs w:val="11"/>
                <w:b w:val="1"/>
                <w:bCs w:val="1"/>
                <w:color w:val="FFFFFF"/>
              </w:rPr>
              <w:t>Subsidy($)</w:t>
            </w:r>
          </w:p>
        </w:tc>
        <w:tc>
          <w:tcPr>
            <w:tcW w:w="1240" w:type="dxa"/>
            <w:vAlign w:val="bottom"/>
            <w:shd w:val="clear" w:color="auto" w:fill="003E64"/>
          </w:tcPr>
          <w:p>
            <w:pPr>
              <w:jc w:val="right"/>
              <w:ind w:right="133"/>
              <w:spacing w:after="0"/>
              <w:rPr>
                <w:sz w:val="20"/>
                <w:szCs w:val="20"/>
                <w:color w:val="auto"/>
              </w:rPr>
            </w:pPr>
            <w:r>
              <w:rPr>
                <w:rFonts w:ascii="Arial" w:cs="Arial" w:eastAsia="Arial" w:hAnsi="Arial"/>
                <w:sz w:val="11"/>
                <w:szCs w:val="11"/>
                <w:b w:val="1"/>
                <w:bCs w:val="1"/>
                <w:color w:val="FFFFFF"/>
              </w:rPr>
              <w:t>Welfare Plans($)</w:t>
            </w:r>
          </w:p>
        </w:tc>
        <w:tc>
          <w:tcPr>
            <w:tcW w:w="960" w:type="dxa"/>
            <w:vAlign w:val="bottom"/>
            <w:shd w:val="clear" w:color="auto" w:fill="003E64"/>
          </w:tcPr>
          <w:p>
            <w:pPr>
              <w:jc w:val="right"/>
              <w:ind w:right="231"/>
              <w:spacing w:after="0"/>
              <w:rPr>
                <w:sz w:val="20"/>
                <w:szCs w:val="20"/>
                <w:color w:val="auto"/>
              </w:rPr>
            </w:pPr>
            <w:r>
              <w:rPr>
                <w:rFonts w:ascii="Arial" w:cs="Arial" w:eastAsia="Arial" w:hAnsi="Arial"/>
                <w:sz w:val="11"/>
                <w:szCs w:val="11"/>
                <w:b w:val="1"/>
                <w:bCs w:val="1"/>
                <w:color w:val="FFFFFF"/>
              </w:rPr>
              <w:t>Total($)</w:t>
            </w:r>
          </w:p>
        </w:tc>
      </w:tr>
      <w:tr>
        <w:trPr>
          <w:trHeight w:val="189"/>
        </w:trPr>
        <w:tc>
          <w:tcPr>
            <w:tcW w:w="5580" w:type="dxa"/>
            <w:vAlign w:val="bottom"/>
            <w:shd w:val="clear" w:color="auto" w:fill="B7E4FF"/>
          </w:tcPr>
          <w:p>
            <w:pPr>
              <w:spacing w:after="0"/>
              <w:rPr>
                <w:sz w:val="20"/>
                <w:szCs w:val="20"/>
                <w:color w:val="auto"/>
              </w:rPr>
            </w:pPr>
            <w:r>
              <w:rPr>
                <w:rFonts w:ascii="Arial" w:cs="Arial" w:eastAsia="Arial" w:hAnsi="Arial"/>
                <w:sz w:val="14"/>
                <w:szCs w:val="14"/>
                <w:color w:val="4D4D4F"/>
              </w:rPr>
              <w:t>David H. Wang</w:t>
            </w:r>
          </w:p>
        </w:tc>
        <w:tc>
          <w:tcPr>
            <w:tcW w:w="1100" w:type="dxa"/>
            <w:vAlign w:val="bottom"/>
            <w:shd w:val="clear" w:color="auto" w:fill="B7E4FF"/>
          </w:tcPr>
          <w:p>
            <w:pPr>
              <w:jc w:val="center"/>
              <w:ind w:left="31"/>
              <w:spacing w:after="0"/>
              <w:rPr>
                <w:sz w:val="20"/>
                <w:szCs w:val="20"/>
                <w:color w:val="auto"/>
              </w:rPr>
            </w:pPr>
            <w:r>
              <w:rPr>
                <w:rFonts w:ascii="Arial" w:cs="Arial" w:eastAsia="Arial" w:hAnsi="Arial"/>
                <w:sz w:val="14"/>
                <w:szCs w:val="14"/>
                <w:color w:val="4D4D4F"/>
              </w:rPr>
              <w:t>2018</w:t>
            </w:r>
          </w:p>
        </w:tc>
        <w:tc>
          <w:tcPr>
            <w:tcW w:w="1080" w:type="dxa"/>
            <w:vAlign w:val="bottom"/>
            <w:shd w:val="clear" w:color="auto" w:fill="B7E4FF"/>
          </w:tcPr>
          <w:p>
            <w:pPr>
              <w:jc w:val="right"/>
              <w:ind w:right="153"/>
              <w:spacing w:after="0"/>
              <w:rPr>
                <w:sz w:val="20"/>
                <w:szCs w:val="20"/>
                <w:color w:val="auto"/>
              </w:rPr>
            </w:pPr>
            <w:r>
              <w:rPr>
                <w:rFonts w:ascii="Arial" w:cs="Arial" w:eastAsia="Arial" w:hAnsi="Arial"/>
                <w:sz w:val="14"/>
                <w:szCs w:val="14"/>
                <w:color w:val="4D4D4F"/>
              </w:rPr>
              <w:t>$10,667</w:t>
            </w:r>
          </w:p>
        </w:tc>
        <w:tc>
          <w:tcPr>
            <w:tcW w:w="1240" w:type="dxa"/>
            <w:vAlign w:val="bottom"/>
            <w:shd w:val="clear" w:color="auto" w:fill="B7E4FF"/>
          </w:tcPr>
          <w:p>
            <w:pPr>
              <w:jc w:val="right"/>
              <w:ind w:right="333"/>
              <w:spacing w:after="0"/>
              <w:rPr>
                <w:sz w:val="20"/>
                <w:szCs w:val="20"/>
                <w:color w:val="auto"/>
              </w:rPr>
            </w:pPr>
            <w:r>
              <w:rPr>
                <w:rFonts w:ascii="Arial" w:cs="Arial" w:eastAsia="Arial" w:hAnsi="Arial"/>
                <w:sz w:val="14"/>
                <w:szCs w:val="14"/>
                <w:color w:val="4D4D4F"/>
              </w:rPr>
              <w:t>$2,318</w:t>
            </w:r>
          </w:p>
        </w:tc>
        <w:tc>
          <w:tcPr>
            <w:tcW w:w="960" w:type="dxa"/>
            <w:vAlign w:val="bottom"/>
            <w:shd w:val="clear" w:color="auto" w:fill="B7E4FF"/>
          </w:tcPr>
          <w:p>
            <w:pPr>
              <w:jc w:val="right"/>
              <w:ind w:right="171"/>
              <w:spacing w:after="0"/>
              <w:rPr>
                <w:sz w:val="20"/>
                <w:szCs w:val="20"/>
                <w:color w:val="auto"/>
              </w:rPr>
            </w:pPr>
            <w:r>
              <w:rPr>
                <w:rFonts w:ascii="Arial" w:cs="Arial" w:eastAsia="Arial" w:hAnsi="Arial"/>
                <w:sz w:val="14"/>
                <w:szCs w:val="14"/>
                <w:color w:val="4D4D4F"/>
              </w:rPr>
              <w:t>$12,985</w:t>
            </w:r>
          </w:p>
        </w:tc>
      </w:tr>
      <w:tr>
        <w:trPr>
          <w:trHeight w:val="189"/>
        </w:trPr>
        <w:tc>
          <w:tcPr>
            <w:tcW w:w="5580" w:type="dxa"/>
            <w:vAlign w:val="bottom"/>
            <w:shd w:val="clear" w:color="auto" w:fill="B7E4FF"/>
          </w:tcPr>
          <w:p>
            <w:pPr>
              <w:spacing w:after="0"/>
              <w:rPr>
                <w:sz w:val="16"/>
                <w:szCs w:val="16"/>
                <w:color w:val="auto"/>
              </w:rPr>
            </w:pPr>
          </w:p>
        </w:tc>
        <w:tc>
          <w:tcPr>
            <w:tcW w:w="1100" w:type="dxa"/>
            <w:vAlign w:val="bottom"/>
            <w:shd w:val="clear" w:color="auto" w:fill="B7E4FF"/>
          </w:tcPr>
          <w:p>
            <w:pPr>
              <w:jc w:val="center"/>
              <w:ind w:left="31"/>
              <w:spacing w:after="0"/>
              <w:rPr>
                <w:sz w:val="20"/>
                <w:szCs w:val="20"/>
                <w:color w:val="auto"/>
              </w:rPr>
            </w:pPr>
            <w:r>
              <w:rPr>
                <w:rFonts w:ascii="Arial" w:cs="Arial" w:eastAsia="Arial" w:hAnsi="Arial"/>
                <w:sz w:val="14"/>
                <w:szCs w:val="14"/>
                <w:color w:val="4D4D4F"/>
              </w:rPr>
              <w:t>2017</w:t>
            </w:r>
          </w:p>
        </w:tc>
        <w:tc>
          <w:tcPr>
            <w:tcW w:w="1080" w:type="dxa"/>
            <w:vAlign w:val="bottom"/>
            <w:shd w:val="clear" w:color="auto" w:fill="B7E4FF"/>
          </w:tcPr>
          <w:p>
            <w:pPr>
              <w:jc w:val="right"/>
              <w:ind w:right="153"/>
              <w:spacing w:after="0"/>
              <w:rPr>
                <w:sz w:val="20"/>
                <w:szCs w:val="20"/>
                <w:color w:val="auto"/>
              </w:rPr>
            </w:pPr>
            <w:r>
              <w:rPr>
                <w:rFonts w:ascii="Arial" w:cs="Arial" w:eastAsia="Arial" w:hAnsi="Arial"/>
                <w:sz w:val="14"/>
                <w:szCs w:val="14"/>
                <w:color w:val="4D4D4F"/>
              </w:rPr>
              <w:t>11,463</w:t>
            </w:r>
          </w:p>
        </w:tc>
        <w:tc>
          <w:tcPr>
            <w:tcW w:w="1240" w:type="dxa"/>
            <w:vAlign w:val="bottom"/>
            <w:shd w:val="clear" w:color="auto" w:fill="B7E4FF"/>
          </w:tcPr>
          <w:p>
            <w:pPr>
              <w:jc w:val="right"/>
              <w:ind w:right="333"/>
              <w:spacing w:after="0"/>
              <w:rPr>
                <w:sz w:val="20"/>
                <w:szCs w:val="20"/>
                <w:color w:val="auto"/>
              </w:rPr>
            </w:pPr>
            <w:r>
              <w:rPr>
                <w:rFonts w:ascii="Arial" w:cs="Arial" w:eastAsia="Arial" w:hAnsi="Arial"/>
                <w:sz w:val="14"/>
                <w:szCs w:val="14"/>
                <w:color w:val="4D4D4F"/>
              </w:rPr>
              <w:t>2,603</w:t>
            </w:r>
          </w:p>
        </w:tc>
        <w:tc>
          <w:tcPr>
            <w:tcW w:w="960" w:type="dxa"/>
            <w:vAlign w:val="bottom"/>
            <w:shd w:val="clear" w:color="auto" w:fill="B7E4FF"/>
          </w:tcPr>
          <w:p>
            <w:pPr>
              <w:jc w:val="right"/>
              <w:ind w:right="171"/>
              <w:spacing w:after="0"/>
              <w:rPr>
                <w:sz w:val="20"/>
                <w:szCs w:val="20"/>
                <w:color w:val="auto"/>
              </w:rPr>
            </w:pPr>
            <w:r>
              <w:rPr>
                <w:rFonts w:ascii="Arial" w:cs="Arial" w:eastAsia="Arial" w:hAnsi="Arial"/>
                <w:sz w:val="14"/>
                <w:szCs w:val="14"/>
                <w:color w:val="4D4D4F"/>
              </w:rPr>
              <w:t>14,066</w:t>
            </w:r>
          </w:p>
        </w:tc>
      </w:tr>
      <w:tr>
        <w:trPr>
          <w:trHeight w:val="204"/>
        </w:trPr>
        <w:tc>
          <w:tcPr>
            <w:tcW w:w="5580" w:type="dxa"/>
            <w:vAlign w:val="bottom"/>
          </w:tcPr>
          <w:p>
            <w:pPr>
              <w:spacing w:after="0"/>
              <w:rPr>
                <w:sz w:val="20"/>
                <w:szCs w:val="20"/>
                <w:color w:val="auto"/>
              </w:rPr>
            </w:pPr>
            <w:r>
              <w:rPr>
                <w:rFonts w:ascii="Arial" w:cs="Arial" w:eastAsia="Arial" w:hAnsi="Arial"/>
                <w:sz w:val="14"/>
                <w:szCs w:val="14"/>
                <w:color w:val="4D4D4F"/>
              </w:rPr>
              <w:t>Sotheara Cheav</w:t>
            </w:r>
          </w:p>
        </w:tc>
        <w:tc>
          <w:tcPr>
            <w:tcW w:w="1100" w:type="dxa"/>
            <w:vAlign w:val="bottom"/>
          </w:tcPr>
          <w:p>
            <w:pPr>
              <w:jc w:val="center"/>
              <w:ind w:left="31"/>
              <w:spacing w:after="0"/>
              <w:rPr>
                <w:sz w:val="20"/>
                <w:szCs w:val="20"/>
                <w:color w:val="auto"/>
              </w:rPr>
            </w:pPr>
            <w:r>
              <w:rPr>
                <w:rFonts w:ascii="Arial" w:cs="Arial" w:eastAsia="Arial" w:hAnsi="Arial"/>
                <w:sz w:val="14"/>
                <w:szCs w:val="14"/>
                <w:color w:val="4D4D4F"/>
              </w:rPr>
              <w:t>2018</w:t>
            </w:r>
          </w:p>
        </w:tc>
        <w:tc>
          <w:tcPr>
            <w:tcW w:w="1080" w:type="dxa"/>
            <w:vAlign w:val="bottom"/>
          </w:tcPr>
          <w:p>
            <w:pPr>
              <w:jc w:val="right"/>
              <w:ind w:right="153"/>
              <w:spacing w:after="0"/>
              <w:rPr>
                <w:sz w:val="20"/>
                <w:szCs w:val="20"/>
                <w:color w:val="auto"/>
              </w:rPr>
            </w:pPr>
            <w:r>
              <w:rPr>
                <w:rFonts w:ascii="Arial" w:cs="Arial" w:eastAsia="Arial" w:hAnsi="Arial"/>
                <w:sz w:val="14"/>
                <w:szCs w:val="14"/>
                <w:color w:val="4D4D4F"/>
              </w:rPr>
              <w:t>10,667</w:t>
            </w:r>
          </w:p>
        </w:tc>
        <w:tc>
          <w:tcPr>
            <w:tcW w:w="1240" w:type="dxa"/>
            <w:vAlign w:val="bottom"/>
          </w:tcPr>
          <w:p>
            <w:pPr>
              <w:jc w:val="right"/>
              <w:ind w:right="333"/>
              <w:spacing w:after="0"/>
              <w:rPr>
                <w:sz w:val="20"/>
                <w:szCs w:val="20"/>
                <w:color w:val="auto"/>
              </w:rPr>
            </w:pPr>
            <w:r>
              <w:rPr>
                <w:rFonts w:ascii="Arial" w:cs="Arial" w:eastAsia="Arial" w:hAnsi="Arial"/>
                <w:sz w:val="14"/>
                <w:szCs w:val="14"/>
                <w:color w:val="4D4D4F"/>
              </w:rPr>
              <w:t>3,228</w:t>
            </w:r>
          </w:p>
        </w:tc>
        <w:tc>
          <w:tcPr>
            <w:tcW w:w="960" w:type="dxa"/>
            <w:vAlign w:val="bottom"/>
          </w:tcPr>
          <w:p>
            <w:pPr>
              <w:jc w:val="right"/>
              <w:ind w:right="171"/>
              <w:spacing w:after="0"/>
              <w:rPr>
                <w:sz w:val="20"/>
                <w:szCs w:val="20"/>
                <w:color w:val="auto"/>
              </w:rPr>
            </w:pPr>
            <w:r>
              <w:rPr>
                <w:rFonts w:ascii="Arial" w:cs="Arial" w:eastAsia="Arial" w:hAnsi="Arial"/>
                <w:sz w:val="14"/>
                <w:szCs w:val="14"/>
                <w:color w:val="4D4D4F"/>
              </w:rPr>
              <w:t>13,895</w:t>
            </w:r>
          </w:p>
        </w:tc>
      </w:tr>
      <w:tr>
        <w:trPr>
          <w:trHeight w:val="174"/>
        </w:trPr>
        <w:tc>
          <w:tcPr>
            <w:tcW w:w="5580" w:type="dxa"/>
            <w:vAlign w:val="bottom"/>
          </w:tcPr>
          <w:p>
            <w:pPr>
              <w:spacing w:after="0"/>
              <w:rPr>
                <w:sz w:val="15"/>
                <w:szCs w:val="15"/>
                <w:color w:val="auto"/>
              </w:rPr>
            </w:pPr>
          </w:p>
        </w:tc>
        <w:tc>
          <w:tcPr>
            <w:tcW w:w="1100" w:type="dxa"/>
            <w:vAlign w:val="bottom"/>
          </w:tcPr>
          <w:p>
            <w:pPr>
              <w:jc w:val="center"/>
              <w:ind w:left="31"/>
              <w:spacing w:after="0"/>
              <w:rPr>
                <w:sz w:val="20"/>
                <w:szCs w:val="20"/>
                <w:color w:val="auto"/>
              </w:rPr>
            </w:pPr>
            <w:r>
              <w:rPr>
                <w:rFonts w:ascii="Arial" w:cs="Arial" w:eastAsia="Arial" w:hAnsi="Arial"/>
                <w:sz w:val="14"/>
                <w:szCs w:val="14"/>
                <w:color w:val="4D4D4F"/>
              </w:rPr>
              <w:t>2017</w:t>
            </w:r>
          </w:p>
        </w:tc>
        <w:tc>
          <w:tcPr>
            <w:tcW w:w="1080" w:type="dxa"/>
            <w:vAlign w:val="bottom"/>
          </w:tcPr>
          <w:p>
            <w:pPr>
              <w:jc w:val="right"/>
              <w:ind w:right="153"/>
              <w:spacing w:after="0"/>
              <w:rPr>
                <w:sz w:val="20"/>
                <w:szCs w:val="20"/>
                <w:color w:val="auto"/>
              </w:rPr>
            </w:pPr>
            <w:r>
              <w:rPr>
                <w:rFonts w:ascii="Arial" w:cs="Arial" w:eastAsia="Arial" w:hAnsi="Arial"/>
                <w:sz w:val="14"/>
                <w:szCs w:val="14"/>
                <w:color w:val="4D4D4F"/>
              </w:rPr>
              <w:t>11,463</w:t>
            </w:r>
          </w:p>
        </w:tc>
        <w:tc>
          <w:tcPr>
            <w:tcW w:w="1240" w:type="dxa"/>
            <w:vAlign w:val="bottom"/>
          </w:tcPr>
          <w:p>
            <w:pPr>
              <w:jc w:val="right"/>
              <w:ind w:right="333"/>
              <w:spacing w:after="0"/>
              <w:rPr>
                <w:sz w:val="20"/>
                <w:szCs w:val="20"/>
                <w:color w:val="auto"/>
              </w:rPr>
            </w:pPr>
            <w:r>
              <w:rPr>
                <w:rFonts w:ascii="Arial" w:cs="Arial" w:eastAsia="Arial" w:hAnsi="Arial"/>
                <w:sz w:val="14"/>
                <w:szCs w:val="14"/>
                <w:color w:val="4D4D4F"/>
              </w:rPr>
              <w:t>3,100</w:t>
            </w:r>
          </w:p>
        </w:tc>
        <w:tc>
          <w:tcPr>
            <w:tcW w:w="960" w:type="dxa"/>
            <w:vAlign w:val="bottom"/>
          </w:tcPr>
          <w:p>
            <w:pPr>
              <w:jc w:val="right"/>
              <w:ind w:right="171"/>
              <w:spacing w:after="0"/>
              <w:rPr>
                <w:sz w:val="20"/>
                <w:szCs w:val="20"/>
                <w:color w:val="auto"/>
              </w:rPr>
            </w:pPr>
            <w:r>
              <w:rPr>
                <w:rFonts w:ascii="Arial" w:cs="Arial" w:eastAsia="Arial" w:hAnsi="Arial"/>
                <w:sz w:val="14"/>
                <w:szCs w:val="14"/>
                <w:color w:val="4D4D4F"/>
              </w:rPr>
              <w:t>14,563</w:t>
            </w:r>
          </w:p>
        </w:tc>
      </w:tr>
      <w:tr>
        <w:trPr>
          <w:trHeight w:val="189"/>
        </w:trPr>
        <w:tc>
          <w:tcPr>
            <w:tcW w:w="5580" w:type="dxa"/>
            <w:vAlign w:val="bottom"/>
            <w:shd w:val="clear" w:color="auto" w:fill="B7E4FF"/>
          </w:tcPr>
          <w:p>
            <w:pPr>
              <w:spacing w:after="0"/>
              <w:rPr>
                <w:sz w:val="20"/>
                <w:szCs w:val="20"/>
                <w:color w:val="auto"/>
              </w:rPr>
            </w:pPr>
            <w:r>
              <w:rPr>
                <w:rFonts w:ascii="Arial" w:cs="Arial" w:eastAsia="Arial" w:hAnsi="Arial"/>
                <w:sz w:val="14"/>
                <w:szCs w:val="14"/>
                <w:color w:val="4D4D4F"/>
              </w:rPr>
              <w:t>Jian Wang</w:t>
            </w:r>
          </w:p>
        </w:tc>
        <w:tc>
          <w:tcPr>
            <w:tcW w:w="1100" w:type="dxa"/>
            <w:vAlign w:val="bottom"/>
            <w:shd w:val="clear" w:color="auto" w:fill="B7E4FF"/>
          </w:tcPr>
          <w:p>
            <w:pPr>
              <w:jc w:val="center"/>
              <w:ind w:left="31"/>
              <w:spacing w:after="0"/>
              <w:rPr>
                <w:sz w:val="20"/>
                <w:szCs w:val="20"/>
                <w:color w:val="auto"/>
              </w:rPr>
            </w:pPr>
            <w:r>
              <w:rPr>
                <w:rFonts w:ascii="Arial" w:cs="Arial" w:eastAsia="Arial" w:hAnsi="Arial"/>
                <w:sz w:val="14"/>
                <w:szCs w:val="14"/>
                <w:color w:val="4D4D4F"/>
              </w:rPr>
              <w:t>2018</w:t>
            </w:r>
          </w:p>
        </w:tc>
        <w:tc>
          <w:tcPr>
            <w:tcW w:w="1080" w:type="dxa"/>
            <w:vAlign w:val="bottom"/>
            <w:shd w:val="clear" w:color="auto" w:fill="B7E4FF"/>
          </w:tcPr>
          <w:p>
            <w:pPr>
              <w:jc w:val="right"/>
              <w:ind w:right="153"/>
              <w:spacing w:after="0"/>
              <w:rPr>
                <w:sz w:val="20"/>
                <w:szCs w:val="20"/>
                <w:color w:val="auto"/>
              </w:rPr>
            </w:pPr>
            <w:r>
              <w:rPr>
                <w:rFonts w:ascii="Arial" w:cs="Arial" w:eastAsia="Arial" w:hAnsi="Arial"/>
                <w:sz w:val="14"/>
                <w:szCs w:val="14"/>
                <w:color w:val="4D4D4F"/>
              </w:rPr>
              <w:t>10,667</w:t>
            </w:r>
          </w:p>
        </w:tc>
        <w:tc>
          <w:tcPr>
            <w:tcW w:w="1240" w:type="dxa"/>
            <w:vAlign w:val="bottom"/>
            <w:shd w:val="clear" w:color="auto" w:fill="B7E4FF"/>
          </w:tcPr>
          <w:p>
            <w:pPr>
              <w:jc w:val="right"/>
              <w:ind w:right="333"/>
              <w:spacing w:after="0"/>
              <w:rPr>
                <w:sz w:val="20"/>
                <w:szCs w:val="20"/>
                <w:color w:val="auto"/>
              </w:rPr>
            </w:pPr>
            <w:r>
              <w:rPr>
                <w:rFonts w:ascii="Arial" w:cs="Arial" w:eastAsia="Arial" w:hAnsi="Arial"/>
                <w:sz w:val="14"/>
                <w:szCs w:val="14"/>
                <w:color w:val="4D4D4F"/>
              </w:rPr>
              <w:t>5,980</w:t>
            </w:r>
          </w:p>
        </w:tc>
        <w:tc>
          <w:tcPr>
            <w:tcW w:w="960" w:type="dxa"/>
            <w:vAlign w:val="bottom"/>
            <w:shd w:val="clear" w:color="auto" w:fill="B7E4FF"/>
          </w:tcPr>
          <w:p>
            <w:pPr>
              <w:jc w:val="right"/>
              <w:ind w:right="171"/>
              <w:spacing w:after="0"/>
              <w:rPr>
                <w:sz w:val="20"/>
                <w:szCs w:val="20"/>
                <w:color w:val="auto"/>
              </w:rPr>
            </w:pPr>
            <w:r>
              <w:rPr>
                <w:rFonts w:ascii="Arial" w:cs="Arial" w:eastAsia="Arial" w:hAnsi="Arial"/>
                <w:sz w:val="14"/>
                <w:szCs w:val="14"/>
                <w:color w:val="4D4D4F"/>
              </w:rPr>
              <w:t>16,647</w:t>
            </w:r>
          </w:p>
        </w:tc>
      </w:tr>
      <w:tr>
        <w:trPr>
          <w:trHeight w:val="189"/>
        </w:trPr>
        <w:tc>
          <w:tcPr>
            <w:tcW w:w="5580" w:type="dxa"/>
            <w:vAlign w:val="bottom"/>
            <w:shd w:val="clear" w:color="auto" w:fill="B7E4FF"/>
          </w:tcPr>
          <w:p>
            <w:pPr>
              <w:spacing w:after="0"/>
              <w:rPr>
                <w:sz w:val="16"/>
                <w:szCs w:val="16"/>
                <w:color w:val="auto"/>
              </w:rPr>
            </w:pPr>
          </w:p>
        </w:tc>
        <w:tc>
          <w:tcPr>
            <w:tcW w:w="1100" w:type="dxa"/>
            <w:vAlign w:val="bottom"/>
            <w:shd w:val="clear" w:color="auto" w:fill="B7E4FF"/>
          </w:tcPr>
          <w:p>
            <w:pPr>
              <w:jc w:val="center"/>
              <w:ind w:left="31"/>
              <w:spacing w:after="0"/>
              <w:rPr>
                <w:sz w:val="20"/>
                <w:szCs w:val="20"/>
                <w:color w:val="auto"/>
              </w:rPr>
            </w:pPr>
            <w:r>
              <w:rPr>
                <w:rFonts w:ascii="Arial" w:cs="Arial" w:eastAsia="Arial" w:hAnsi="Arial"/>
                <w:sz w:val="14"/>
                <w:szCs w:val="14"/>
                <w:color w:val="4D4D4F"/>
              </w:rPr>
              <w:t>2017</w:t>
            </w:r>
          </w:p>
        </w:tc>
        <w:tc>
          <w:tcPr>
            <w:tcW w:w="1080" w:type="dxa"/>
            <w:vAlign w:val="bottom"/>
            <w:shd w:val="clear" w:color="auto" w:fill="B7E4FF"/>
          </w:tcPr>
          <w:p>
            <w:pPr>
              <w:jc w:val="right"/>
              <w:ind w:right="153"/>
              <w:spacing w:after="0"/>
              <w:rPr>
                <w:sz w:val="20"/>
                <w:szCs w:val="20"/>
                <w:color w:val="auto"/>
              </w:rPr>
            </w:pPr>
            <w:r>
              <w:rPr>
                <w:rFonts w:ascii="Arial" w:cs="Arial" w:eastAsia="Arial" w:hAnsi="Arial"/>
                <w:sz w:val="14"/>
                <w:szCs w:val="14"/>
                <w:color w:val="4D4D4F"/>
              </w:rPr>
              <w:t>11,463</w:t>
            </w:r>
          </w:p>
        </w:tc>
        <w:tc>
          <w:tcPr>
            <w:tcW w:w="1240" w:type="dxa"/>
            <w:vAlign w:val="bottom"/>
            <w:shd w:val="clear" w:color="auto" w:fill="B7E4FF"/>
          </w:tcPr>
          <w:p>
            <w:pPr>
              <w:jc w:val="right"/>
              <w:ind w:right="333"/>
              <w:spacing w:after="0"/>
              <w:rPr>
                <w:sz w:val="20"/>
                <w:szCs w:val="20"/>
                <w:color w:val="auto"/>
              </w:rPr>
            </w:pPr>
            <w:r>
              <w:rPr>
                <w:rFonts w:ascii="Arial" w:cs="Arial" w:eastAsia="Arial" w:hAnsi="Arial"/>
                <w:sz w:val="14"/>
                <w:szCs w:val="14"/>
                <w:color w:val="4D4D4F"/>
              </w:rPr>
              <w:t>6,855</w:t>
            </w:r>
          </w:p>
        </w:tc>
        <w:tc>
          <w:tcPr>
            <w:tcW w:w="960" w:type="dxa"/>
            <w:vAlign w:val="bottom"/>
            <w:shd w:val="clear" w:color="auto" w:fill="B7E4FF"/>
          </w:tcPr>
          <w:p>
            <w:pPr>
              <w:jc w:val="right"/>
              <w:ind w:right="171"/>
              <w:spacing w:after="0"/>
              <w:rPr>
                <w:sz w:val="20"/>
                <w:szCs w:val="20"/>
                <w:color w:val="auto"/>
              </w:rPr>
            </w:pPr>
            <w:r>
              <w:rPr>
                <w:rFonts w:ascii="Arial" w:cs="Arial" w:eastAsia="Arial" w:hAnsi="Arial"/>
                <w:sz w:val="14"/>
                <w:szCs w:val="14"/>
                <w:color w:val="4D4D4F"/>
              </w:rPr>
              <w:t>18,318</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Narrative Explanation of the Summary Compensation Table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4D4D4F"/>
        </w:rPr>
        <w:t>The compensation paid to our named executive officers consists of the following components:</w:t>
      </w:r>
    </w:p>
    <w:p>
      <w:pPr>
        <w:spacing w:after="0" w:line="90"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4D4D4F"/>
        </w:rPr>
      </w:pPr>
      <w:r>
        <w:rPr>
          <w:rFonts w:ascii="Arial" w:cs="Arial" w:eastAsia="Arial" w:hAnsi="Arial"/>
          <w:sz w:val="18"/>
          <w:szCs w:val="18"/>
          <w:color w:val="4D4D4F"/>
        </w:rPr>
        <w:t>base salary;</w:t>
      </w:r>
    </w:p>
    <w:p>
      <w:pPr>
        <w:spacing w:after="0" w:line="49" w:lineRule="exact"/>
        <w:rPr>
          <w:rFonts w:ascii="Arial" w:cs="Arial" w:eastAsia="Arial" w:hAnsi="Arial"/>
          <w:sz w:val="18"/>
          <w:szCs w:val="18"/>
          <w:color w:val="4D4D4F"/>
        </w:rPr>
      </w:pPr>
    </w:p>
    <w:p>
      <w:pPr>
        <w:ind w:left="340" w:hanging="332"/>
        <w:spacing w:after="0"/>
        <w:tabs>
          <w:tab w:leader="none" w:pos="340" w:val="left"/>
        </w:tabs>
        <w:numPr>
          <w:ilvl w:val="0"/>
          <w:numId w:val="57"/>
        </w:numPr>
        <w:rPr>
          <w:rFonts w:ascii="Arial" w:cs="Arial" w:eastAsia="Arial" w:hAnsi="Arial"/>
          <w:sz w:val="18"/>
          <w:szCs w:val="18"/>
          <w:color w:val="4D4D4F"/>
        </w:rPr>
      </w:pPr>
      <w:r>
        <w:rPr>
          <w:rFonts w:ascii="Arial" w:cs="Arial" w:eastAsia="Arial" w:hAnsi="Arial"/>
          <w:sz w:val="18"/>
          <w:szCs w:val="18"/>
          <w:color w:val="4D4D4F"/>
        </w:rPr>
        <w:t>performance-based cash bonuses;</w:t>
      </w:r>
    </w:p>
    <w:p>
      <w:pPr>
        <w:spacing w:after="0" w:line="49" w:lineRule="exact"/>
        <w:rPr>
          <w:rFonts w:ascii="Arial" w:cs="Arial" w:eastAsia="Arial" w:hAnsi="Arial"/>
          <w:sz w:val="18"/>
          <w:szCs w:val="18"/>
          <w:color w:val="4D4D4F"/>
        </w:rPr>
      </w:pPr>
    </w:p>
    <w:p>
      <w:pPr>
        <w:ind w:left="340" w:hanging="332"/>
        <w:spacing w:after="0"/>
        <w:tabs>
          <w:tab w:leader="none" w:pos="340" w:val="left"/>
        </w:tabs>
        <w:numPr>
          <w:ilvl w:val="0"/>
          <w:numId w:val="57"/>
        </w:numPr>
        <w:rPr>
          <w:rFonts w:ascii="Arial" w:cs="Arial" w:eastAsia="Arial" w:hAnsi="Arial"/>
          <w:sz w:val="18"/>
          <w:szCs w:val="18"/>
          <w:color w:val="4D4D4F"/>
        </w:rPr>
      </w:pPr>
      <w:r>
        <w:rPr>
          <w:rFonts w:ascii="Arial" w:cs="Arial" w:eastAsia="Arial" w:hAnsi="Arial"/>
          <w:sz w:val="18"/>
          <w:szCs w:val="18"/>
          <w:color w:val="4D4D4F"/>
        </w:rPr>
        <w:t>long-term incentive compensation in the form of stock options; and</w:t>
      </w:r>
    </w:p>
    <w:p>
      <w:pPr>
        <w:spacing w:after="0" w:line="49" w:lineRule="exact"/>
        <w:rPr>
          <w:rFonts w:ascii="Arial" w:cs="Arial" w:eastAsia="Arial" w:hAnsi="Arial"/>
          <w:sz w:val="18"/>
          <w:szCs w:val="18"/>
          <w:color w:val="4D4D4F"/>
        </w:rPr>
      </w:pPr>
    </w:p>
    <w:p>
      <w:pPr>
        <w:ind w:left="340" w:hanging="332"/>
        <w:spacing w:after="0"/>
        <w:tabs>
          <w:tab w:leader="none" w:pos="340" w:val="left"/>
        </w:tabs>
        <w:numPr>
          <w:ilvl w:val="0"/>
          <w:numId w:val="57"/>
        </w:numPr>
        <w:rPr>
          <w:rFonts w:ascii="Arial" w:cs="Arial" w:eastAsia="Arial" w:hAnsi="Arial"/>
          <w:sz w:val="18"/>
          <w:szCs w:val="18"/>
          <w:color w:val="4D4D4F"/>
        </w:rPr>
      </w:pPr>
      <w:r>
        <w:rPr>
          <w:rFonts w:ascii="Arial" w:cs="Arial" w:eastAsia="Arial" w:hAnsi="Arial"/>
          <w:sz w:val="18"/>
          <w:szCs w:val="18"/>
          <w:color w:val="4D4D4F"/>
        </w:rPr>
        <w:t>benefits consisting principally of housing subsidies and health and welfare plan contributions.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Annual base salaries of our named executive officers in 2018 were as follows: David Wang, $189,373 (1,253,649 RMB); Sotheara Cheav, $139,824 (925,634 RMB); and Jian Wang, $140,059 (927,191 RMB). Annual base salaries of our named executive officers in 2017 were as follows: David Wang, $169,192 (1,156,260 RMB); Sotheara Cheav $123,345 (842,941 RMB); and Jian Wang, $122,008 (833,804 RMB).</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We do not have any established policy with regard to cash incentive bonuses for our executive officers. The compensation committee may decide to pay cash incentive bonuses to compensate executive officers for the achievement of specific business objectives, profitability, and individual performance and objectives established by the compensation committee.</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We offer stock options and restricted shares to our employees, including our named executive officers, as the long-term incentive component of our compensation program. Our stock options allow our employees to purchase shares of Class A common stock at a price equal to the fair market value of the Class A common stock on the date of grant. Our stock options generally vest as to 25% of the total number of option shares on the first anniversary of the award and in equal monthly installments over the following 36 months, subject to accelerated vesting in full upon the occurrence of a defined change in control of our company.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Outstanding Equity Awards at December 31, 2018</w:t>
      </w:r>
    </w:p>
    <w:p>
      <w:pPr>
        <w:spacing w:after="0" w:line="19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4D4D4F"/>
        </w:rPr>
        <w:t>The following table sets forth information regarding each unexercised option held by each of our named executive officers as of December 31, 2018:</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shd w:val="clear" w:color="auto" w:fill="003E64"/>
          </w:tcPr>
          <w:p>
            <w:pPr>
              <w:spacing w:after="0"/>
              <w:rPr>
                <w:sz w:val="18"/>
                <w:szCs w:val="18"/>
                <w:color w:val="auto"/>
              </w:rPr>
            </w:pPr>
          </w:p>
        </w:tc>
        <w:tc>
          <w:tcPr>
            <w:tcW w:w="180" w:type="dxa"/>
            <w:vAlign w:val="bottom"/>
            <w:shd w:val="clear" w:color="auto" w:fill="003E64"/>
          </w:tcPr>
          <w:p>
            <w:pPr>
              <w:spacing w:after="0"/>
              <w:rPr>
                <w:sz w:val="18"/>
                <w:szCs w:val="18"/>
                <w:color w:val="auto"/>
              </w:rPr>
            </w:pPr>
          </w:p>
        </w:tc>
        <w:tc>
          <w:tcPr>
            <w:tcW w:w="3620" w:type="dxa"/>
            <w:vAlign w:val="bottom"/>
            <w:gridSpan w:val="2"/>
            <w:vMerge w:val="restart"/>
            <w:shd w:val="clear" w:color="auto" w:fill="003E64"/>
          </w:tcPr>
          <w:p>
            <w:pPr>
              <w:jc w:val="center"/>
              <w:ind w:left="236"/>
              <w:spacing w:after="0"/>
              <w:rPr>
                <w:sz w:val="20"/>
                <w:szCs w:val="20"/>
                <w:color w:val="auto"/>
              </w:rPr>
            </w:pPr>
            <w:r>
              <w:rPr>
                <w:rFonts w:ascii="Arial" w:cs="Arial" w:eastAsia="Arial" w:hAnsi="Arial"/>
                <w:sz w:val="14"/>
                <w:szCs w:val="14"/>
                <w:b w:val="1"/>
                <w:bCs w:val="1"/>
                <w:color w:val="FFFFFF"/>
              </w:rPr>
              <w:t>Number of Securities Underlying</w:t>
            </w:r>
          </w:p>
        </w:tc>
        <w:tc>
          <w:tcPr>
            <w:tcW w:w="2340" w:type="dxa"/>
            <w:vAlign w:val="bottom"/>
            <w:shd w:val="clear" w:color="auto" w:fill="003E64"/>
          </w:tcPr>
          <w:p>
            <w:pPr>
              <w:ind w:left="180"/>
              <w:spacing w:after="0"/>
              <w:rPr>
                <w:sz w:val="20"/>
                <w:szCs w:val="20"/>
                <w:color w:val="auto"/>
              </w:rPr>
            </w:pPr>
            <w:r>
              <w:rPr>
                <w:rFonts w:ascii="Arial" w:cs="Arial" w:eastAsia="Arial" w:hAnsi="Arial"/>
                <w:sz w:val="14"/>
                <w:szCs w:val="14"/>
                <w:b w:val="1"/>
                <w:bCs w:val="1"/>
                <w:color w:val="FFFFFF"/>
              </w:rPr>
              <w:t>Option Awards</w:t>
            </w:r>
          </w:p>
        </w:tc>
        <w:tc>
          <w:tcPr>
            <w:tcW w:w="2660" w:type="dxa"/>
            <w:vAlign w:val="bottom"/>
            <w:shd w:val="clear" w:color="auto" w:fill="003E64"/>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003E64"/>
          </w:tcPr>
          <w:p>
            <w:pPr>
              <w:spacing w:after="0"/>
              <w:rPr>
                <w:sz w:val="14"/>
                <w:szCs w:val="14"/>
                <w:color w:val="auto"/>
              </w:rPr>
            </w:pPr>
          </w:p>
        </w:tc>
        <w:tc>
          <w:tcPr>
            <w:tcW w:w="180" w:type="dxa"/>
            <w:vAlign w:val="bottom"/>
            <w:shd w:val="clear" w:color="auto" w:fill="003E64"/>
          </w:tcPr>
          <w:p>
            <w:pPr>
              <w:spacing w:after="0"/>
              <w:rPr>
                <w:sz w:val="14"/>
                <w:szCs w:val="14"/>
                <w:color w:val="auto"/>
              </w:rPr>
            </w:pPr>
          </w:p>
        </w:tc>
        <w:tc>
          <w:tcPr>
            <w:tcW w:w="3620" w:type="dxa"/>
            <w:vAlign w:val="bottom"/>
            <w:gridSpan w:val="2"/>
            <w:vMerge w:val="continue"/>
            <w:shd w:val="clear" w:color="auto" w:fill="003E64"/>
          </w:tcPr>
          <w:p>
            <w:pPr>
              <w:spacing w:after="0"/>
              <w:rPr>
                <w:sz w:val="14"/>
                <w:szCs w:val="14"/>
                <w:color w:val="auto"/>
              </w:rPr>
            </w:pPr>
          </w:p>
        </w:tc>
        <w:tc>
          <w:tcPr>
            <w:tcW w:w="2340" w:type="dxa"/>
            <w:vAlign w:val="bottom"/>
            <w:shd w:val="clear" w:color="auto" w:fill="003E64"/>
          </w:tcPr>
          <w:p>
            <w:pPr>
              <w:spacing w:after="0"/>
              <w:rPr>
                <w:sz w:val="14"/>
                <w:szCs w:val="14"/>
                <w:color w:val="auto"/>
              </w:rPr>
            </w:pPr>
          </w:p>
        </w:tc>
        <w:tc>
          <w:tcPr>
            <w:tcW w:w="2660" w:type="dxa"/>
            <w:vAlign w:val="bottom"/>
            <w:shd w:val="clear" w:color="auto" w:fill="003E64"/>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003E64"/>
          </w:tcPr>
          <w:p>
            <w:pPr>
              <w:spacing w:after="0"/>
              <w:rPr>
                <w:sz w:val="15"/>
                <w:szCs w:val="15"/>
                <w:color w:val="auto"/>
              </w:rPr>
            </w:pPr>
          </w:p>
        </w:tc>
        <w:tc>
          <w:tcPr>
            <w:tcW w:w="180" w:type="dxa"/>
            <w:vAlign w:val="bottom"/>
            <w:shd w:val="clear" w:color="auto" w:fill="003E64"/>
          </w:tcPr>
          <w:p>
            <w:pPr>
              <w:spacing w:after="0"/>
              <w:rPr>
                <w:sz w:val="15"/>
                <w:szCs w:val="15"/>
                <w:color w:val="auto"/>
              </w:rPr>
            </w:pPr>
          </w:p>
        </w:tc>
        <w:tc>
          <w:tcPr>
            <w:tcW w:w="3620" w:type="dxa"/>
            <w:vAlign w:val="bottom"/>
            <w:gridSpan w:val="2"/>
            <w:shd w:val="clear" w:color="auto" w:fill="003E64"/>
          </w:tcPr>
          <w:p>
            <w:pPr>
              <w:jc w:val="center"/>
              <w:ind w:left="236"/>
              <w:spacing w:after="0"/>
              <w:rPr>
                <w:sz w:val="20"/>
                <w:szCs w:val="20"/>
                <w:color w:val="auto"/>
              </w:rPr>
            </w:pPr>
            <w:r>
              <w:rPr>
                <w:rFonts w:ascii="Arial" w:cs="Arial" w:eastAsia="Arial" w:hAnsi="Arial"/>
                <w:sz w:val="14"/>
                <w:szCs w:val="14"/>
                <w:b w:val="1"/>
                <w:bCs w:val="1"/>
                <w:color w:val="FFFFFF"/>
              </w:rPr>
              <w:t>Unexercised Options</w:t>
            </w:r>
          </w:p>
        </w:tc>
        <w:tc>
          <w:tcPr>
            <w:tcW w:w="2340" w:type="dxa"/>
            <w:vAlign w:val="bottom"/>
            <w:shd w:val="clear" w:color="auto" w:fill="003E64"/>
          </w:tcPr>
          <w:p>
            <w:pPr>
              <w:spacing w:after="0"/>
              <w:rPr>
                <w:sz w:val="15"/>
                <w:szCs w:val="15"/>
                <w:color w:val="auto"/>
              </w:rPr>
            </w:pPr>
          </w:p>
        </w:tc>
        <w:tc>
          <w:tcPr>
            <w:tcW w:w="2660" w:type="dxa"/>
            <w:vAlign w:val="bottom"/>
            <w:shd w:val="clear" w:color="auto" w:fill="003E64"/>
          </w:tcPr>
          <w:p>
            <w:pPr>
              <w:ind w:left="180"/>
              <w:spacing w:after="0"/>
              <w:rPr>
                <w:sz w:val="20"/>
                <w:szCs w:val="20"/>
                <w:color w:val="auto"/>
              </w:rPr>
            </w:pPr>
            <w:r>
              <w:rPr>
                <w:rFonts w:ascii="Arial" w:cs="Arial" w:eastAsia="Arial" w:hAnsi="Arial"/>
                <w:sz w:val="14"/>
                <w:szCs w:val="14"/>
                <w:b w:val="1"/>
                <w:bCs w:val="1"/>
                <w:color w:val="FFFFFF"/>
              </w:rPr>
              <w:t>Option</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003E64"/>
            </w:tcBorders>
            <w:shd w:val="clear" w:color="auto" w:fill="003E64"/>
          </w:tcPr>
          <w:p>
            <w:pPr>
              <w:spacing w:after="0"/>
              <w:rPr>
                <w:sz w:val="20"/>
                <w:szCs w:val="20"/>
                <w:color w:val="auto"/>
              </w:rPr>
            </w:pPr>
            <w:r>
              <w:rPr>
                <w:rFonts w:ascii="Arial" w:cs="Arial" w:eastAsia="Arial" w:hAnsi="Arial"/>
                <w:sz w:val="14"/>
                <w:szCs w:val="14"/>
                <w:b w:val="1"/>
                <w:bCs w:val="1"/>
                <w:color w:val="FFFFFF"/>
              </w:rPr>
              <w:t>Name</w:t>
            </w:r>
          </w:p>
        </w:tc>
        <w:tc>
          <w:tcPr>
            <w:tcW w:w="180" w:type="dxa"/>
            <w:vAlign w:val="bottom"/>
            <w:tcBorders>
              <w:bottom w:val="single" w:sz="8" w:color="003E64"/>
            </w:tcBorders>
            <w:shd w:val="clear" w:color="auto" w:fill="003E64"/>
          </w:tcPr>
          <w:p>
            <w:pPr>
              <w:spacing w:after="0"/>
              <w:rPr>
                <w:sz w:val="19"/>
                <w:szCs w:val="19"/>
                <w:color w:val="auto"/>
              </w:rPr>
            </w:pPr>
          </w:p>
        </w:tc>
        <w:tc>
          <w:tcPr>
            <w:tcW w:w="1580" w:type="dxa"/>
            <w:vAlign w:val="bottom"/>
            <w:tcBorders>
              <w:bottom w:val="single" w:sz="8" w:color="003E64"/>
            </w:tcBorders>
            <w:shd w:val="clear" w:color="auto" w:fill="003E64"/>
          </w:tcPr>
          <w:p>
            <w:pPr>
              <w:ind w:left="300"/>
              <w:spacing w:after="0"/>
              <w:rPr>
                <w:sz w:val="20"/>
                <w:szCs w:val="20"/>
                <w:color w:val="auto"/>
              </w:rPr>
            </w:pPr>
            <w:r>
              <w:rPr>
                <w:rFonts w:ascii="Arial" w:cs="Arial" w:eastAsia="Arial" w:hAnsi="Arial"/>
                <w:sz w:val="14"/>
                <w:szCs w:val="14"/>
                <w:b w:val="1"/>
                <w:bCs w:val="1"/>
                <w:color w:val="FFFFFF"/>
              </w:rPr>
              <w:t>Exercisable(#)</w:t>
            </w:r>
          </w:p>
        </w:tc>
        <w:tc>
          <w:tcPr>
            <w:tcW w:w="2040" w:type="dxa"/>
            <w:vAlign w:val="bottom"/>
            <w:tcBorders>
              <w:bottom w:val="single" w:sz="8" w:color="003E64"/>
            </w:tcBorders>
            <w:shd w:val="clear" w:color="auto" w:fill="003E64"/>
          </w:tcPr>
          <w:p>
            <w:pPr>
              <w:ind w:left="700"/>
              <w:spacing w:after="0"/>
              <w:rPr>
                <w:sz w:val="20"/>
                <w:szCs w:val="20"/>
                <w:color w:val="auto"/>
              </w:rPr>
            </w:pPr>
            <w:r>
              <w:rPr>
                <w:rFonts w:ascii="Arial" w:cs="Arial" w:eastAsia="Arial" w:hAnsi="Arial"/>
                <w:sz w:val="14"/>
                <w:szCs w:val="14"/>
                <w:b w:val="1"/>
                <w:bCs w:val="1"/>
                <w:color w:val="FFFFFF"/>
              </w:rPr>
              <w:t>Unexercisable(#)</w:t>
            </w:r>
          </w:p>
        </w:tc>
        <w:tc>
          <w:tcPr>
            <w:tcW w:w="2340" w:type="dxa"/>
            <w:vAlign w:val="bottom"/>
            <w:tcBorders>
              <w:bottom w:val="single" w:sz="8" w:color="003E64"/>
            </w:tcBorders>
            <w:shd w:val="clear" w:color="auto" w:fill="003E64"/>
          </w:tcPr>
          <w:p>
            <w:pPr>
              <w:ind w:left="1000"/>
              <w:spacing w:after="0"/>
              <w:rPr>
                <w:sz w:val="20"/>
                <w:szCs w:val="20"/>
                <w:color w:val="auto"/>
              </w:rPr>
            </w:pPr>
            <w:r>
              <w:rPr>
                <w:rFonts w:ascii="Arial" w:cs="Arial" w:eastAsia="Arial" w:hAnsi="Arial"/>
                <w:sz w:val="14"/>
                <w:szCs w:val="14"/>
                <w:b w:val="1"/>
                <w:bCs w:val="1"/>
                <w:color w:val="FFFFFF"/>
              </w:rPr>
              <w:t>Exercise Price($)</w:t>
            </w:r>
          </w:p>
        </w:tc>
        <w:tc>
          <w:tcPr>
            <w:tcW w:w="2660" w:type="dxa"/>
            <w:vAlign w:val="bottom"/>
            <w:tcBorders>
              <w:bottom w:val="single" w:sz="8" w:color="003E64"/>
            </w:tcBorders>
            <w:shd w:val="clear" w:color="auto" w:fill="003E64"/>
          </w:tcPr>
          <w:p>
            <w:pPr>
              <w:jc w:val="center"/>
              <w:ind w:left="394"/>
              <w:spacing w:after="0"/>
              <w:rPr>
                <w:sz w:val="20"/>
                <w:szCs w:val="20"/>
                <w:color w:val="auto"/>
              </w:rPr>
            </w:pPr>
            <w:r>
              <w:rPr>
                <w:rFonts w:ascii="Arial" w:cs="Arial" w:eastAsia="Arial" w:hAnsi="Arial"/>
                <w:sz w:val="14"/>
                <w:szCs w:val="14"/>
                <w:b w:val="1"/>
                <w:bCs w:val="1"/>
                <w:color w:val="FFFFFF"/>
              </w:rPr>
              <w:t>Expiration Date</w:t>
            </w:r>
          </w:p>
        </w:tc>
        <w:tc>
          <w:tcPr>
            <w:tcW w:w="0" w:type="dxa"/>
            <w:vAlign w:val="bottom"/>
          </w:tcPr>
          <w:p>
            <w:pPr>
              <w:spacing w:after="0"/>
              <w:rPr>
                <w:sz w:val="1"/>
                <w:szCs w:val="1"/>
                <w:color w:val="auto"/>
              </w:rPr>
            </w:pPr>
          </w:p>
        </w:tc>
      </w:tr>
      <w:tr>
        <w:trPr>
          <w:trHeight w:val="201"/>
        </w:trPr>
        <w:tc>
          <w:tcPr>
            <w:tcW w:w="2620" w:type="dxa"/>
            <w:vAlign w:val="bottom"/>
            <w:shd w:val="clear" w:color="auto" w:fill="B7E4FF"/>
          </w:tcPr>
          <w:p>
            <w:pPr>
              <w:spacing w:after="0" w:line="201" w:lineRule="exact"/>
              <w:rPr>
                <w:sz w:val="20"/>
                <w:szCs w:val="20"/>
                <w:color w:val="auto"/>
              </w:rPr>
            </w:pPr>
            <w:r>
              <w:rPr>
                <w:rFonts w:ascii="Arial" w:cs="Arial" w:eastAsia="Arial" w:hAnsi="Arial"/>
                <w:sz w:val="18"/>
                <w:szCs w:val="18"/>
                <w:color w:val="4D4D4F"/>
              </w:rPr>
              <w:t>David H. Wang</w:t>
            </w:r>
          </w:p>
        </w:tc>
        <w:tc>
          <w:tcPr>
            <w:tcW w:w="180" w:type="dxa"/>
            <w:vAlign w:val="bottom"/>
            <w:shd w:val="clear" w:color="auto" w:fill="B7E4FF"/>
          </w:tcPr>
          <w:p>
            <w:pPr>
              <w:spacing w:after="0"/>
              <w:rPr>
                <w:sz w:val="17"/>
                <w:szCs w:val="17"/>
                <w:color w:val="auto"/>
              </w:rPr>
            </w:pPr>
          </w:p>
        </w:tc>
        <w:tc>
          <w:tcPr>
            <w:tcW w:w="1580" w:type="dxa"/>
            <w:vAlign w:val="bottom"/>
            <w:shd w:val="clear" w:color="auto" w:fill="B7E4FF"/>
          </w:tcPr>
          <w:p>
            <w:pPr>
              <w:jc w:val="center"/>
              <w:spacing w:after="0" w:line="201" w:lineRule="exact"/>
              <w:rPr>
                <w:sz w:val="20"/>
                <w:szCs w:val="20"/>
                <w:color w:val="auto"/>
              </w:rPr>
            </w:pPr>
            <w:r>
              <w:rPr>
                <w:rFonts w:ascii="Arial" w:cs="Arial" w:eastAsia="Arial" w:hAnsi="Arial"/>
                <w:sz w:val="18"/>
                <w:szCs w:val="18"/>
                <w:color w:val="4D4D4F"/>
              </w:rPr>
              <w:t>300,000</w:t>
            </w:r>
          </w:p>
        </w:tc>
        <w:tc>
          <w:tcPr>
            <w:tcW w:w="2040" w:type="dxa"/>
            <w:vAlign w:val="bottom"/>
            <w:shd w:val="clear" w:color="auto" w:fill="B7E4FF"/>
          </w:tcPr>
          <w:p>
            <w:pPr>
              <w:jc w:val="center"/>
              <w:ind w:left="412"/>
              <w:spacing w:after="0" w:line="201" w:lineRule="exact"/>
              <w:rPr>
                <w:sz w:val="20"/>
                <w:szCs w:val="20"/>
                <w:color w:val="auto"/>
              </w:rPr>
            </w:pPr>
            <w:r>
              <w:rPr>
                <w:rFonts w:ascii="Arial" w:cs="Arial" w:eastAsia="Arial" w:hAnsi="Arial"/>
                <w:sz w:val="18"/>
                <w:szCs w:val="18"/>
                <w:color w:val="4D4D4F"/>
                <w:w w:val="99"/>
              </w:rPr>
              <w:t>—</w:t>
            </w:r>
          </w:p>
        </w:tc>
        <w:tc>
          <w:tcPr>
            <w:tcW w:w="2340" w:type="dxa"/>
            <w:vAlign w:val="bottom"/>
            <w:shd w:val="clear" w:color="auto" w:fill="B7E4FF"/>
          </w:tcPr>
          <w:p>
            <w:pPr>
              <w:jc w:val="center"/>
              <w:ind w:left="734"/>
              <w:spacing w:after="0" w:line="201" w:lineRule="exact"/>
              <w:rPr>
                <w:sz w:val="20"/>
                <w:szCs w:val="20"/>
                <w:color w:val="auto"/>
              </w:rPr>
            </w:pPr>
            <w:r>
              <w:rPr>
                <w:rFonts w:ascii="Arial" w:cs="Arial" w:eastAsia="Arial" w:hAnsi="Arial"/>
                <w:sz w:val="18"/>
                <w:szCs w:val="18"/>
                <w:color w:val="4D4D4F"/>
                <w:w w:val="97"/>
              </w:rPr>
              <w:t>$0.75</w:t>
            </w:r>
          </w:p>
        </w:tc>
        <w:tc>
          <w:tcPr>
            <w:tcW w:w="2660" w:type="dxa"/>
            <w:vAlign w:val="bottom"/>
            <w:shd w:val="clear" w:color="auto" w:fill="B7E4FF"/>
          </w:tcPr>
          <w:p>
            <w:pPr>
              <w:jc w:val="center"/>
              <w:ind w:left="394"/>
              <w:spacing w:after="0" w:line="201" w:lineRule="exact"/>
              <w:rPr>
                <w:sz w:val="20"/>
                <w:szCs w:val="20"/>
                <w:color w:val="auto"/>
              </w:rPr>
            </w:pPr>
            <w:r>
              <w:rPr>
                <w:rFonts w:ascii="Arial" w:cs="Arial" w:eastAsia="Arial" w:hAnsi="Arial"/>
                <w:sz w:val="18"/>
                <w:szCs w:val="18"/>
                <w:color w:val="4D4D4F"/>
                <w:w w:val="99"/>
              </w:rPr>
              <w:t>05/01/21</w:t>
            </w:r>
          </w:p>
        </w:tc>
        <w:tc>
          <w:tcPr>
            <w:tcW w:w="0" w:type="dxa"/>
            <w:vAlign w:val="bottom"/>
          </w:tcPr>
          <w:p>
            <w:pPr>
              <w:spacing w:after="0"/>
              <w:rPr>
                <w:sz w:val="1"/>
                <w:szCs w:val="1"/>
                <w:color w:val="auto"/>
              </w:rPr>
            </w:pPr>
          </w:p>
        </w:tc>
      </w:tr>
      <w:tr>
        <w:trPr>
          <w:trHeight w:val="202"/>
        </w:trPr>
        <w:tc>
          <w:tcPr>
            <w:tcW w:w="2620" w:type="dxa"/>
            <w:vAlign w:val="bottom"/>
            <w:shd w:val="clear" w:color="auto" w:fill="B7E4FF"/>
          </w:tcPr>
          <w:p>
            <w:pPr>
              <w:spacing w:after="0"/>
              <w:rPr>
                <w:sz w:val="17"/>
                <w:szCs w:val="17"/>
                <w:color w:val="auto"/>
              </w:rPr>
            </w:pPr>
          </w:p>
        </w:tc>
        <w:tc>
          <w:tcPr>
            <w:tcW w:w="180" w:type="dxa"/>
            <w:vAlign w:val="bottom"/>
            <w:shd w:val="clear" w:color="auto" w:fill="B7E4FF"/>
          </w:tcPr>
          <w:p>
            <w:pPr>
              <w:spacing w:after="0"/>
              <w:rPr>
                <w:sz w:val="17"/>
                <w:szCs w:val="17"/>
                <w:color w:val="auto"/>
              </w:rPr>
            </w:pPr>
          </w:p>
        </w:tc>
        <w:tc>
          <w:tcPr>
            <w:tcW w:w="1580" w:type="dxa"/>
            <w:vAlign w:val="bottom"/>
            <w:shd w:val="clear" w:color="auto" w:fill="B7E4FF"/>
          </w:tcPr>
          <w:p>
            <w:pPr>
              <w:jc w:val="center"/>
              <w:spacing w:after="0" w:line="202" w:lineRule="exact"/>
              <w:rPr>
                <w:sz w:val="20"/>
                <w:szCs w:val="20"/>
                <w:color w:val="auto"/>
              </w:rPr>
            </w:pPr>
            <w:r>
              <w:rPr>
                <w:rFonts w:ascii="Arial" w:cs="Arial" w:eastAsia="Arial" w:hAnsi="Arial"/>
                <w:sz w:val="18"/>
                <w:szCs w:val="18"/>
                <w:color w:val="4D4D4F"/>
              </w:rPr>
              <w:t>366,667</w:t>
            </w:r>
          </w:p>
        </w:tc>
        <w:tc>
          <w:tcPr>
            <w:tcW w:w="2040" w:type="dxa"/>
            <w:vAlign w:val="bottom"/>
            <w:shd w:val="clear" w:color="auto" w:fill="B7E4FF"/>
          </w:tcPr>
          <w:p>
            <w:pPr>
              <w:jc w:val="center"/>
              <w:ind w:left="412"/>
              <w:spacing w:after="0" w:line="202" w:lineRule="exact"/>
              <w:rPr>
                <w:sz w:val="20"/>
                <w:szCs w:val="20"/>
                <w:color w:val="auto"/>
              </w:rPr>
            </w:pPr>
            <w:r>
              <w:rPr>
                <w:rFonts w:ascii="Arial" w:cs="Arial" w:eastAsia="Arial" w:hAnsi="Arial"/>
                <w:sz w:val="18"/>
                <w:szCs w:val="18"/>
                <w:color w:val="4D4D4F"/>
                <w:w w:val="98"/>
              </w:rPr>
              <w:t>33,333</w:t>
            </w:r>
          </w:p>
        </w:tc>
        <w:tc>
          <w:tcPr>
            <w:tcW w:w="2340" w:type="dxa"/>
            <w:vAlign w:val="bottom"/>
            <w:shd w:val="clear" w:color="auto" w:fill="B7E4FF"/>
          </w:tcPr>
          <w:p>
            <w:pPr>
              <w:jc w:val="center"/>
              <w:ind w:left="734"/>
              <w:spacing w:after="0" w:line="202" w:lineRule="exact"/>
              <w:rPr>
                <w:sz w:val="20"/>
                <w:szCs w:val="20"/>
                <w:color w:val="auto"/>
              </w:rPr>
            </w:pPr>
            <w:r>
              <w:rPr>
                <w:rFonts w:ascii="Arial" w:cs="Arial" w:eastAsia="Arial" w:hAnsi="Arial"/>
                <w:sz w:val="18"/>
                <w:szCs w:val="18"/>
                <w:color w:val="4D4D4F"/>
              </w:rPr>
              <w:t>1.50</w:t>
            </w:r>
          </w:p>
        </w:tc>
        <w:tc>
          <w:tcPr>
            <w:tcW w:w="2660" w:type="dxa"/>
            <w:vAlign w:val="bottom"/>
            <w:shd w:val="clear" w:color="auto" w:fill="B7E4FF"/>
          </w:tcPr>
          <w:p>
            <w:pPr>
              <w:jc w:val="center"/>
              <w:ind w:left="394"/>
              <w:spacing w:after="0" w:line="202" w:lineRule="exact"/>
              <w:rPr>
                <w:sz w:val="20"/>
                <w:szCs w:val="20"/>
                <w:color w:val="auto"/>
              </w:rPr>
            </w:pPr>
            <w:r>
              <w:rPr>
                <w:rFonts w:ascii="Arial" w:cs="Arial" w:eastAsia="Arial" w:hAnsi="Arial"/>
                <w:sz w:val="18"/>
                <w:szCs w:val="18"/>
                <w:color w:val="4D4D4F"/>
                <w:w w:val="99"/>
              </w:rPr>
              <w:t>05/01/25</w:t>
            </w:r>
          </w:p>
        </w:tc>
        <w:tc>
          <w:tcPr>
            <w:tcW w:w="0" w:type="dxa"/>
            <w:vAlign w:val="bottom"/>
          </w:tcPr>
          <w:p>
            <w:pPr>
              <w:spacing w:after="0"/>
              <w:rPr>
                <w:sz w:val="1"/>
                <w:szCs w:val="1"/>
                <w:color w:val="auto"/>
              </w:rPr>
            </w:pPr>
          </w:p>
        </w:tc>
      </w:tr>
      <w:tr>
        <w:trPr>
          <w:trHeight w:val="203"/>
        </w:trPr>
        <w:tc>
          <w:tcPr>
            <w:tcW w:w="2620" w:type="dxa"/>
            <w:vAlign w:val="bottom"/>
            <w:shd w:val="clear" w:color="auto" w:fill="B7E4FF"/>
          </w:tcPr>
          <w:p>
            <w:pPr>
              <w:spacing w:after="0"/>
              <w:rPr>
                <w:sz w:val="17"/>
                <w:szCs w:val="17"/>
                <w:color w:val="auto"/>
              </w:rPr>
            </w:pPr>
          </w:p>
        </w:tc>
        <w:tc>
          <w:tcPr>
            <w:tcW w:w="180" w:type="dxa"/>
            <w:vAlign w:val="bottom"/>
            <w:shd w:val="clear" w:color="auto" w:fill="B7E4FF"/>
          </w:tcPr>
          <w:p>
            <w:pPr>
              <w:spacing w:after="0"/>
              <w:rPr>
                <w:sz w:val="17"/>
                <w:szCs w:val="17"/>
                <w:color w:val="auto"/>
              </w:rPr>
            </w:pPr>
          </w:p>
        </w:tc>
        <w:tc>
          <w:tcPr>
            <w:tcW w:w="1580" w:type="dxa"/>
            <w:vAlign w:val="bottom"/>
            <w:shd w:val="clear" w:color="auto" w:fill="B7E4FF"/>
          </w:tcPr>
          <w:p>
            <w:pPr>
              <w:jc w:val="center"/>
              <w:spacing w:after="0" w:line="203" w:lineRule="exact"/>
              <w:rPr>
                <w:sz w:val="20"/>
                <w:szCs w:val="20"/>
                <w:color w:val="auto"/>
              </w:rPr>
            </w:pPr>
            <w:r>
              <w:rPr>
                <w:rFonts w:ascii="Arial" w:cs="Arial" w:eastAsia="Arial" w:hAnsi="Arial"/>
                <w:sz w:val="18"/>
                <w:szCs w:val="18"/>
                <w:color w:val="4D4D4F"/>
              </w:rPr>
              <w:t>159,725</w:t>
            </w:r>
          </w:p>
        </w:tc>
        <w:tc>
          <w:tcPr>
            <w:tcW w:w="2040" w:type="dxa"/>
            <w:vAlign w:val="bottom"/>
            <w:shd w:val="clear" w:color="auto" w:fill="B7E4FF"/>
          </w:tcPr>
          <w:p>
            <w:pPr>
              <w:jc w:val="center"/>
              <w:ind w:left="412"/>
              <w:spacing w:after="0" w:line="203" w:lineRule="exact"/>
              <w:rPr>
                <w:sz w:val="20"/>
                <w:szCs w:val="20"/>
                <w:color w:val="auto"/>
              </w:rPr>
            </w:pPr>
            <w:r>
              <w:rPr>
                <w:rFonts w:ascii="Arial" w:cs="Arial" w:eastAsia="Arial" w:hAnsi="Arial"/>
                <w:sz w:val="18"/>
                <w:szCs w:val="18"/>
                <w:color w:val="4D4D4F"/>
              </w:rPr>
              <w:t>173,609</w:t>
            </w:r>
          </w:p>
        </w:tc>
        <w:tc>
          <w:tcPr>
            <w:tcW w:w="2340" w:type="dxa"/>
            <w:vAlign w:val="bottom"/>
            <w:shd w:val="clear" w:color="auto" w:fill="B7E4FF"/>
          </w:tcPr>
          <w:p>
            <w:pPr>
              <w:jc w:val="center"/>
              <w:ind w:left="734"/>
              <w:spacing w:after="0" w:line="203" w:lineRule="exact"/>
              <w:rPr>
                <w:sz w:val="20"/>
                <w:szCs w:val="20"/>
                <w:color w:val="auto"/>
              </w:rPr>
            </w:pPr>
            <w:r>
              <w:rPr>
                <w:rFonts w:ascii="Arial" w:cs="Arial" w:eastAsia="Arial" w:hAnsi="Arial"/>
                <w:sz w:val="18"/>
                <w:szCs w:val="18"/>
                <w:color w:val="4D4D4F"/>
              </w:rPr>
              <w:t>3.00</w:t>
            </w:r>
          </w:p>
        </w:tc>
        <w:tc>
          <w:tcPr>
            <w:tcW w:w="2660" w:type="dxa"/>
            <w:vAlign w:val="bottom"/>
            <w:shd w:val="clear" w:color="auto" w:fill="B7E4FF"/>
          </w:tcPr>
          <w:p>
            <w:pPr>
              <w:jc w:val="center"/>
              <w:ind w:left="394"/>
              <w:spacing w:after="0" w:line="203" w:lineRule="exact"/>
              <w:rPr>
                <w:sz w:val="20"/>
                <w:szCs w:val="20"/>
                <w:color w:val="auto"/>
              </w:rPr>
            </w:pPr>
            <w:r>
              <w:rPr>
                <w:rFonts w:ascii="Arial" w:cs="Arial" w:eastAsia="Arial" w:hAnsi="Arial"/>
                <w:sz w:val="18"/>
                <w:szCs w:val="18"/>
                <w:color w:val="4D4D4F"/>
                <w:w w:val="99"/>
              </w:rPr>
              <w:t>12/27/26</w:t>
            </w:r>
          </w:p>
        </w:tc>
        <w:tc>
          <w:tcPr>
            <w:tcW w:w="0" w:type="dxa"/>
            <w:vAlign w:val="bottom"/>
          </w:tcPr>
          <w:p>
            <w:pPr>
              <w:spacing w:after="0"/>
              <w:rPr>
                <w:sz w:val="1"/>
                <w:szCs w:val="1"/>
                <w:color w:val="auto"/>
              </w:rPr>
            </w:pPr>
          </w:p>
        </w:tc>
      </w:tr>
      <w:tr>
        <w:trPr>
          <w:trHeight w:val="201"/>
        </w:trPr>
        <w:tc>
          <w:tcPr>
            <w:tcW w:w="2620" w:type="dxa"/>
            <w:vAlign w:val="bottom"/>
          </w:tcPr>
          <w:p>
            <w:pPr>
              <w:spacing w:after="0" w:line="201" w:lineRule="exact"/>
              <w:rPr>
                <w:sz w:val="20"/>
                <w:szCs w:val="20"/>
                <w:color w:val="auto"/>
              </w:rPr>
            </w:pPr>
            <w:r>
              <w:rPr>
                <w:rFonts w:ascii="Arial" w:cs="Arial" w:eastAsia="Arial" w:hAnsi="Arial"/>
                <w:sz w:val="18"/>
                <w:szCs w:val="18"/>
                <w:color w:val="4D4D4F"/>
              </w:rPr>
              <w:t>Sotheara Cheav</w:t>
            </w:r>
          </w:p>
        </w:tc>
        <w:tc>
          <w:tcPr>
            <w:tcW w:w="180" w:type="dxa"/>
            <w:vAlign w:val="bottom"/>
          </w:tcPr>
          <w:p>
            <w:pPr>
              <w:spacing w:after="0"/>
              <w:rPr>
                <w:sz w:val="17"/>
                <w:szCs w:val="17"/>
                <w:color w:val="auto"/>
              </w:rPr>
            </w:pPr>
          </w:p>
        </w:tc>
        <w:tc>
          <w:tcPr>
            <w:tcW w:w="1580" w:type="dxa"/>
            <w:vAlign w:val="bottom"/>
          </w:tcPr>
          <w:p>
            <w:pPr>
              <w:jc w:val="center"/>
              <w:spacing w:after="0" w:line="201" w:lineRule="exact"/>
              <w:rPr>
                <w:sz w:val="20"/>
                <w:szCs w:val="20"/>
                <w:color w:val="auto"/>
              </w:rPr>
            </w:pPr>
            <w:r>
              <w:rPr>
                <w:rFonts w:ascii="Arial" w:cs="Arial" w:eastAsia="Arial" w:hAnsi="Arial"/>
                <w:sz w:val="18"/>
                <w:szCs w:val="18"/>
                <w:color w:val="4D4D4F"/>
                <w:w w:val="98"/>
              </w:rPr>
              <w:t>33,334</w:t>
            </w:r>
          </w:p>
        </w:tc>
        <w:tc>
          <w:tcPr>
            <w:tcW w:w="2040" w:type="dxa"/>
            <w:vAlign w:val="bottom"/>
          </w:tcPr>
          <w:p>
            <w:pPr>
              <w:jc w:val="center"/>
              <w:ind w:left="412"/>
              <w:spacing w:after="0" w:line="201" w:lineRule="exact"/>
              <w:rPr>
                <w:sz w:val="20"/>
                <w:szCs w:val="20"/>
                <w:color w:val="auto"/>
              </w:rPr>
            </w:pPr>
            <w:r>
              <w:rPr>
                <w:rFonts w:ascii="Arial" w:cs="Arial" w:eastAsia="Arial" w:hAnsi="Arial"/>
                <w:sz w:val="18"/>
                <w:szCs w:val="18"/>
                <w:color w:val="4D4D4F"/>
                <w:w w:val="99"/>
              </w:rPr>
              <w:t>—</w:t>
            </w:r>
          </w:p>
        </w:tc>
        <w:tc>
          <w:tcPr>
            <w:tcW w:w="2340" w:type="dxa"/>
            <w:vAlign w:val="bottom"/>
          </w:tcPr>
          <w:p>
            <w:pPr>
              <w:jc w:val="center"/>
              <w:ind w:left="734"/>
              <w:spacing w:after="0" w:line="201" w:lineRule="exact"/>
              <w:rPr>
                <w:sz w:val="20"/>
                <w:szCs w:val="20"/>
                <w:color w:val="auto"/>
              </w:rPr>
            </w:pPr>
            <w:r>
              <w:rPr>
                <w:rFonts w:ascii="Arial" w:cs="Arial" w:eastAsia="Arial" w:hAnsi="Arial"/>
                <w:sz w:val="18"/>
                <w:szCs w:val="18"/>
                <w:color w:val="4D4D4F"/>
              </w:rPr>
              <w:t>0.75</w:t>
            </w:r>
          </w:p>
        </w:tc>
        <w:tc>
          <w:tcPr>
            <w:tcW w:w="2660" w:type="dxa"/>
            <w:vAlign w:val="bottom"/>
          </w:tcPr>
          <w:p>
            <w:pPr>
              <w:jc w:val="center"/>
              <w:ind w:left="394"/>
              <w:spacing w:after="0" w:line="201" w:lineRule="exact"/>
              <w:rPr>
                <w:sz w:val="20"/>
                <w:szCs w:val="20"/>
                <w:color w:val="auto"/>
              </w:rPr>
            </w:pPr>
            <w:r>
              <w:rPr>
                <w:rFonts w:ascii="Arial" w:cs="Arial" w:eastAsia="Arial" w:hAnsi="Arial"/>
                <w:sz w:val="18"/>
                <w:szCs w:val="18"/>
                <w:color w:val="4D4D4F"/>
                <w:w w:val="99"/>
              </w:rPr>
              <w:t>05/01/21</w:t>
            </w:r>
          </w:p>
        </w:tc>
        <w:tc>
          <w:tcPr>
            <w:tcW w:w="0" w:type="dxa"/>
            <w:vAlign w:val="bottom"/>
          </w:tcPr>
          <w:p>
            <w:pPr>
              <w:spacing w:after="0"/>
              <w:rPr>
                <w:sz w:val="1"/>
                <w:szCs w:val="1"/>
                <w:color w:val="auto"/>
              </w:rPr>
            </w:pPr>
          </w:p>
        </w:tc>
      </w:tr>
      <w:tr>
        <w:trPr>
          <w:trHeight w:val="202"/>
        </w:trPr>
        <w:tc>
          <w:tcPr>
            <w:tcW w:w="2620" w:type="dxa"/>
            <w:vAlign w:val="bottom"/>
          </w:tcPr>
          <w:p>
            <w:pPr>
              <w:spacing w:after="0"/>
              <w:rPr>
                <w:sz w:val="17"/>
                <w:szCs w:val="17"/>
                <w:color w:val="auto"/>
              </w:rPr>
            </w:pPr>
          </w:p>
        </w:tc>
        <w:tc>
          <w:tcPr>
            <w:tcW w:w="176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4D4D4F"/>
                <w:w w:val="98"/>
              </w:rPr>
              <w:t>30,552</w:t>
            </w:r>
          </w:p>
        </w:tc>
        <w:tc>
          <w:tcPr>
            <w:tcW w:w="2040" w:type="dxa"/>
            <w:vAlign w:val="bottom"/>
          </w:tcPr>
          <w:p>
            <w:pPr>
              <w:jc w:val="center"/>
              <w:ind w:left="412"/>
              <w:spacing w:after="0" w:line="202" w:lineRule="exact"/>
              <w:rPr>
                <w:sz w:val="20"/>
                <w:szCs w:val="20"/>
                <w:color w:val="auto"/>
              </w:rPr>
            </w:pPr>
            <w:r>
              <w:rPr>
                <w:rFonts w:ascii="Arial" w:cs="Arial" w:eastAsia="Arial" w:hAnsi="Arial"/>
                <w:sz w:val="18"/>
                <w:szCs w:val="18"/>
                <w:color w:val="4D4D4F"/>
              </w:rPr>
              <w:t>2,782</w:t>
            </w:r>
          </w:p>
        </w:tc>
        <w:tc>
          <w:tcPr>
            <w:tcW w:w="2340" w:type="dxa"/>
            <w:vAlign w:val="bottom"/>
          </w:tcPr>
          <w:p>
            <w:pPr>
              <w:jc w:val="center"/>
              <w:ind w:left="734"/>
              <w:spacing w:after="0" w:line="202" w:lineRule="exact"/>
              <w:rPr>
                <w:sz w:val="20"/>
                <w:szCs w:val="20"/>
                <w:color w:val="auto"/>
              </w:rPr>
            </w:pPr>
            <w:r>
              <w:rPr>
                <w:rFonts w:ascii="Arial" w:cs="Arial" w:eastAsia="Arial" w:hAnsi="Arial"/>
                <w:sz w:val="18"/>
                <w:szCs w:val="18"/>
                <w:color w:val="4D4D4F"/>
              </w:rPr>
              <w:t>1.50</w:t>
            </w:r>
          </w:p>
        </w:tc>
        <w:tc>
          <w:tcPr>
            <w:tcW w:w="2660" w:type="dxa"/>
            <w:vAlign w:val="bottom"/>
          </w:tcPr>
          <w:p>
            <w:pPr>
              <w:jc w:val="center"/>
              <w:ind w:left="394"/>
              <w:spacing w:after="0" w:line="202" w:lineRule="exact"/>
              <w:rPr>
                <w:sz w:val="20"/>
                <w:szCs w:val="20"/>
                <w:color w:val="auto"/>
              </w:rPr>
            </w:pPr>
            <w:r>
              <w:rPr>
                <w:rFonts w:ascii="Arial" w:cs="Arial" w:eastAsia="Arial" w:hAnsi="Arial"/>
                <w:sz w:val="18"/>
                <w:szCs w:val="18"/>
                <w:color w:val="4D4D4F"/>
                <w:w w:val="99"/>
              </w:rPr>
              <w:t>05/01/25</w:t>
            </w: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center"/>
              <w:spacing w:after="0" w:line="203" w:lineRule="exact"/>
              <w:rPr>
                <w:sz w:val="20"/>
                <w:szCs w:val="20"/>
                <w:color w:val="auto"/>
              </w:rPr>
            </w:pPr>
            <w:r>
              <w:rPr>
                <w:rFonts w:ascii="Arial" w:cs="Arial" w:eastAsia="Arial" w:hAnsi="Arial"/>
                <w:sz w:val="18"/>
                <w:szCs w:val="18"/>
                <w:color w:val="4D4D4F"/>
                <w:w w:val="99"/>
              </w:rPr>
              <w:t>—</w:t>
            </w:r>
          </w:p>
        </w:tc>
        <w:tc>
          <w:tcPr>
            <w:tcW w:w="2040" w:type="dxa"/>
            <w:vAlign w:val="bottom"/>
          </w:tcPr>
          <w:p>
            <w:pPr>
              <w:jc w:val="center"/>
              <w:ind w:left="412"/>
              <w:spacing w:after="0" w:line="203" w:lineRule="exact"/>
              <w:rPr>
                <w:sz w:val="20"/>
                <w:szCs w:val="20"/>
                <w:color w:val="auto"/>
              </w:rPr>
            </w:pPr>
            <w:r>
              <w:rPr>
                <w:rFonts w:ascii="Arial" w:cs="Arial" w:eastAsia="Arial" w:hAnsi="Arial"/>
                <w:sz w:val="18"/>
                <w:szCs w:val="18"/>
                <w:color w:val="4D4D4F"/>
                <w:w w:val="98"/>
              </w:rPr>
              <w:t>40,000</w:t>
            </w:r>
          </w:p>
        </w:tc>
        <w:tc>
          <w:tcPr>
            <w:tcW w:w="2340" w:type="dxa"/>
            <w:vAlign w:val="bottom"/>
          </w:tcPr>
          <w:p>
            <w:pPr>
              <w:jc w:val="center"/>
              <w:ind w:left="734"/>
              <w:spacing w:after="0" w:line="203" w:lineRule="exact"/>
              <w:rPr>
                <w:sz w:val="20"/>
                <w:szCs w:val="20"/>
                <w:color w:val="auto"/>
              </w:rPr>
            </w:pPr>
            <w:r>
              <w:rPr>
                <w:rFonts w:ascii="Arial" w:cs="Arial" w:eastAsia="Arial" w:hAnsi="Arial"/>
                <w:sz w:val="18"/>
                <w:szCs w:val="18"/>
                <w:color w:val="4D4D4F"/>
                <w:w w:val="97"/>
              </w:rPr>
              <w:t>13.85</w:t>
            </w:r>
          </w:p>
        </w:tc>
        <w:tc>
          <w:tcPr>
            <w:tcW w:w="2660" w:type="dxa"/>
            <w:vAlign w:val="bottom"/>
          </w:tcPr>
          <w:p>
            <w:pPr>
              <w:jc w:val="center"/>
              <w:ind w:left="394"/>
              <w:spacing w:after="0" w:line="203" w:lineRule="exact"/>
              <w:rPr>
                <w:sz w:val="20"/>
                <w:szCs w:val="20"/>
                <w:color w:val="auto"/>
              </w:rPr>
            </w:pPr>
            <w:r>
              <w:rPr>
                <w:rFonts w:ascii="Arial" w:cs="Arial" w:eastAsia="Arial" w:hAnsi="Arial"/>
                <w:sz w:val="18"/>
                <w:szCs w:val="18"/>
                <w:color w:val="4D4D4F"/>
                <w:w w:val="99"/>
              </w:rPr>
              <w:t>07/31/28</w:t>
            </w:r>
          </w:p>
        </w:tc>
        <w:tc>
          <w:tcPr>
            <w:tcW w:w="0" w:type="dxa"/>
            <w:vAlign w:val="bottom"/>
          </w:tcPr>
          <w:p>
            <w:pPr>
              <w:spacing w:after="0"/>
              <w:rPr>
                <w:sz w:val="1"/>
                <w:szCs w:val="1"/>
                <w:color w:val="auto"/>
              </w:rPr>
            </w:pPr>
          </w:p>
        </w:tc>
      </w:tr>
      <w:tr>
        <w:trPr>
          <w:trHeight w:val="201"/>
        </w:trPr>
        <w:tc>
          <w:tcPr>
            <w:tcW w:w="2620" w:type="dxa"/>
            <w:vAlign w:val="bottom"/>
            <w:shd w:val="clear" w:color="auto" w:fill="B7E4FF"/>
          </w:tcPr>
          <w:p>
            <w:pPr>
              <w:spacing w:after="0" w:line="201" w:lineRule="exact"/>
              <w:rPr>
                <w:sz w:val="20"/>
                <w:szCs w:val="20"/>
                <w:color w:val="auto"/>
              </w:rPr>
            </w:pPr>
            <w:r>
              <w:rPr>
                <w:rFonts w:ascii="Arial" w:cs="Arial" w:eastAsia="Arial" w:hAnsi="Arial"/>
                <w:sz w:val="18"/>
                <w:szCs w:val="18"/>
                <w:color w:val="4D4D4F"/>
              </w:rPr>
              <w:t>Jian Wang</w:t>
            </w:r>
          </w:p>
        </w:tc>
        <w:tc>
          <w:tcPr>
            <w:tcW w:w="1760" w:type="dxa"/>
            <w:vAlign w:val="bottom"/>
            <w:gridSpan w:val="2"/>
            <w:shd w:val="clear" w:color="auto" w:fill="B7E4FF"/>
          </w:tcPr>
          <w:p>
            <w:pPr>
              <w:jc w:val="center"/>
              <w:ind w:left="90"/>
              <w:spacing w:after="0" w:line="201" w:lineRule="exact"/>
              <w:rPr>
                <w:sz w:val="20"/>
                <w:szCs w:val="20"/>
                <w:color w:val="auto"/>
              </w:rPr>
            </w:pPr>
            <w:r>
              <w:rPr>
                <w:rFonts w:ascii="Arial" w:cs="Arial" w:eastAsia="Arial" w:hAnsi="Arial"/>
                <w:sz w:val="18"/>
                <w:szCs w:val="18"/>
                <w:color w:val="4D4D4F"/>
                <w:w w:val="98"/>
              </w:rPr>
              <w:t>30,552</w:t>
            </w:r>
          </w:p>
        </w:tc>
        <w:tc>
          <w:tcPr>
            <w:tcW w:w="2040" w:type="dxa"/>
            <w:vAlign w:val="bottom"/>
            <w:shd w:val="clear" w:color="auto" w:fill="B7E4FF"/>
          </w:tcPr>
          <w:p>
            <w:pPr>
              <w:jc w:val="center"/>
              <w:ind w:left="412"/>
              <w:spacing w:after="0" w:line="201" w:lineRule="exact"/>
              <w:rPr>
                <w:sz w:val="20"/>
                <w:szCs w:val="20"/>
                <w:color w:val="auto"/>
              </w:rPr>
            </w:pPr>
            <w:r>
              <w:rPr>
                <w:rFonts w:ascii="Arial" w:cs="Arial" w:eastAsia="Arial" w:hAnsi="Arial"/>
                <w:sz w:val="18"/>
                <w:szCs w:val="18"/>
                <w:color w:val="4D4D4F"/>
              </w:rPr>
              <w:t>2,782</w:t>
            </w:r>
          </w:p>
        </w:tc>
        <w:tc>
          <w:tcPr>
            <w:tcW w:w="2340" w:type="dxa"/>
            <w:vAlign w:val="bottom"/>
            <w:shd w:val="clear" w:color="auto" w:fill="B7E4FF"/>
          </w:tcPr>
          <w:p>
            <w:pPr>
              <w:jc w:val="center"/>
              <w:ind w:left="734"/>
              <w:spacing w:after="0" w:line="201" w:lineRule="exact"/>
              <w:rPr>
                <w:sz w:val="20"/>
                <w:szCs w:val="20"/>
                <w:color w:val="auto"/>
              </w:rPr>
            </w:pPr>
            <w:r>
              <w:rPr>
                <w:rFonts w:ascii="Arial" w:cs="Arial" w:eastAsia="Arial" w:hAnsi="Arial"/>
                <w:sz w:val="18"/>
                <w:szCs w:val="18"/>
                <w:color w:val="4D4D4F"/>
              </w:rPr>
              <w:t>1.50</w:t>
            </w:r>
          </w:p>
        </w:tc>
        <w:tc>
          <w:tcPr>
            <w:tcW w:w="2660" w:type="dxa"/>
            <w:vAlign w:val="bottom"/>
            <w:shd w:val="clear" w:color="auto" w:fill="B7E4FF"/>
          </w:tcPr>
          <w:p>
            <w:pPr>
              <w:jc w:val="center"/>
              <w:ind w:left="394"/>
              <w:spacing w:after="0" w:line="201" w:lineRule="exact"/>
              <w:rPr>
                <w:sz w:val="20"/>
                <w:szCs w:val="20"/>
                <w:color w:val="auto"/>
              </w:rPr>
            </w:pPr>
            <w:r>
              <w:rPr>
                <w:rFonts w:ascii="Arial" w:cs="Arial" w:eastAsia="Arial" w:hAnsi="Arial"/>
                <w:sz w:val="18"/>
                <w:szCs w:val="18"/>
                <w:color w:val="4D4D4F"/>
                <w:w w:val="99"/>
              </w:rPr>
              <w:t>05/01/25</w:t>
            </w:r>
          </w:p>
        </w:tc>
        <w:tc>
          <w:tcPr>
            <w:tcW w:w="0" w:type="dxa"/>
            <w:vAlign w:val="bottom"/>
          </w:tcPr>
          <w:p>
            <w:pPr>
              <w:spacing w:after="0"/>
              <w:rPr>
                <w:sz w:val="1"/>
                <w:szCs w:val="1"/>
                <w:color w:val="auto"/>
              </w:rPr>
            </w:pPr>
          </w:p>
        </w:tc>
      </w:tr>
      <w:tr>
        <w:trPr>
          <w:trHeight w:val="203"/>
        </w:trPr>
        <w:tc>
          <w:tcPr>
            <w:tcW w:w="2620" w:type="dxa"/>
            <w:vAlign w:val="bottom"/>
            <w:shd w:val="clear" w:color="auto" w:fill="B7E4FF"/>
          </w:tcPr>
          <w:p>
            <w:pPr>
              <w:spacing w:after="0"/>
              <w:rPr>
                <w:sz w:val="17"/>
                <w:szCs w:val="17"/>
                <w:color w:val="auto"/>
              </w:rPr>
            </w:pPr>
          </w:p>
        </w:tc>
        <w:tc>
          <w:tcPr>
            <w:tcW w:w="180" w:type="dxa"/>
            <w:vAlign w:val="bottom"/>
            <w:shd w:val="clear" w:color="auto" w:fill="B7E4FF"/>
          </w:tcPr>
          <w:p>
            <w:pPr>
              <w:spacing w:after="0"/>
              <w:rPr>
                <w:sz w:val="17"/>
                <w:szCs w:val="17"/>
                <w:color w:val="auto"/>
              </w:rPr>
            </w:pPr>
          </w:p>
        </w:tc>
        <w:tc>
          <w:tcPr>
            <w:tcW w:w="1580" w:type="dxa"/>
            <w:vAlign w:val="bottom"/>
            <w:shd w:val="clear" w:color="auto" w:fill="B7E4FF"/>
          </w:tcPr>
          <w:p>
            <w:pPr>
              <w:jc w:val="center"/>
              <w:spacing w:after="0" w:line="203" w:lineRule="exact"/>
              <w:rPr>
                <w:sz w:val="20"/>
                <w:szCs w:val="20"/>
                <w:color w:val="auto"/>
              </w:rPr>
            </w:pPr>
            <w:r>
              <w:rPr>
                <w:rFonts w:ascii="Arial" w:cs="Arial" w:eastAsia="Arial" w:hAnsi="Arial"/>
                <w:sz w:val="18"/>
                <w:szCs w:val="18"/>
                <w:color w:val="4D4D4F"/>
                <w:w w:val="99"/>
              </w:rPr>
              <w:t>—</w:t>
            </w:r>
          </w:p>
        </w:tc>
        <w:tc>
          <w:tcPr>
            <w:tcW w:w="2040" w:type="dxa"/>
            <w:vAlign w:val="bottom"/>
            <w:shd w:val="clear" w:color="auto" w:fill="B7E4FF"/>
          </w:tcPr>
          <w:p>
            <w:pPr>
              <w:jc w:val="center"/>
              <w:ind w:left="412"/>
              <w:spacing w:after="0" w:line="203" w:lineRule="exact"/>
              <w:rPr>
                <w:sz w:val="20"/>
                <w:szCs w:val="20"/>
                <w:color w:val="auto"/>
              </w:rPr>
            </w:pPr>
            <w:r>
              <w:rPr>
                <w:rFonts w:ascii="Arial" w:cs="Arial" w:eastAsia="Arial" w:hAnsi="Arial"/>
                <w:sz w:val="18"/>
                <w:szCs w:val="18"/>
                <w:color w:val="4D4D4F"/>
                <w:w w:val="98"/>
              </w:rPr>
              <w:t>40,000</w:t>
            </w:r>
          </w:p>
        </w:tc>
        <w:tc>
          <w:tcPr>
            <w:tcW w:w="2340" w:type="dxa"/>
            <w:vAlign w:val="bottom"/>
            <w:shd w:val="clear" w:color="auto" w:fill="B7E4FF"/>
          </w:tcPr>
          <w:p>
            <w:pPr>
              <w:jc w:val="center"/>
              <w:ind w:left="734"/>
              <w:spacing w:after="0" w:line="203" w:lineRule="exact"/>
              <w:rPr>
                <w:sz w:val="20"/>
                <w:szCs w:val="20"/>
                <w:color w:val="auto"/>
              </w:rPr>
            </w:pPr>
            <w:r>
              <w:rPr>
                <w:rFonts w:ascii="Arial" w:cs="Arial" w:eastAsia="Arial" w:hAnsi="Arial"/>
                <w:sz w:val="18"/>
                <w:szCs w:val="18"/>
                <w:color w:val="4D4D4F"/>
                <w:w w:val="97"/>
              </w:rPr>
              <w:t>13.85</w:t>
            </w:r>
          </w:p>
        </w:tc>
        <w:tc>
          <w:tcPr>
            <w:tcW w:w="2660" w:type="dxa"/>
            <w:vAlign w:val="bottom"/>
            <w:shd w:val="clear" w:color="auto" w:fill="B7E4FF"/>
          </w:tcPr>
          <w:p>
            <w:pPr>
              <w:jc w:val="center"/>
              <w:ind w:left="394"/>
              <w:spacing w:after="0" w:line="203" w:lineRule="exact"/>
              <w:rPr>
                <w:sz w:val="20"/>
                <w:szCs w:val="20"/>
                <w:color w:val="auto"/>
              </w:rPr>
            </w:pPr>
            <w:r>
              <w:rPr>
                <w:rFonts w:ascii="Arial" w:cs="Arial" w:eastAsia="Arial" w:hAnsi="Arial"/>
                <w:sz w:val="18"/>
                <w:szCs w:val="18"/>
                <w:color w:val="4D4D4F"/>
                <w:w w:val="99"/>
              </w:rPr>
              <w:t>07/31/28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1778000</wp:posOffset>
            </wp:positionH>
            <wp:positionV relativeFrom="paragraph">
              <wp:posOffset>-1181735</wp:posOffset>
            </wp:positionV>
            <wp:extent cx="5473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73700" cy="8255"/>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-1395730</wp:posOffset>
            </wp:positionV>
            <wp:extent cx="5473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73700" cy="8255"/>
                    </a:xfrm>
                    <a:prstGeom prst="rect">
                      <a:avLst/>
                    </a:prstGeom>
                    <a:noFill/>
                  </pic:spPr>
                </pic:pic>
              </a:graphicData>
            </a:graphic>
          </wp:anchor>
        </w:drawing>
      </w:r>
    </w:p>
    <w:p>
      <w:pPr>
        <w:spacing w:after="0" w:line="15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4D4D4F"/>
        </w:rPr>
        <w:t>For information regarding the vesting acceleration provisions applicable to the options held by our named executive officers, please see “— Severance Benefits” and “—Change in Control Benefits” below.</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Payments Upon Termination or Change in Control</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None of our named executive officers is party to a contract or other arrangement that provides for the acceleration of any benefits in the event of a change in control of the company or their termination, whether or not the termination occurs within a specified time period after the occurrence of a change in control. As a general practice, our option awards granted to employees, including our named executive officers, do not provide for acceleration upon a change in control or employee termination.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Section 162(m) Considerations</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4D4D4F"/>
        </w:rPr>
        <w:t>Internal Revenue Code Section 162(m) limits the deductibility of compensation in excess of $1 million paid to any one named executive officer in any calendar year. Under the tax rules in effect before 2018, compensation that qualified as “performance-based” under Section 162(m) was deductible without regard to this $1 million limit. In 2018 and prior years, the board of directors and the compensation committee designed awards that were intended to qualify for this performance-based compensation exception. However, the Tax Cuts and Jobs Act, which was signed into law December 22, 2017, eliminated this performance-based compensation exception effective January 1, 2018, subject to a special rule that “grandfathers” certain awards and arrangements that were in effect on or before November 2, 2017. As a result, compensation that the compensation committee structured in 2018 and prior years with the intent of qualifying as performance-based compensation under Section 162(m) that is paid on or after January 1, 2018 may not be fully deductible, depending on the application of the special grandfather rules. Moreover, from and after January 1, 2018, compensation awarded in excess of $1 million to our named executive officers generally will not be deductible. While the Tax Cuts and Jobs Act will limit the deductibility of compensation paid to the named executive officers, the compensation committee will design compensation programs that are intended to be in the best long-term interests of our company and stockholders, with deductibility of compensation being one of a variety of considerations taken into account. The compensation committee believes that all compensation paid to our named executive officers for fiscal year 2018 is properly deductible under Section 162(m), but no assurance can be made in this regard.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Equity Compensation Plan Information</w:t>
      </w:r>
    </w:p>
    <w:p>
      <w:pPr>
        <w:spacing w:after="0" w:line="197" w:lineRule="exact"/>
        <w:rPr>
          <w:sz w:val="20"/>
          <w:szCs w:val="20"/>
          <w:color w:val="auto"/>
        </w:rPr>
      </w:pPr>
    </w:p>
    <w:p>
      <w:pPr>
        <w:spacing w:after="0" w:line="245" w:lineRule="auto"/>
        <w:rPr>
          <w:sz w:val="20"/>
          <w:szCs w:val="20"/>
          <w:color w:val="auto"/>
        </w:rPr>
      </w:pPr>
      <w:r>
        <w:rPr>
          <w:rFonts w:ascii="Arial" w:cs="Arial" w:eastAsia="Arial" w:hAnsi="Arial"/>
          <w:sz w:val="18"/>
          <w:szCs w:val="18"/>
          <w:color w:val="4D4D4F"/>
        </w:rPr>
        <w:t>The following table provides information as of December 31, 2018 with respect to shares of Class A common stock that may be issued under equity plans and standalone option grants: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3520" w:type="dxa"/>
            <w:vAlign w:val="bottom"/>
            <w:shd w:val="clear" w:color="auto" w:fill="003E64"/>
          </w:tcPr>
          <w:p>
            <w:pPr>
              <w:spacing w:after="0"/>
              <w:rPr>
                <w:sz w:val="24"/>
                <w:szCs w:val="24"/>
                <w:color w:val="auto"/>
              </w:rPr>
            </w:pPr>
          </w:p>
        </w:tc>
        <w:tc>
          <w:tcPr>
            <w:tcW w:w="22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Number of Securities to be</w:t>
            </w:r>
          </w:p>
        </w:tc>
        <w:tc>
          <w:tcPr>
            <w:tcW w:w="26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Weighted Average Exercise</w:t>
            </w:r>
          </w:p>
        </w:tc>
        <w:tc>
          <w:tcPr>
            <w:tcW w:w="29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Number of Securities Remaining</w:t>
            </w:r>
          </w:p>
        </w:tc>
      </w:tr>
      <w:tr>
        <w:trPr>
          <w:trHeight w:val="162"/>
        </w:trPr>
        <w:tc>
          <w:tcPr>
            <w:tcW w:w="3520" w:type="dxa"/>
            <w:vAlign w:val="bottom"/>
            <w:shd w:val="clear" w:color="auto" w:fill="003E64"/>
          </w:tcPr>
          <w:p>
            <w:pPr>
              <w:spacing w:after="0"/>
              <w:rPr>
                <w:sz w:val="14"/>
                <w:szCs w:val="14"/>
                <w:color w:val="auto"/>
              </w:rPr>
            </w:pPr>
          </w:p>
        </w:tc>
        <w:tc>
          <w:tcPr>
            <w:tcW w:w="22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Issued Upon Exercise of</w:t>
            </w:r>
          </w:p>
        </w:tc>
        <w:tc>
          <w:tcPr>
            <w:tcW w:w="26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Price of Outstanding</w:t>
            </w:r>
          </w:p>
        </w:tc>
        <w:tc>
          <w:tcPr>
            <w:tcW w:w="29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Available for Future Issuance</w:t>
            </w:r>
          </w:p>
        </w:tc>
      </w:tr>
      <w:tr>
        <w:trPr>
          <w:trHeight w:val="162"/>
        </w:trPr>
        <w:tc>
          <w:tcPr>
            <w:tcW w:w="3520" w:type="dxa"/>
            <w:vAlign w:val="bottom"/>
            <w:shd w:val="clear" w:color="auto" w:fill="003E64"/>
          </w:tcPr>
          <w:p>
            <w:pPr>
              <w:spacing w:after="0"/>
              <w:rPr>
                <w:sz w:val="14"/>
                <w:szCs w:val="14"/>
                <w:color w:val="auto"/>
              </w:rPr>
            </w:pPr>
          </w:p>
        </w:tc>
        <w:tc>
          <w:tcPr>
            <w:tcW w:w="22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Outstanding Options,</w:t>
            </w:r>
          </w:p>
        </w:tc>
        <w:tc>
          <w:tcPr>
            <w:tcW w:w="26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Options, Warrants and</w:t>
            </w:r>
          </w:p>
        </w:tc>
        <w:tc>
          <w:tcPr>
            <w:tcW w:w="29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Under Equity Compensation</w:t>
            </w:r>
          </w:p>
        </w:tc>
      </w:tr>
      <w:tr>
        <w:trPr>
          <w:trHeight w:val="162"/>
        </w:trPr>
        <w:tc>
          <w:tcPr>
            <w:tcW w:w="3520" w:type="dxa"/>
            <w:vAlign w:val="bottom"/>
            <w:shd w:val="clear" w:color="auto" w:fill="003E64"/>
          </w:tcPr>
          <w:p>
            <w:pPr>
              <w:spacing w:after="0"/>
              <w:rPr>
                <w:sz w:val="14"/>
                <w:szCs w:val="14"/>
                <w:color w:val="auto"/>
              </w:rPr>
            </w:pPr>
          </w:p>
        </w:tc>
        <w:tc>
          <w:tcPr>
            <w:tcW w:w="22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26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Rights</w:t>
            </w:r>
          </w:p>
        </w:tc>
        <w:tc>
          <w:tcPr>
            <w:tcW w:w="29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Plans(1)</w:t>
            </w:r>
          </w:p>
        </w:tc>
      </w:tr>
      <w:tr>
        <w:trPr>
          <w:trHeight w:val="175"/>
        </w:trPr>
        <w:tc>
          <w:tcPr>
            <w:tcW w:w="3520" w:type="dxa"/>
            <w:vAlign w:val="bottom"/>
            <w:shd w:val="clear" w:color="auto" w:fill="003E64"/>
          </w:tcPr>
          <w:p>
            <w:pPr>
              <w:spacing w:after="0"/>
              <w:rPr>
                <w:sz w:val="20"/>
                <w:szCs w:val="20"/>
                <w:color w:val="auto"/>
              </w:rPr>
            </w:pPr>
            <w:r>
              <w:rPr>
                <w:rFonts w:ascii="Arial" w:cs="Arial" w:eastAsia="Arial" w:hAnsi="Arial"/>
                <w:sz w:val="14"/>
                <w:szCs w:val="14"/>
                <w:b w:val="1"/>
                <w:bCs w:val="1"/>
                <w:color w:val="FFFFFF"/>
              </w:rPr>
              <w:t>Plan Category</w:t>
            </w:r>
          </w:p>
        </w:tc>
        <w:tc>
          <w:tcPr>
            <w:tcW w:w="22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(a)</w:t>
            </w:r>
          </w:p>
        </w:tc>
        <w:tc>
          <w:tcPr>
            <w:tcW w:w="26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(b)</w:t>
            </w:r>
          </w:p>
        </w:tc>
        <w:tc>
          <w:tcPr>
            <w:tcW w:w="29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(c)</w:t>
            </w:r>
          </w:p>
        </w:tc>
      </w:tr>
      <w:tr>
        <w:trPr>
          <w:trHeight w:val="201"/>
        </w:trPr>
        <w:tc>
          <w:tcPr>
            <w:tcW w:w="3520" w:type="dxa"/>
            <w:vAlign w:val="bottom"/>
            <w:shd w:val="clear" w:color="auto" w:fill="B7E4FF"/>
          </w:tcPr>
          <w:p>
            <w:pPr>
              <w:spacing w:after="0" w:line="201" w:lineRule="exact"/>
              <w:rPr>
                <w:sz w:val="20"/>
                <w:szCs w:val="20"/>
                <w:color w:val="auto"/>
              </w:rPr>
            </w:pPr>
            <w:r>
              <w:rPr>
                <w:rFonts w:ascii="Arial" w:cs="Arial" w:eastAsia="Arial" w:hAnsi="Arial"/>
                <w:sz w:val="18"/>
                <w:szCs w:val="18"/>
                <w:color w:val="4D4D4F"/>
              </w:rPr>
              <w:t>Equity compensation plans approved by</w:t>
            </w:r>
          </w:p>
        </w:tc>
        <w:tc>
          <w:tcPr>
            <w:tcW w:w="2280" w:type="dxa"/>
            <w:vAlign w:val="bottom"/>
            <w:shd w:val="clear" w:color="auto" w:fill="B7E4FF"/>
          </w:tcPr>
          <w:p>
            <w:pPr>
              <w:jc w:val="center"/>
              <w:spacing w:after="0" w:line="201" w:lineRule="exact"/>
              <w:rPr>
                <w:sz w:val="20"/>
                <w:szCs w:val="20"/>
                <w:color w:val="auto"/>
              </w:rPr>
            </w:pPr>
            <w:r>
              <w:rPr>
                <w:rFonts w:ascii="Arial" w:cs="Arial" w:eastAsia="Arial" w:hAnsi="Arial"/>
                <w:sz w:val="18"/>
                <w:szCs w:val="18"/>
                <w:color w:val="4D4D4F"/>
                <w:w w:val="99"/>
              </w:rPr>
              <w:t>3,605,737</w:t>
            </w:r>
          </w:p>
        </w:tc>
        <w:tc>
          <w:tcPr>
            <w:tcW w:w="2640" w:type="dxa"/>
            <w:vAlign w:val="bottom"/>
            <w:shd w:val="clear" w:color="auto" w:fill="B7E4FF"/>
          </w:tcPr>
          <w:p>
            <w:pPr>
              <w:jc w:val="right"/>
              <w:ind w:right="1023"/>
              <w:spacing w:after="0" w:line="201" w:lineRule="exact"/>
              <w:rPr>
                <w:sz w:val="20"/>
                <w:szCs w:val="20"/>
                <w:color w:val="auto"/>
              </w:rPr>
            </w:pPr>
            <w:r>
              <w:rPr>
                <w:rFonts w:ascii="Arial" w:cs="Arial" w:eastAsia="Arial" w:hAnsi="Arial"/>
                <w:sz w:val="18"/>
                <w:szCs w:val="18"/>
                <w:color w:val="4D4D4F"/>
              </w:rPr>
              <w:t>$3.59</w:t>
            </w:r>
          </w:p>
        </w:tc>
        <w:tc>
          <w:tcPr>
            <w:tcW w:w="2980" w:type="dxa"/>
            <w:vAlign w:val="bottom"/>
            <w:shd w:val="clear" w:color="auto" w:fill="B7E4FF"/>
          </w:tcPr>
          <w:p>
            <w:pPr>
              <w:jc w:val="center"/>
              <w:spacing w:after="0" w:line="201" w:lineRule="exact"/>
              <w:rPr>
                <w:sz w:val="20"/>
                <w:szCs w:val="20"/>
                <w:color w:val="auto"/>
              </w:rPr>
            </w:pPr>
            <w:r>
              <w:rPr>
                <w:rFonts w:ascii="Arial" w:cs="Arial" w:eastAsia="Arial" w:hAnsi="Arial"/>
                <w:sz w:val="18"/>
                <w:szCs w:val="18"/>
                <w:color w:val="4D4D4F"/>
                <w:w w:val="99"/>
              </w:rPr>
              <w:t>1,048,769</w:t>
            </w:r>
          </w:p>
        </w:tc>
      </w:tr>
      <w:tr>
        <w:trPr>
          <w:trHeight w:val="203"/>
        </w:trPr>
        <w:tc>
          <w:tcPr>
            <w:tcW w:w="3520" w:type="dxa"/>
            <w:vAlign w:val="bottom"/>
            <w:shd w:val="clear" w:color="auto" w:fill="B7E4FF"/>
          </w:tcPr>
          <w:p>
            <w:pPr>
              <w:ind w:left="140"/>
              <w:spacing w:after="0" w:line="203" w:lineRule="exact"/>
              <w:rPr>
                <w:sz w:val="20"/>
                <w:szCs w:val="20"/>
                <w:color w:val="auto"/>
              </w:rPr>
            </w:pPr>
            <w:r>
              <w:rPr>
                <w:rFonts w:ascii="Arial" w:cs="Arial" w:eastAsia="Arial" w:hAnsi="Arial"/>
                <w:sz w:val="18"/>
                <w:szCs w:val="18"/>
                <w:color w:val="4D4D4F"/>
              </w:rPr>
              <w:t>stockholders(2)</w:t>
            </w:r>
          </w:p>
        </w:tc>
        <w:tc>
          <w:tcPr>
            <w:tcW w:w="2280" w:type="dxa"/>
            <w:vAlign w:val="bottom"/>
            <w:shd w:val="clear" w:color="auto" w:fill="B7E4FF"/>
          </w:tcPr>
          <w:p>
            <w:pPr>
              <w:spacing w:after="0"/>
              <w:rPr>
                <w:sz w:val="17"/>
                <w:szCs w:val="17"/>
                <w:color w:val="auto"/>
              </w:rPr>
            </w:pPr>
          </w:p>
        </w:tc>
        <w:tc>
          <w:tcPr>
            <w:tcW w:w="2640" w:type="dxa"/>
            <w:vAlign w:val="bottom"/>
            <w:shd w:val="clear" w:color="auto" w:fill="B7E4FF"/>
          </w:tcPr>
          <w:p>
            <w:pPr>
              <w:spacing w:after="0"/>
              <w:rPr>
                <w:sz w:val="17"/>
                <w:szCs w:val="17"/>
                <w:color w:val="auto"/>
              </w:rPr>
            </w:pPr>
          </w:p>
        </w:tc>
        <w:tc>
          <w:tcPr>
            <w:tcW w:w="2980" w:type="dxa"/>
            <w:vAlign w:val="bottom"/>
            <w:shd w:val="clear" w:color="auto" w:fill="B7E4FF"/>
          </w:tcPr>
          <w:p>
            <w:pPr>
              <w:spacing w:after="0"/>
              <w:rPr>
                <w:sz w:val="17"/>
                <w:szCs w:val="17"/>
                <w:color w:val="auto"/>
              </w:rPr>
            </w:pPr>
          </w:p>
        </w:tc>
      </w:tr>
      <w:tr>
        <w:trPr>
          <w:trHeight w:val="201"/>
        </w:trPr>
        <w:tc>
          <w:tcPr>
            <w:tcW w:w="3520" w:type="dxa"/>
            <w:vAlign w:val="bottom"/>
          </w:tcPr>
          <w:p>
            <w:pPr>
              <w:spacing w:after="0" w:line="201" w:lineRule="exact"/>
              <w:rPr>
                <w:sz w:val="20"/>
                <w:szCs w:val="20"/>
                <w:color w:val="auto"/>
              </w:rPr>
            </w:pPr>
            <w:r>
              <w:rPr>
                <w:rFonts w:ascii="Arial" w:cs="Arial" w:eastAsia="Arial" w:hAnsi="Arial"/>
                <w:sz w:val="18"/>
                <w:szCs w:val="18"/>
                <w:color w:val="4D4D4F"/>
              </w:rPr>
              <w:t>Equity compensation plans not approved</w:t>
            </w:r>
          </w:p>
        </w:tc>
        <w:tc>
          <w:tcPr>
            <w:tcW w:w="2280" w:type="dxa"/>
            <w:vAlign w:val="bottom"/>
          </w:tcPr>
          <w:p>
            <w:pPr>
              <w:jc w:val="center"/>
              <w:spacing w:after="0" w:line="201" w:lineRule="exact"/>
              <w:rPr>
                <w:sz w:val="20"/>
                <w:szCs w:val="20"/>
                <w:color w:val="auto"/>
              </w:rPr>
            </w:pPr>
            <w:r>
              <w:rPr>
                <w:rFonts w:ascii="Arial" w:cs="Arial" w:eastAsia="Arial" w:hAnsi="Arial"/>
                <w:sz w:val="18"/>
                <w:szCs w:val="18"/>
                <w:color w:val="4D4D4F"/>
                <w:w w:val="99"/>
              </w:rPr>
              <w:t>1,524,314</w:t>
            </w:r>
          </w:p>
        </w:tc>
        <w:tc>
          <w:tcPr>
            <w:tcW w:w="2640" w:type="dxa"/>
            <w:vAlign w:val="bottom"/>
          </w:tcPr>
          <w:p>
            <w:pPr>
              <w:jc w:val="right"/>
              <w:ind w:right="1063"/>
              <w:spacing w:after="0" w:line="201" w:lineRule="exact"/>
              <w:rPr>
                <w:sz w:val="20"/>
                <w:szCs w:val="20"/>
                <w:color w:val="auto"/>
              </w:rPr>
            </w:pPr>
            <w:r>
              <w:rPr>
                <w:rFonts w:ascii="Arial" w:cs="Arial" w:eastAsia="Arial" w:hAnsi="Arial"/>
                <w:sz w:val="18"/>
                <w:szCs w:val="18"/>
                <w:color w:val="4D4D4F"/>
              </w:rPr>
              <w:t>1.24</w:t>
            </w:r>
          </w:p>
        </w:tc>
        <w:tc>
          <w:tcPr>
            <w:tcW w:w="2980" w:type="dxa"/>
            <w:vAlign w:val="bottom"/>
          </w:tcPr>
          <w:p>
            <w:pPr>
              <w:jc w:val="center"/>
              <w:spacing w:after="0" w:line="201" w:lineRule="exact"/>
              <w:rPr>
                <w:sz w:val="20"/>
                <w:szCs w:val="20"/>
                <w:color w:val="auto"/>
              </w:rPr>
            </w:pPr>
            <w:r>
              <w:rPr>
                <w:rFonts w:ascii="Arial" w:cs="Arial" w:eastAsia="Arial" w:hAnsi="Arial"/>
                <w:sz w:val="18"/>
                <w:szCs w:val="18"/>
                <w:color w:val="4D4D4F"/>
                <w:w w:val="99"/>
              </w:rPr>
              <w:t>—</w:t>
            </w:r>
          </w:p>
        </w:tc>
      </w:tr>
      <w:tr>
        <w:trPr>
          <w:trHeight w:val="197"/>
        </w:trPr>
        <w:tc>
          <w:tcPr>
            <w:tcW w:w="3520" w:type="dxa"/>
            <w:vAlign w:val="bottom"/>
            <w:tcBorders>
              <w:bottom w:val="single" w:sz="8" w:color="B7E4FF"/>
            </w:tcBorders>
          </w:tcPr>
          <w:p>
            <w:pPr>
              <w:ind w:left="140"/>
              <w:spacing w:after="0" w:line="189" w:lineRule="exact"/>
              <w:rPr>
                <w:sz w:val="20"/>
                <w:szCs w:val="20"/>
                <w:color w:val="auto"/>
              </w:rPr>
            </w:pPr>
            <w:r>
              <w:rPr>
                <w:rFonts w:ascii="Arial" w:cs="Arial" w:eastAsia="Arial" w:hAnsi="Arial"/>
                <w:sz w:val="18"/>
                <w:szCs w:val="18"/>
                <w:color w:val="4D4D4F"/>
              </w:rPr>
              <w:t>by stockholders(3)</w:t>
            </w:r>
          </w:p>
        </w:tc>
        <w:tc>
          <w:tcPr>
            <w:tcW w:w="2280" w:type="dxa"/>
            <w:vAlign w:val="bottom"/>
            <w:tcBorders>
              <w:bottom w:val="single" w:sz="8" w:color="auto"/>
            </w:tcBorders>
          </w:tcPr>
          <w:p>
            <w:pPr>
              <w:spacing w:after="0"/>
              <w:rPr>
                <w:sz w:val="17"/>
                <w:szCs w:val="17"/>
                <w:color w:val="auto"/>
              </w:rPr>
            </w:pPr>
          </w:p>
        </w:tc>
        <w:tc>
          <w:tcPr>
            <w:tcW w:w="2640" w:type="dxa"/>
            <w:vAlign w:val="bottom"/>
            <w:tcBorders>
              <w:bottom w:val="single" w:sz="8" w:color="B7E4FF"/>
            </w:tcBorders>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r>
      <w:tr>
        <w:trPr>
          <w:trHeight w:val="227"/>
        </w:trPr>
        <w:tc>
          <w:tcPr>
            <w:tcW w:w="3520" w:type="dxa"/>
            <w:vAlign w:val="bottom"/>
            <w:tcBorders>
              <w:bottom w:val="single" w:sz="8" w:color="B7E4FF"/>
            </w:tcBorders>
            <w:shd w:val="clear" w:color="auto" w:fill="B7E4FF"/>
          </w:tcPr>
          <w:p>
            <w:pPr>
              <w:spacing w:after="0" w:line="202" w:lineRule="exact"/>
              <w:rPr>
                <w:sz w:val="20"/>
                <w:szCs w:val="20"/>
                <w:color w:val="auto"/>
              </w:rPr>
            </w:pPr>
            <w:r>
              <w:rPr>
                <w:rFonts w:ascii="Arial" w:cs="Arial" w:eastAsia="Arial" w:hAnsi="Arial"/>
                <w:sz w:val="18"/>
                <w:szCs w:val="18"/>
                <w:color w:val="4D4D4F"/>
              </w:rPr>
              <w:t>Totals</w:t>
            </w:r>
          </w:p>
        </w:tc>
        <w:tc>
          <w:tcPr>
            <w:tcW w:w="2280" w:type="dxa"/>
            <w:vAlign w:val="bottom"/>
            <w:tcBorders>
              <w:bottom w:val="single" w:sz="8" w:color="auto"/>
            </w:tcBorders>
            <w:shd w:val="clear" w:color="auto" w:fill="B7E4FF"/>
          </w:tcPr>
          <w:p>
            <w:pPr>
              <w:jc w:val="center"/>
              <w:spacing w:after="0" w:line="202" w:lineRule="exact"/>
              <w:rPr>
                <w:sz w:val="20"/>
                <w:szCs w:val="20"/>
                <w:color w:val="auto"/>
              </w:rPr>
            </w:pPr>
            <w:r>
              <w:rPr>
                <w:rFonts w:ascii="Arial" w:cs="Arial" w:eastAsia="Arial" w:hAnsi="Arial"/>
                <w:sz w:val="18"/>
                <w:szCs w:val="18"/>
                <w:color w:val="4D4D4F"/>
                <w:w w:val="99"/>
              </w:rPr>
              <w:t>5,130,051</w:t>
            </w:r>
          </w:p>
        </w:tc>
        <w:tc>
          <w:tcPr>
            <w:tcW w:w="2640" w:type="dxa"/>
            <w:vAlign w:val="bottom"/>
            <w:tcBorders>
              <w:bottom w:val="single" w:sz="8" w:color="B7E4FF"/>
            </w:tcBorders>
            <w:shd w:val="clear" w:color="auto" w:fill="B7E4FF"/>
          </w:tcPr>
          <w:p>
            <w:pPr>
              <w:spacing w:after="0"/>
              <w:rPr>
                <w:sz w:val="19"/>
                <w:szCs w:val="19"/>
                <w:color w:val="auto"/>
              </w:rPr>
            </w:pPr>
          </w:p>
        </w:tc>
        <w:tc>
          <w:tcPr>
            <w:tcW w:w="2980" w:type="dxa"/>
            <w:vAlign w:val="bottom"/>
            <w:tcBorders>
              <w:bottom w:val="single" w:sz="8" w:color="auto"/>
            </w:tcBorders>
            <w:shd w:val="clear" w:color="auto" w:fill="B7E4FF"/>
          </w:tcPr>
          <w:p>
            <w:pPr>
              <w:jc w:val="center"/>
              <w:spacing w:after="0" w:line="202" w:lineRule="exact"/>
              <w:rPr>
                <w:sz w:val="20"/>
                <w:szCs w:val="20"/>
                <w:color w:val="auto"/>
              </w:rPr>
            </w:pPr>
            <w:r>
              <w:rPr>
                <w:rFonts w:ascii="Arial" w:cs="Arial" w:eastAsia="Arial" w:hAnsi="Arial"/>
                <w:sz w:val="18"/>
                <w:szCs w:val="18"/>
                <w:color w:val="4D4D4F"/>
                <w:w w:val="99"/>
              </w:rPr>
              <w:t>1,048,769</w:t>
            </w:r>
          </w:p>
        </w:tc>
      </w:tr>
      <w:tr>
        <w:trPr>
          <w:trHeight w:val="20"/>
        </w:trPr>
        <w:tc>
          <w:tcPr>
            <w:tcW w:w="3520" w:type="dxa"/>
            <w:vAlign w:val="bottom"/>
            <w:tcBorders>
              <w:top w:val="single" w:sz="8" w:color="B7E4FF"/>
            </w:tcBorders>
          </w:tcPr>
          <w:p>
            <w:pPr>
              <w:spacing w:after="0" w:line="20" w:lineRule="exact"/>
              <w:rPr>
                <w:sz w:val="1"/>
                <w:szCs w:val="1"/>
                <w:color w:val="auto"/>
              </w:rPr>
            </w:pPr>
          </w:p>
        </w:tc>
        <w:tc>
          <w:tcPr>
            <w:tcW w:w="2280" w:type="dxa"/>
            <w:vAlign w:val="bottom"/>
            <w:tcBorders>
              <w:top w:val="single" w:sz="8" w:color="B7E4FF"/>
              <w:bottom w:val="single" w:sz="8" w:color="auto"/>
            </w:tcBorders>
          </w:tcPr>
          <w:p>
            <w:pPr>
              <w:spacing w:after="0" w:line="20" w:lineRule="exact"/>
              <w:rPr>
                <w:sz w:val="1"/>
                <w:szCs w:val="1"/>
                <w:color w:val="auto"/>
              </w:rPr>
            </w:pPr>
          </w:p>
        </w:tc>
        <w:tc>
          <w:tcPr>
            <w:tcW w:w="2640" w:type="dxa"/>
            <w:vAlign w:val="bottom"/>
            <w:tcBorders>
              <w:top w:val="single" w:sz="8" w:color="B7E4FF"/>
            </w:tcBorders>
          </w:tcPr>
          <w:p>
            <w:pPr>
              <w:spacing w:after="0" w:line="20" w:lineRule="exact"/>
              <w:rPr>
                <w:sz w:val="1"/>
                <w:szCs w:val="1"/>
                <w:color w:val="auto"/>
              </w:rPr>
            </w:pPr>
          </w:p>
        </w:tc>
        <w:tc>
          <w:tcPr>
            <w:tcW w:w="2980" w:type="dxa"/>
            <w:vAlign w:val="bottom"/>
            <w:tcBorders>
              <w:top w:val="single" w:sz="8" w:color="B7E4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4"/>
          <w:szCs w:val="14"/>
          <w:color w:val="4D4D4F"/>
        </w:rPr>
      </w:pPr>
      <w:r>
        <w:rPr>
          <w:rFonts w:ascii="Arial" w:cs="Arial" w:eastAsia="Arial" w:hAnsi="Arial"/>
          <w:sz w:val="14"/>
          <w:szCs w:val="14"/>
          <w:color w:val="4D4D4F"/>
        </w:rPr>
        <w:t>Consists of shares of Class A common stock available at December 31, 2018 for awards under our 2016 Omnibus Incentive Plan. Excludes securities reflected in column (a).</w:t>
      </w:r>
    </w:p>
    <w:p>
      <w:pPr>
        <w:spacing w:after="0" w:line="54" w:lineRule="exact"/>
        <w:rPr>
          <w:rFonts w:ascii="Arial" w:cs="Arial" w:eastAsia="Arial" w:hAnsi="Arial"/>
          <w:sz w:val="14"/>
          <w:szCs w:val="14"/>
          <w:color w:val="4D4D4F"/>
        </w:rPr>
      </w:pPr>
    </w:p>
    <w:p>
      <w:pPr>
        <w:ind w:left="340" w:hanging="332"/>
        <w:spacing w:after="0"/>
        <w:tabs>
          <w:tab w:leader="none" w:pos="340" w:val="left"/>
        </w:tabs>
        <w:numPr>
          <w:ilvl w:val="0"/>
          <w:numId w:val="58"/>
        </w:numPr>
        <w:rPr>
          <w:rFonts w:ascii="Arial" w:cs="Arial" w:eastAsia="Arial" w:hAnsi="Arial"/>
          <w:sz w:val="14"/>
          <w:szCs w:val="14"/>
          <w:color w:val="4D4D4F"/>
        </w:rPr>
      </w:pPr>
      <w:r>
        <w:rPr>
          <w:rFonts w:ascii="Arial" w:cs="Arial" w:eastAsia="Arial" w:hAnsi="Arial"/>
          <w:sz w:val="14"/>
          <w:szCs w:val="14"/>
          <w:color w:val="4D4D4F"/>
        </w:rPr>
        <w:t>Consists of awards issued or issuable under our 2016 Omnibus Incentive Plan and 1998 Stock Option Plan.</w:t>
      </w:r>
    </w:p>
    <w:p>
      <w:pPr>
        <w:spacing w:after="0" w:line="54" w:lineRule="exact"/>
        <w:rPr>
          <w:rFonts w:ascii="Arial" w:cs="Arial" w:eastAsia="Arial" w:hAnsi="Arial"/>
          <w:sz w:val="14"/>
          <w:szCs w:val="14"/>
          <w:color w:val="4D4D4F"/>
        </w:rPr>
      </w:pPr>
    </w:p>
    <w:p>
      <w:pPr>
        <w:ind w:left="340" w:hanging="332"/>
        <w:spacing w:after="0"/>
        <w:tabs>
          <w:tab w:leader="none" w:pos="340" w:val="left"/>
        </w:tabs>
        <w:numPr>
          <w:ilvl w:val="0"/>
          <w:numId w:val="58"/>
        </w:numPr>
        <w:rPr>
          <w:rFonts w:ascii="Arial" w:cs="Arial" w:eastAsia="Arial" w:hAnsi="Arial"/>
          <w:sz w:val="14"/>
          <w:szCs w:val="14"/>
          <w:color w:val="4D4D4F"/>
        </w:rPr>
      </w:pPr>
      <w:r>
        <w:rPr>
          <w:rFonts w:ascii="Arial" w:cs="Arial" w:eastAsia="Arial" w:hAnsi="Arial"/>
          <w:sz w:val="14"/>
          <w:szCs w:val="14"/>
          <w:color w:val="4D4D4F"/>
        </w:rPr>
        <w:t>Consists of non-qualified stock option agreements granted between 2007 and 2015 outside of any equity incentive plan.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67" w:lineRule="exact"/>
        <w:rPr>
          <w:sz w:val="20"/>
          <w:szCs w:val="20"/>
          <w:color w:val="auto"/>
        </w:rPr>
      </w:pPr>
    </w:p>
    <w:p>
      <w:pPr>
        <w:ind w:left="1220"/>
        <w:spacing w:after="0"/>
        <w:rPr>
          <w:sz w:val="20"/>
          <w:szCs w:val="20"/>
          <w:color w:val="auto"/>
        </w:rPr>
      </w:pPr>
      <w:r>
        <w:rPr>
          <w:rFonts w:ascii="Arial" w:cs="Arial" w:eastAsia="Arial" w:hAnsi="Arial"/>
          <w:sz w:val="25"/>
          <w:szCs w:val="25"/>
          <w:b w:val="1"/>
          <w:bCs w:val="1"/>
          <w:color w:val="003E64"/>
        </w:rPr>
        <w:t xml:space="preserve">Proposal </w:t>
      </w:r>
      <w:r>
        <w:rPr>
          <w:sz w:val="1"/>
          <w:szCs w:val="1"/>
          <w:color w:val="auto"/>
        </w:rPr>
        <w:drawing>
          <wp:inline distT="0" distB="0" distL="0" distR="0">
            <wp:extent cx="231140" cy="23114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25"/>
          <w:szCs w:val="25"/>
          <w:b w:val="1"/>
          <w:bCs w:val="1"/>
          <w:color w:val="003E64"/>
        </w:rPr>
        <w:t>— Ratification of Appointment of Independent Auditor for 2019</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Appointment of Independent Auditor by Audit Committee</w:t>
      </w:r>
    </w:p>
    <w:p>
      <w:pPr>
        <w:spacing w:after="0" w:line="19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4D4D4F"/>
        </w:rPr>
        <w:t>The audit committee annually evaluates the performance of our independent auditor, including the senior audit engagement team, and determines whether to reengage the current independent auditor or consider other audit firms.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This year the audit committee has approved the retention of BDO China Shu Lun Pan Certified Public Accountants LLP, or BDO, as our independent auditor to report on our consolidated financial statements and the effectiveness of our internal control over financial reporting for the year ending December 31, 2019. Factors considered by the audit committee in deciding whether to retain BDO included:</w:t>
      </w:r>
    </w:p>
    <w:p>
      <w:pPr>
        <w:spacing w:after="0" w:line="67"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4D4D4F"/>
        </w:rPr>
      </w:pPr>
      <w:r>
        <w:rPr>
          <w:rFonts w:ascii="Arial" w:cs="Arial" w:eastAsia="Arial" w:hAnsi="Arial"/>
          <w:sz w:val="18"/>
          <w:szCs w:val="18"/>
          <w:color w:val="4D4D4F"/>
        </w:rPr>
        <w:t>BDO’s global capabilities;</w:t>
      </w:r>
    </w:p>
    <w:p>
      <w:pPr>
        <w:spacing w:after="0" w:line="89" w:lineRule="exact"/>
        <w:rPr>
          <w:rFonts w:ascii="Arial" w:cs="Arial" w:eastAsia="Arial" w:hAnsi="Arial"/>
          <w:sz w:val="18"/>
          <w:szCs w:val="18"/>
          <w:color w:val="4D4D4F"/>
        </w:rPr>
      </w:pPr>
    </w:p>
    <w:p>
      <w:pPr>
        <w:ind w:left="660" w:hanging="328"/>
        <w:spacing w:after="0"/>
        <w:tabs>
          <w:tab w:leader="none" w:pos="660" w:val="left"/>
        </w:tabs>
        <w:numPr>
          <w:ilvl w:val="0"/>
          <w:numId w:val="59"/>
        </w:numPr>
        <w:rPr>
          <w:rFonts w:ascii="Arial" w:cs="Arial" w:eastAsia="Arial" w:hAnsi="Arial"/>
          <w:sz w:val="18"/>
          <w:szCs w:val="18"/>
          <w:color w:val="4D4D4F"/>
        </w:rPr>
      </w:pPr>
      <w:r>
        <w:rPr>
          <w:rFonts w:ascii="Arial" w:cs="Arial" w:eastAsia="Arial" w:hAnsi="Arial"/>
          <w:sz w:val="18"/>
          <w:szCs w:val="18"/>
          <w:color w:val="4D4D4F"/>
        </w:rPr>
        <w:t>BDO’s technical expertise and knowledge of our global operations and industry;</w:t>
      </w:r>
    </w:p>
    <w:p>
      <w:pPr>
        <w:spacing w:after="0" w:line="89" w:lineRule="exact"/>
        <w:rPr>
          <w:rFonts w:ascii="Arial" w:cs="Arial" w:eastAsia="Arial" w:hAnsi="Arial"/>
          <w:sz w:val="18"/>
          <w:szCs w:val="18"/>
          <w:color w:val="4D4D4F"/>
        </w:rPr>
      </w:pPr>
    </w:p>
    <w:p>
      <w:pPr>
        <w:ind w:left="660" w:hanging="328"/>
        <w:spacing w:after="0"/>
        <w:tabs>
          <w:tab w:leader="none" w:pos="660" w:val="left"/>
        </w:tabs>
        <w:numPr>
          <w:ilvl w:val="0"/>
          <w:numId w:val="59"/>
        </w:numPr>
        <w:rPr>
          <w:rFonts w:ascii="Arial" w:cs="Arial" w:eastAsia="Arial" w:hAnsi="Arial"/>
          <w:sz w:val="18"/>
          <w:szCs w:val="18"/>
          <w:color w:val="4D4D4F"/>
        </w:rPr>
      </w:pPr>
      <w:r>
        <w:rPr>
          <w:rFonts w:ascii="Arial" w:cs="Arial" w:eastAsia="Arial" w:hAnsi="Arial"/>
          <w:sz w:val="18"/>
          <w:szCs w:val="18"/>
          <w:color w:val="4D4D4F"/>
        </w:rPr>
        <w:t>the quality and candor of BDO’s communications with the audit committee and management;</w:t>
      </w:r>
    </w:p>
    <w:p>
      <w:pPr>
        <w:spacing w:after="0" w:line="76" w:lineRule="exact"/>
        <w:rPr>
          <w:rFonts w:ascii="Arial" w:cs="Arial" w:eastAsia="Arial" w:hAnsi="Arial"/>
          <w:sz w:val="18"/>
          <w:szCs w:val="18"/>
          <w:color w:val="4D4D4F"/>
        </w:rPr>
      </w:pPr>
    </w:p>
    <w:p>
      <w:pPr>
        <w:ind w:left="660" w:hanging="328"/>
        <w:spacing w:after="0"/>
        <w:tabs>
          <w:tab w:leader="none" w:pos="660" w:val="left"/>
        </w:tabs>
        <w:numPr>
          <w:ilvl w:val="0"/>
          <w:numId w:val="59"/>
        </w:numPr>
        <w:rPr>
          <w:rFonts w:ascii="Arial" w:cs="Arial" w:eastAsia="Arial" w:hAnsi="Arial"/>
          <w:sz w:val="18"/>
          <w:szCs w:val="18"/>
          <w:color w:val="4D4D4F"/>
        </w:rPr>
      </w:pPr>
      <w:r>
        <w:rPr>
          <w:rFonts w:ascii="Arial" w:cs="Arial" w:eastAsia="Arial" w:hAnsi="Arial"/>
          <w:sz w:val="18"/>
          <w:szCs w:val="18"/>
          <w:color w:val="4D4D4F"/>
        </w:rPr>
        <w:t>the quality and efficiency of the services provided by BDO, including input from management on BDO’s performance;</w:t>
      </w:r>
    </w:p>
    <w:p>
      <w:pPr>
        <w:spacing w:after="0" w:line="89" w:lineRule="exact"/>
        <w:rPr>
          <w:rFonts w:ascii="Arial" w:cs="Arial" w:eastAsia="Arial" w:hAnsi="Arial"/>
          <w:sz w:val="18"/>
          <w:szCs w:val="18"/>
          <w:color w:val="4D4D4F"/>
        </w:rPr>
      </w:pPr>
    </w:p>
    <w:p>
      <w:pPr>
        <w:ind w:left="660" w:hanging="328"/>
        <w:spacing w:after="0"/>
        <w:tabs>
          <w:tab w:leader="none" w:pos="660" w:val="left"/>
        </w:tabs>
        <w:numPr>
          <w:ilvl w:val="0"/>
          <w:numId w:val="59"/>
        </w:numPr>
        <w:rPr>
          <w:rFonts w:ascii="Arial" w:cs="Arial" w:eastAsia="Arial" w:hAnsi="Arial"/>
          <w:sz w:val="18"/>
          <w:szCs w:val="18"/>
          <w:color w:val="4D4D4F"/>
        </w:rPr>
      </w:pPr>
      <w:r>
        <w:rPr>
          <w:rFonts w:ascii="Arial" w:cs="Arial" w:eastAsia="Arial" w:hAnsi="Arial"/>
          <w:sz w:val="18"/>
          <w:szCs w:val="18"/>
          <w:color w:val="4D4D4F"/>
        </w:rPr>
        <w:t>BDO’s objectivity and professional skepticism;</w:t>
      </w:r>
    </w:p>
    <w:p>
      <w:pPr>
        <w:spacing w:after="0" w:line="89" w:lineRule="exact"/>
        <w:rPr>
          <w:rFonts w:ascii="Arial" w:cs="Arial" w:eastAsia="Arial" w:hAnsi="Arial"/>
          <w:sz w:val="18"/>
          <w:szCs w:val="18"/>
          <w:color w:val="4D4D4F"/>
        </w:rPr>
      </w:pPr>
    </w:p>
    <w:p>
      <w:pPr>
        <w:ind w:left="660" w:hanging="328"/>
        <w:spacing w:after="0"/>
        <w:tabs>
          <w:tab w:leader="none" w:pos="660" w:val="left"/>
        </w:tabs>
        <w:numPr>
          <w:ilvl w:val="0"/>
          <w:numId w:val="59"/>
        </w:numPr>
        <w:rPr>
          <w:rFonts w:ascii="Arial" w:cs="Arial" w:eastAsia="Arial" w:hAnsi="Arial"/>
          <w:sz w:val="18"/>
          <w:szCs w:val="18"/>
          <w:color w:val="4D4D4F"/>
        </w:rPr>
      </w:pPr>
      <w:r>
        <w:rPr>
          <w:rFonts w:ascii="Arial" w:cs="Arial" w:eastAsia="Arial" w:hAnsi="Arial"/>
          <w:sz w:val="18"/>
          <w:szCs w:val="18"/>
          <w:color w:val="4D4D4F"/>
        </w:rPr>
        <w:t>external data on audit quality and performance, including recent PCAOB reports on BDO’and its peer firms;</w:t>
      </w:r>
    </w:p>
    <w:p>
      <w:pPr>
        <w:spacing w:after="0" w:line="76" w:lineRule="exact"/>
        <w:rPr>
          <w:rFonts w:ascii="Arial" w:cs="Arial" w:eastAsia="Arial" w:hAnsi="Arial"/>
          <w:sz w:val="18"/>
          <w:szCs w:val="18"/>
          <w:color w:val="4D4D4F"/>
        </w:rPr>
      </w:pPr>
    </w:p>
    <w:p>
      <w:pPr>
        <w:ind w:left="660" w:hanging="328"/>
        <w:spacing w:after="0"/>
        <w:tabs>
          <w:tab w:leader="none" w:pos="660" w:val="left"/>
        </w:tabs>
        <w:numPr>
          <w:ilvl w:val="0"/>
          <w:numId w:val="59"/>
        </w:numPr>
        <w:rPr>
          <w:rFonts w:ascii="Arial" w:cs="Arial" w:eastAsia="Arial" w:hAnsi="Arial"/>
          <w:sz w:val="18"/>
          <w:szCs w:val="18"/>
          <w:color w:val="4D4D4F"/>
        </w:rPr>
      </w:pPr>
      <w:r>
        <w:rPr>
          <w:rFonts w:ascii="Arial" w:cs="Arial" w:eastAsia="Arial" w:hAnsi="Arial"/>
          <w:sz w:val="18"/>
          <w:szCs w:val="18"/>
          <w:color w:val="4D4D4F"/>
        </w:rPr>
        <w:t>BDO’s use of technology to aid in audit efficiency;</w:t>
      </w:r>
    </w:p>
    <w:p>
      <w:pPr>
        <w:spacing w:after="0" w:line="89" w:lineRule="exact"/>
        <w:rPr>
          <w:rFonts w:ascii="Arial" w:cs="Arial" w:eastAsia="Arial" w:hAnsi="Arial"/>
          <w:sz w:val="18"/>
          <w:szCs w:val="18"/>
          <w:color w:val="4D4D4F"/>
        </w:rPr>
      </w:pPr>
    </w:p>
    <w:p>
      <w:pPr>
        <w:ind w:left="660" w:hanging="328"/>
        <w:spacing w:after="0" w:line="245" w:lineRule="auto"/>
        <w:tabs>
          <w:tab w:leader="none" w:pos="660" w:val="left"/>
        </w:tabs>
        <w:numPr>
          <w:ilvl w:val="0"/>
          <w:numId w:val="59"/>
        </w:numPr>
        <w:rPr>
          <w:rFonts w:ascii="Arial" w:cs="Arial" w:eastAsia="Arial" w:hAnsi="Arial"/>
          <w:sz w:val="18"/>
          <w:szCs w:val="18"/>
          <w:color w:val="4D4D4F"/>
        </w:rPr>
      </w:pPr>
      <w:r>
        <w:rPr>
          <w:rFonts w:ascii="Arial" w:cs="Arial" w:eastAsia="Arial" w:hAnsi="Arial"/>
          <w:sz w:val="18"/>
          <w:szCs w:val="18"/>
          <w:color w:val="4D4D4F"/>
        </w:rPr>
        <w:t>BDO’s independence, how effectively BDO demonstrated its independent judgment, and the controls and processes in place that help ensure BDO’s independence; and</w:t>
      </w:r>
    </w:p>
    <w:p>
      <w:pPr>
        <w:spacing w:after="0" w:line="76" w:lineRule="exact"/>
        <w:rPr>
          <w:rFonts w:ascii="Arial" w:cs="Arial" w:eastAsia="Arial" w:hAnsi="Arial"/>
          <w:sz w:val="18"/>
          <w:szCs w:val="18"/>
          <w:color w:val="4D4D4F"/>
        </w:rPr>
      </w:pPr>
    </w:p>
    <w:p>
      <w:pPr>
        <w:ind w:left="660" w:hanging="328"/>
        <w:spacing w:after="0"/>
        <w:tabs>
          <w:tab w:leader="none" w:pos="660" w:val="left"/>
        </w:tabs>
        <w:numPr>
          <w:ilvl w:val="0"/>
          <w:numId w:val="59"/>
        </w:numPr>
        <w:rPr>
          <w:rFonts w:ascii="Arial" w:cs="Arial" w:eastAsia="Arial" w:hAnsi="Arial"/>
          <w:sz w:val="18"/>
          <w:szCs w:val="18"/>
          <w:color w:val="4D4D4F"/>
        </w:rPr>
      </w:pPr>
      <w:r>
        <w:rPr>
          <w:rFonts w:ascii="Arial" w:cs="Arial" w:eastAsia="Arial" w:hAnsi="Arial"/>
          <w:sz w:val="18"/>
          <w:szCs w:val="18"/>
          <w:color w:val="4D4D4F"/>
        </w:rPr>
        <w:t>the appropriateness of BDO’s fees.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Proposed Ratification of Independent Auditor</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The audit committee is responsible for the appointment, retention, termination, compensation and oversight of the work of our independent registered public accounting firm for the purpose of preparing or issuing an audit report or related work. Although ratification of the appointment of our independent auditor is not required by our bylaws or otherwise, the board of directors is submitting the appointment of BDO to our stockholders for ratification because we value the views of our stockholders.</w:t>
      </w:r>
    </w:p>
    <w:p>
      <w:pPr>
        <w:spacing w:after="0" w:line="16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The audit committee considers BDO to be well qualified. In the absence of contrary specification, the proxy holders will vote proxies received in response to this solicitation in favor of ratification of the appointment. In the event that stockholders fail to ratify the appointment of BDO, the audit committee will reconsider the appointment of BDO. Even if the appointment is ratified, the ratification is not binding and the audit committee may in its discretion select a different independent auditor at any time during the year if it determines that such a change would be in the best interests of our company and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4D4D4F"/>
        </w:rPr>
        <w:t>Representatives of BDO are expected to be present at the Annual Meeting and will have an opportunity to make a statement, if they desire.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9C0"/>
        </w:rPr>
        <w:t>The board of directors recommends a vote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9C0"/>
        </w:rPr>
        <w:t>FOR</w:t>
      </w:r>
    </w:p>
    <w:p>
      <w:pPr>
        <w:jc w:val="center"/>
        <w:spacing w:after="0"/>
        <w:rPr>
          <w:sz w:val="20"/>
          <w:szCs w:val="20"/>
          <w:color w:val="auto"/>
        </w:rPr>
      </w:pPr>
      <w:r>
        <w:rPr>
          <w:rFonts w:ascii="Arial" w:cs="Arial" w:eastAsia="Arial" w:hAnsi="Arial"/>
          <w:sz w:val="22"/>
          <w:szCs w:val="22"/>
          <w:b w:val="1"/>
          <w:bCs w:val="1"/>
          <w:color w:val="0079C0"/>
        </w:rPr>
        <w:t>the ratification of the appointment of BDO as our independent auditor for 2019.</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Accounting Matters</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Principal Independent Auditor Fees</w:t>
      </w:r>
    </w:p>
    <w:p>
      <w:pPr>
        <w:spacing w:after="0" w:line="197" w:lineRule="exact"/>
        <w:rPr>
          <w:sz w:val="20"/>
          <w:szCs w:val="20"/>
          <w:color w:val="auto"/>
        </w:rPr>
      </w:pPr>
    </w:p>
    <w:p>
      <w:pPr>
        <w:spacing w:after="0" w:line="245" w:lineRule="auto"/>
        <w:rPr>
          <w:sz w:val="20"/>
          <w:szCs w:val="20"/>
          <w:color w:val="auto"/>
        </w:rPr>
      </w:pPr>
      <w:r>
        <w:rPr>
          <w:rFonts w:ascii="Arial" w:cs="Arial" w:eastAsia="Arial" w:hAnsi="Arial"/>
          <w:sz w:val="18"/>
          <w:szCs w:val="18"/>
          <w:color w:val="4D4D4F"/>
        </w:rPr>
        <w:t>The following table sets forth the aggregate fees billed to us by BDO for professional services rendered for the years ended December 31, 2018 and 2017:</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shd w:val="clear" w:color="auto" w:fill="003E64"/>
          </w:tcPr>
          <w:p>
            <w:pPr>
              <w:spacing w:after="0"/>
              <w:rPr>
                <w:sz w:val="14"/>
                <w:szCs w:val="14"/>
                <w:color w:val="auto"/>
              </w:rPr>
            </w:pPr>
          </w:p>
        </w:tc>
        <w:tc>
          <w:tcPr>
            <w:tcW w:w="4980" w:type="dxa"/>
            <w:vAlign w:val="bottom"/>
            <w:shd w:val="clear" w:color="auto" w:fill="003E64"/>
          </w:tcPr>
          <w:p>
            <w:pPr>
              <w:jc w:val="right"/>
              <w:ind w:right="668"/>
              <w:spacing w:after="0"/>
              <w:rPr>
                <w:sz w:val="20"/>
                <w:szCs w:val="20"/>
                <w:color w:val="auto"/>
              </w:rPr>
            </w:pPr>
            <w:r>
              <w:rPr>
                <w:rFonts w:ascii="Arial" w:cs="Arial" w:eastAsia="Arial" w:hAnsi="Arial"/>
                <w:sz w:val="14"/>
                <w:szCs w:val="14"/>
                <w:b w:val="1"/>
                <w:bCs w:val="1"/>
                <w:color w:val="FFFFFF"/>
              </w:rPr>
              <w:t>2018</w:t>
            </w:r>
          </w:p>
        </w:tc>
        <w:tc>
          <w:tcPr>
            <w:tcW w:w="1840" w:type="dxa"/>
            <w:vAlign w:val="bottom"/>
            <w:shd w:val="clear" w:color="auto" w:fill="003E64"/>
          </w:tcPr>
          <w:p>
            <w:pPr>
              <w:jc w:val="right"/>
              <w:ind w:right="688"/>
              <w:spacing w:after="0"/>
              <w:rPr>
                <w:sz w:val="20"/>
                <w:szCs w:val="20"/>
                <w:color w:val="auto"/>
              </w:rPr>
            </w:pPr>
            <w:r>
              <w:rPr>
                <w:rFonts w:ascii="Arial" w:cs="Arial" w:eastAsia="Arial" w:hAnsi="Arial"/>
                <w:sz w:val="14"/>
                <w:szCs w:val="14"/>
                <w:b w:val="1"/>
                <w:bCs w:val="1"/>
                <w:color w:val="FFFFFF"/>
              </w:rPr>
              <w:t>2017</w:t>
            </w:r>
          </w:p>
        </w:tc>
      </w:tr>
      <w:tr>
        <w:trPr>
          <w:trHeight w:val="162"/>
        </w:trPr>
        <w:tc>
          <w:tcPr>
            <w:tcW w:w="4600" w:type="dxa"/>
            <w:vAlign w:val="bottom"/>
            <w:shd w:val="clear" w:color="auto" w:fill="B7E4FF"/>
          </w:tcPr>
          <w:p>
            <w:pPr>
              <w:spacing w:after="0"/>
              <w:rPr>
                <w:sz w:val="20"/>
                <w:szCs w:val="20"/>
                <w:color w:val="auto"/>
              </w:rPr>
            </w:pPr>
            <w:r>
              <w:rPr>
                <w:rFonts w:ascii="Arial" w:cs="Arial" w:eastAsia="Arial" w:hAnsi="Arial"/>
                <w:sz w:val="14"/>
                <w:szCs w:val="14"/>
                <w:color w:val="4D4D4F"/>
              </w:rPr>
              <w:t>Audit Fees(1)</w:t>
            </w:r>
          </w:p>
        </w:tc>
        <w:tc>
          <w:tcPr>
            <w:tcW w:w="4980" w:type="dxa"/>
            <w:vAlign w:val="bottom"/>
            <w:shd w:val="clear" w:color="auto" w:fill="B7E4FF"/>
          </w:tcPr>
          <w:p>
            <w:pPr>
              <w:jc w:val="right"/>
              <w:ind w:right="468"/>
              <w:spacing w:after="0"/>
              <w:rPr>
                <w:sz w:val="20"/>
                <w:szCs w:val="20"/>
                <w:color w:val="auto"/>
              </w:rPr>
            </w:pPr>
            <w:r>
              <w:rPr>
                <w:rFonts w:ascii="Arial" w:cs="Arial" w:eastAsia="Arial" w:hAnsi="Arial"/>
                <w:sz w:val="14"/>
                <w:szCs w:val="14"/>
                <w:color w:val="4D4D4F"/>
              </w:rPr>
              <w:t>$  156,389</w:t>
            </w:r>
          </w:p>
        </w:tc>
        <w:tc>
          <w:tcPr>
            <w:tcW w:w="1840" w:type="dxa"/>
            <w:vAlign w:val="bottom"/>
            <w:shd w:val="clear" w:color="auto" w:fill="B7E4FF"/>
          </w:tcPr>
          <w:p>
            <w:pPr>
              <w:jc w:val="right"/>
              <w:ind w:right="468"/>
              <w:spacing w:after="0"/>
              <w:rPr>
                <w:sz w:val="20"/>
                <w:szCs w:val="20"/>
                <w:color w:val="auto"/>
              </w:rPr>
            </w:pPr>
            <w:r>
              <w:rPr>
                <w:rFonts w:ascii="Arial" w:cs="Arial" w:eastAsia="Arial" w:hAnsi="Arial"/>
                <w:sz w:val="14"/>
                <w:szCs w:val="14"/>
                <w:color w:val="4D4D4F"/>
              </w:rPr>
              <w:t>$  385,000</w:t>
            </w:r>
          </w:p>
        </w:tc>
      </w:tr>
    </w:tbl>
    <w:p>
      <w:pPr>
        <w:spacing w:after="0" w:line="59" w:lineRule="exact"/>
        <w:rPr>
          <w:sz w:val="20"/>
          <w:szCs w:val="20"/>
          <w:color w:val="auto"/>
        </w:rPr>
      </w:pPr>
    </w:p>
    <w:p>
      <w:pPr>
        <w:ind w:left="340" w:hanging="332"/>
        <w:spacing w:after="0" w:line="257" w:lineRule="auto"/>
        <w:tabs>
          <w:tab w:leader="none" w:pos="340" w:val="left"/>
        </w:tabs>
        <w:numPr>
          <w:ilvl w:val="0"/>
          <w:numId w:val="60"/>
        </w:numPr>
        <w:rPr>
          <w:rFonts w:ascii="Arial" w:cs="Arial" w:eastAsia="Arial" w:hAnsi="Arial"/>
          <w:sz w:val="14"/>
          <w:szCs w:val="14"/>
          <w:color w:val="4D4D4F"/>
        </w:rPr>
      </w:pPr>
      <w:r>
        <w:rPr>
          <w:rFonts w:ascii="Arial" w:cs="Arial" w:eastAsia="Arial" w:hAnsi="Arial"/>
          <w:sz w:val="14"/>
          <w:szCs w:val="14"/>
          <w:color w:val="4D4D4F"/>
        </w:rPr>
        <w:t>Includes services relating to the audit of the annual consolidated financial statements, review of quarterly consolidated financial statements, statutory audits, comfort letters, and consents and review of documentation filed with SEC-registered and other securities offerings.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Audit Committee Pre-Approval Policies and Procedures</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The audit committee has adopted a policy that requires the audit committee or a member of the audit committee to pre-approve all engagements with our independent auditor. These services include audit services, audit-related services and tax services. Each year, the audit committee must approve the independent auditor’s retention to audit our financial statements, subject to ratification by the stockholders. The audit committee also approves the estimated fees associated with the audit before the audit begins. The audit committee or a member of the audit committee also pre-approves any engagement of an auditing firm other than the independent auditor to perform a statutory audit for any of our subsidiaries.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Report of Audit Committee</w:t>
      </w:r>
    </w:p>
    <w:p>
      <w:pPr>
        <w:spacing w:after="0" w:line="21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 xml:space="preserve">The Audit Committee of the Board of Directors consists entirely of members who meet the independence requirements of the listing standards of Nasdaq and the rules and regulations of the SEC, as determined by the board. The Audit Committee is responsible for providing independent, objective oversight of the financial reporting processes and internal controls of ACM Research, Inc., or ACM. The Audit Committee operates under a written charter approved by the board. A copy of the current charter is available at </w:t>
      </w:r>
      <w:r>
        <w:rPr>
          <w:rFonts w:ascii="Arial" w:cs="Arial" w:eastAsia="Arial" w:hAnsi="Arial"/>
          <w:sz w:val="18"/>
          <w:szCs w:val="18"/>
          <w:i w:val="1"/>
          <w:iCs w:val="1"/>
          <w:color w:val="4D4D4F"/>
        </w:rPr>
        <w:t>https://www.sec.gov/Archives/edgar/data/1680062/000119312517342650/d407541dex301.htm</w:t>
      </w:r>
      <w:r>
        <w:rPr>
          <w:rFonts w:ascii="Arial" w:cs="Arial" w:eastAsia="Arial" w:hAnsi="Arial"/>
          <w:sz w:val="18"/>
          <w:szCs w:val="18"/>
          <w:color w:val="4D4D4F"/>
        </w:rPr>
        <w:t>.</w:t>
      </w:r>
    </w:p>
    <w:p>
      <w:pPr>
        <w:spacing w:after="0" w:line="7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Management is responsible for ACM’s system of internal control and financial reporting processes, for the preparation of consolidated financial statements in accordance with U.S. generally accepted accounting principles and for the annual report on ACM’s internal control over financial reporting. The independent auditor is responsible for performing an independent audit of ACM’s consolidated financial statements in accordance with the standards of the Public Company Accounting Oversight Board, or PCAOB, and for issuing a report on the financial statements and the effectiveness of ACM’s internal control over financial reporting. The Audit Committee’s responsibility is to monitor and oversee these processes. Audit Committee members do not serve as professional accountants or auditors for ACM, and their functions are not intended to duplicate or certify the activities of ACM’s management or independent auditor.</w:t>
      </w:r>
    </w:p>
    <w:p>
      <w:pPr>
        <w:spacing w:after="0" w:line="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Consistent with its monitoring and oversight responsibilities, the Audit Committee met with management and BDO Shu Lun Pan, LLC, or BDO, the independent auditor of ACM, to review and discuss the December 31, 2018 audited consolidated financial statements. Management represented that ACM had prepared the consolidated financial statements in accordance with U.S. generally accepted accounting principles. The Audit Committee discussed with BDO the matters required by the PCAOB in accordance with Auditing Standard No. 1301, “Communications with Audit Committees.”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66"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4D4D4F"/>
        </w:rPr>
        <w:t>The Audit Committee received from BDO the written communication that is required by PCAOB Rule 3526, “Communication with Audit Committees Concerning Independence,” and the Audit Committee discussed with BDO that firm’s independence. The Audit Committee also considered whether BDO’s provision of non-audit services and the audit and non-audit fees paid to BDO were compatible with maintaining that firm’s independence. On the basis of these reviews, the Audit Committee determined that BDO has the requisite independence.</w:t>
      </w:r>
    </w:p>
    <w:p>
      <w:pPr>
        <w:spacing w:after="0" w:line="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Management completed the documentation, testing and evaluation of ACM’s system of internal control over financial reporting as of December 31, 2018 as required by Section 404 of the Sarbanes-Oxley Act of 2002. The Audit Committee received periodic updates from management and BDO at Audit Committee meetings throughout the year and provided oversight of the process. Prior to filing ACM’s Annual Report on Form 10-K for the fiscal year ended December 31, 2018, or the Form 10-K, with the SEC, the Audit Committee also reviewed management’s report on the effectiveness of ACM’s internal control over financial reporting contained in the Form 10-K, as well as the Report of Independent Registered Public Accounting Firm provided by BDO and also included in the Form 10-K. BDO’s report included in the Form 10-K related to its audit of ACM’s consolidated financial statements.</w:t>
      </w:r>
    </w:p>
    <w:p>
      <w:pPr>
        <w:spacing w:after="0" w:line="6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Based upon the Audit Committee’s discussions with management and BDO and the Audit Committee’s review of the information provided by, and the representations of, management and BDO, the Audit Committee recommended to the board that the audited consolidated financial statements as of and for the year ended December 31, 2018 be included in BDO’s Annual Report on Form 10-K for the year ended December 31, 2018. The Audit Committee selected BDO as ACM’s independent auditor for the fiscal year ending December 31, 2019, and recommended that the selection be submitted for ratification by the stockholders of ACM.</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4D4D4F"/>
        </w:rPr>
        <w:t>Audit Committee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4D4D4F"/>
        </w:rPr>
        <w:t>Tracy Liu</w:t>
      </w:r>
    </w:p>
    <w:p>
      <w:pPr>
        <w:spacing w:after="0" w:line="234" w:lineRule="auto"/>
        <w:rPr>
          <w:sz w:val="20"/>
          <w:szCs w:val="20"/>
          <w:color w:val="auto"/>
        </w:rPr>
      </w:pPr>
      <w:r>
        <w:rPr>
          <w:rFonts w:ascii="Arial" w:cs="Arial" w:eastAsia="Arial" w:hAnsi="Arial"/>
          <w:sz w:val="18"/>
          <w:szCs w:val="18"/>
          <w:color w:val="4D4D4F"/>
        </w:rPr>
        <w:t>Haiping Dun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4D4D4F"/>
        </w:rPr>
        <w:t>Yinan Xiang</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Stockholder Proposals for 2020 Annual Meeting</w:t>
      </w:r>
    </w:p>
    <w:p>
      <w:pPr>
        <w:spacing w:after="0" w:line="3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In order for stockholder proposals for the 2020 Annual Meeting of Stockholders to be eligible for inclusion in the proxy statement and form of proxy card for that meeting, we must receive the proposals at our corporate headquarters, 42307 Osgood Road, Suite I, Fremont, California 94539, directed to the attention of our Corporate Secretary, no later than January 1, 2020. In addition, all proposals will need to comply with Rule 14a-8 of the Securities Exchange Act, which sets forth the requirements for the inclusion of stockholder proposals in our sponsored proxy materials.</w:t>
      </w:r>
    </w:p>
    <w:p>
      <w:pPr>
        <w:spacing w:after="0" w:line="9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4D4D4F"/>
        </w:rPr>
        <w:t>Our Bylaws set forth the procedures you must follow in order to nominate a director for election or present any other proposal at an annual meeting of our stockholders, other than proposals intended to be included in our sponsored proxy materials. In addition to any other applicable requirements, for a stockholder to properly bring business before the 2020 Annual Meeting of Stockholders, the stockholder must give us notice thereof in proper written form, including all required information, at our corporate headquarters, 42307 Osgood Road, Suite I, Fremont, California 94539, directed to the attention of our Corporate Secretary, no later than the close of business on March 8, 2020, nor earlier than the</w:t>
      </w:r>
    </w:p>
    <w:p>
      <w:pPr>
        <w:spacing w:after="0" w:line="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4D4D4F"/>
        </w:rPr>
        <w:t xml:space="preserve">close of business on February 7, 2020. A copy of our Bylaws is available at </w:t>
      </w:r>
      <w:r>
        <w:rPr>
          <w:rFonts w:ascii="Arial" w:cs="Arial" w:eastAsia="Arial" w:hAnsi="Arial"/>
          <w:sz w:val="18"/>
          <w:szCs w:val="18"/>
          <w:i w:val="1"/>
          <w:iCs w:val="1"/>
          <w:color w:val="000000"/>
        </w:rPr>
        <w:t>sec.gov/Archives/edgar/data/1680062/000119312517342650/d407541dex302.htm</w:t>
      </w:r>
      <w:r>
        <w:rPr>
          <w:rFonts w:ascii="Arial" w:cs="Arial" w:eastAsia="Arial" w:hAnsi="Arial"/>
          <w:sz w:val="18"/>
          <w:szCs w:val="18"/>
          <w:i w:val="1"/>
          <w:iCs w:val="1"/>
          <w:color w:val="4D4D4F"/>
        </w:rPr>
        <w: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Delivery of Documents to Security Holders Sharing an Address</w:t>
      </w:r>
    </w:p>
    <w:p>
      <w:pPr>
        <w:spacing w:after="0" w:line="30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 xml:space="preserve">SEC rules permit us to deliver one copy of the proxy materials to two or more stockholders who share an address, unless we have received contrary instructions from one or more of the stockholders. This delivery method, which is known as “householding,” can reduce our expenses for printing and mailing. Any stockholder of record at a shared address to which a single copy of the proxy materials was delivered may request a separate copy of the proxy materials, by (a) sending a letter to Shareholder Services at ACM Research, Inc., 42307 Osgood Road, Suite I, Fremont, California 94539, to the attention of our Corporate Secretary, or (b) sending us an email at </w:t>
      </w:r>
      <w:r>
        <w:rPr>
          <w:rFonts w:ascii="Arial" w:cs="Arial" w:eastAsia="Arial" w:hAnsi="Arial"/>
          <w:sz w:val="18"/>
          <w:szCs w:val="18"/>
          <w:i w:val="1"/>
          <w:iCs w:val="1"/>
          <w:color w:val="4D4D4F"/>
        </w:rPr>
        <w:t>investor.relations@acmrcsh.com</w:t>
      </w:r>
      <w:r>
        <w:rPr>
          <w:rFonts w:ascii="Arial" w:cs="Arial" w:eastAsia="Arial" w:hAnsi="Arial"/>
          <w:sz w:val="18"/>
          <w:szCs w:val="18"/>
          <w:color w:val="4D4D4F"/>
        </w:rPr>
        <w:t>. Stockholders of record who wish to receive separate copies of these documents in the future may also contact us as stated above. Stockholders of record who share an address and receive two or more copies of the proxy materials may contact us as stated above to request delivery of a single copy. A stockholder who holds shares in “street name” and who wishes to obtain copies of proxy materials should follow the instructions on the stockholder’s voting instruction form or should contact the holder of record.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Other Matters</w:t>
      </w:r>
    </w:p>
    <w:p>
      <w:pPr>
        <w:spacing w:after="0" w:line="30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4D4D4F"/>
        </w:rPr>
        <w:t>We will pay all expenses of preparing, printing and mailing the Annual Meeting proxy materials, as well as all other expenses of soliciting proxies for the Annual Meeting on behalf of the board of directors.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3280" w:type="dxa"/>
            <w:vAlign w:val="bottom"/>
            <w:gridSpan w:val="2"/>
          </w:tcPr>
          <w:p>
            <w:pPr>
              <w:spacing w:after="0"/>
              <w:rPr>
                <w:rFonts w:ascii="Arial" w:cs="Arial" w:eastAsia="Arial" w:hAnsi="Arial"/>
                <w:sz w:val="14"/>
                <w:szCs w:val="14"/>
                <w:i w:val="1"/>
                <w:iCs w:val="1"/>
                <w:color w:val="0000EE"/>
              </w:rPr>
            </w:pPr>
            <w:hyperlink w:anchor="page6">
              <w:r>
                <w:rPr>
                  <w:rFonts w:ascii="Arial" w:cs="Arial" w:eastAsia="Arial" w:hAnsi="Arial"/>
                  <w:sz w:val="14"/>
                  <w:szCs w:val="14"/>
                  <w:i w:val="1"/>
                  <w:iCs w:val="1"/>
                  <w:color w:val="0000EE"/>
                </w:rPr>
                <w:t>Contents</w:t>
              </w:r>
            </w:hyperlink>
          </w:p>
        </w:tc>
        <w:tc>
          <w:tcPr>
            <w:tcW w:w="35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5"/>
        </w:trPr>
        <w:tc>
          <w:tcPr>
            <w:tcW w:w="520" w:type="dxa"/>
            <w:vAlign w:val="bottom"/>
            <w:tcBorders>
              <w:top w:val="single" w:sz="8" w:color="0000EE"/>
            </w:tcBorders>
          </w:tcPr>
          <w:p>
            <w:pPr>
              <w:spacing w:after="0"/>
              <w:rPr>
                <w:sz w:val="24"/>
                <w:szCs w:val="24"/>
                <w:color w:val="auto"/>
              </w:rPr>
            </w:pPr>
          </w:p>
        </w:tc>
        <w:tc>
          <w:tcPr>
            <w:tcW w:w="2760" w:type="dxa"/>
            <w:vAlign w:val="bottom"/>
          </w:tcPr>
          <w:p>
            <w:pPr>
              <w:spacing w:after="0"/>
              <w:rPr>
                <w:sz w:val="24"/>
                <w:szCs w:val="24"/>
                <w:color w:val="auto"/>
              </w:rPr>
            </w:pPr>
          </w:p>
        </w:tc>
        <w:tc>
          <w:tcPr>
            <w:tcW w:w="8140" w:type="dxa"/>
            <w:vAlign w:val="bottom"/>
            <w:gridSpan w:val="4"/>
          </w:tcPr>
          <w:p>
            <w:pPr>
              <w:ind w:left="1300"/>
              <w:spacing w:after="0"/>
              <w:rPr>
                <w:sz w:val="20"/>
                <w:szCs w:val="20"/>
                <w:color w:val="auto"/>
              </w:rPr>
            </w:pPr>
            <w:r>
              <w:rPr>
                <w:rFonts w:ascii="Arial" w:cs="Arial" w:eastAsia="Arial" w:hAnsi="Arial"/>
                <w:sz w:val="18"/>
                <w:szCs w:val="18"/>
                <w:b w:val="1"/>
                <w:bCs w:val="1"/>
                <w:color w:val="221E1F"/>
              </w:rPr>
              <w:t>VOTE BY INTERNET</w:t>
            </w:r>
          </w:p>
        </w:tc>
        <w:tc>
          <w:tcPr>
            <w:tcW w:w="0" w:type="dxa"/>
            <w:vAlign w:val="bottom"/>
          </w:tcPr>
          <w:p>
            <w:pPr>
              <w:spacing w:after="0"/>
              <w:rPr>
                <w:sz w:val="1"/>
                <w:szCs w:val="1"/>
                <w:color w:val="auto"/>
              </w:rPr>
            </w:pPr>
          </w:p>
        </w:tc>
      </w:tr>
      <w:tr>
        <w:trPr>
          <w:trHeight w:val="198"/>
        </w:trPr>
        <w:tc>
          <w:tcPr>
            <w:tcW w:w="5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140" w:type="dxa"/>
            <w:vAlign w:val="bottom"/>
            <w:gridSpan w:val="4"/>
          </w:tcPr>
          <w:p>
            <w:pPr>
              <w:ind w:left="1300"/>
              <w:spacing w:after="0" w:line="198" w:lineRule="exact"/>
              <w:rPr>
                <w:sz w:val="20"/>
                <w:szCs w:val="20"/>
                <w:color w:val="auto"/>
              </w:rPr>
            </w:pPr>
            <w:r>
              <w:rPr>
                <w:rFonts w:ascii="Arial" w:cs="Arial" w:eastAsia="Arial" w:hAnsi="Arial"/>
                <w:sz w:val="18"/>
                <w:szCs w:val="18"/>
                <w:i w:val="1"/>
                <w:iCs w:val="1"/>
                <w:color w:val="221E1F"/>
              </w:rPr>
              <w:t xml:space="preserve">Before The Meeting </w:t>
            </w:r>
            <w:r>
              <w:rPr>
                <w:rFonts w:ascii="Arial" w:cs="Arial" w:eastAsia="Arial" w:hAnsi="Arial"/>
                <w:sz w:val="18"/>
                <w:szCs w:val="18"/>
                <w:color w:val="221E1F"/>
              </w:rPr>
              <w:t>- Go to</w:t>
            </w:r>
            <w:r>
              <w:rPr>
                <w:rFonts w:ascii="Arial" w:cs="Arial" w:eastAsia="Arial" w:hAnsi="Arial"/>
                <w:sz w:val="18"/>
                <w:szCs w:val="18"/>
                <w:i w:val="1"/>
                <w:iCs w:val="1"/>
                <w:color w:val="221E1F"/>
              </w:rPr>
              <w:t xml:space="preserve"> </w:t>
            </w:r>
            <w:r>
              <w:rPr>
                <w:rFonts w:ascii="Arial" w:cs="Arial" w:eastAsia="Arial" w:hAnsi="Arial"/>
                <w:sz w:val="18"/>
                <w:szCs w:val="18"/>
                <w:b w:val="1"/>
                <w:bCs w:val="1"/>
                <w:color w:val="221E1F"/>
              </w:rPr>
              <w:t>www.proxyvote.com</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760" w:type="dxa"/>
            <w:vAlign w:val="bottom"/>
            <w:shd w:val="clear" w:color="auto" w:fill="221E1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32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221E1F"/>
              </w:rPr>
              <w:t>ACM RESEARCH, INC.</w:t>
            </w:r>
          </w:p>
        </w:tc>
        <w:tc>
          <w:tcPr>
            <w:tcW w:w="8140" w:type="dxa"/>
            <w:vAlign w:val="bottom"/>
            <w:gridSpan w:val="4"/>
          </w:tcPr>
          <w:p>
            <w:pPr>
              <w:ind w:left="1300"/>
              <w:spacing w:after="0"/>
              <w:rPr>
                <w:sz w:val="20"/>
                <w:szCs w:val="20"/>
                <w:color w:val="auto"/>
              </w:rPr>
            </w:pPr>
            <w:r>
              <w:rPr>
                <w:rFonts w:ascii="Arial" w:cs="Arial" w:eastAsia="Arial" w:hAnsi="Arial"/>
                <w:sz w:val="18"/>
                <w:szCs w:val="18"/>
                <w:color w:val="221E1F"/>
              </w:rPr>
              <w:t>Use the Internet to transmit your voting instructions and for electronic delivery of</w:t>
            </w:r>
          </w:p>
        </w:tc>
        <w:tc>
          <w:tcPr>
            <w:tcW w:w="0" w:type="dxa"/>
            <w:vAlign w:val="bottom"/>
          </w:tcPr>
          <w:p>
            <w:pPr>
              <w:spacing w:after="0"/>
              <w:rPr>
                <w:sz w:val="1"/>
                <w:szCs w:val="1"/>
                <w:color w:val="auto"/>
              </w:rPr>
            </w:pPr>
          </w:p>
        </w:tc>
      </w:tr>
      <w:tr>
        <w:trPr>
          <w:trHeight w:val="180"/>
        </w:trPr>
        <w:tc>
          <w:tcPr>
            <w:tcW w:w="3280" w:type="dxa"/>
            <w:vAlign w:val="bottom"/>
            <w:gridSpan w:val="2"/>
            <w:vMerge w:val="continue"/>
          </w:tcPr>
          <w:p>
            <w:pPr>
              <w:spacing w:after="0"/>
              <w:rPr>
                <w:sz w:val="15"/>
                <w:szCs w:val="15"/>
                <w:color w:val="auto"/>
              </w:rPr>
            </w:pPr>
          </w:p>
        </w:tc>
        <w:tc>
          <w:tcPr>
            <w:tcW w:w="8140" w:type="dxa"/>
            <w:vAlign w:val="bottom"/>
            <w:gridSpan w:val="4"/>
          </w:tcPr>
          <w:p>
            <w:pPr>
              <w:ind w:left="1300"/>
              <w:spacing w:after="0" w:line="181" w:lineRule="exact"/>
              <w:rPr>
                <w:sz w:val="20"/>
                <w:szCs w:val="20"/>
                <w:color w:val="auto"/>
              </w:rPr>
            </w:pPr>
            <w:r>
              <w:rPr>
                <w:rFonts w:ascii="Arial" w:cs="Arial" w:eastAsia="Arial" w:hAnsi="Arial"/>
                <w:sz w:val="18"/>
                <w:szCs w:val="18"/>
                <w:color w:val="221E1F"/>
              </w:rPr>
              <w:t>information up until 11:59 p.m., Eastern Time, on June 5, 2019. Have your proxy card</w:t>
            </w:r>
          </w:p>
        </w:tc>
        <w:tc>
          <w:tcPr>
            <w:tcW w:w="0" w:type="dxa"/>
            <w:vAlign w:val="bottom"/>
          </w:tcPr>
          <w:p>
            <w:pPr>
              <w:spacing w:after="0"/>
              <w:rPr>
                <w:sz w:val="1"/>
                <w:szCs w:val="1"/>
                <w:color w:val="auto"/>
              </w:rPr>
            </w:pPr>
          </w:p>
        </w:tc>
      </w:tr>
      <w:tr>
        <w:trPr>
          <w:trHeight w:val="202"/>
        </w:trPr>
        <w:tc>
          <w:tcPr>
            <w:tcW w:w="3280" w:type="dxa"/>
            <w:vAlign w:val="bottom"/>
            <w:gridSpan w:val="2"/>
          </w:tcPr>
          <w:p>
            <w:pPr>
              <w:spacing w:after="0" w:line="202" w:lineRule="exact"/>
              <w:rPr>
                <w:sz w:val="20"/>
                <w:szCs w:val="20"/>
                <w:color w:val="auto"/>
              </w:rPr>
            </w:pPr>
            <w:r>
              <w:rPr>
                <w:rFonts w:ascii="Arial" w:cs="Arial" w:eastAsia="Arial" w:hAnsi="Arial"/>
                <w:sz w:val="18"/>
                <w:szCs w:val="18"/>
                <w:b w:val="1"/>
                <w:bCs w:val="1"/>
                <w:i w:val="1"/>
                <w:iCs w:val="1"/>
                <w:color w:val="221E1F"/>
              </w:rPr>
              <w:t>42307 OSGOOD ROAD,</w:t>
            </w:r>
          </w:p>
        </w:tc>
        <w:tc>
          <w:tcPr>
            <w:tcW w:w="8140" w:type="dxa"/>
            <w:vAlign w:val="bottom"/>
            <w:gridSpan w:val="4"/>
          </w:tcPr>
          <w:p>
            <w:pPr>
              <w:ind w:left="1300"/>
              <w:spacing w:after="0" w:line="202" w:lineRule="exact"/>
              <w:rPr>
                <w:sz w:val="20"/>
                <w:szCs w:val="20"/>
                <w:color w:val="auto"/>
              </w:rPr>
            </w:pPr>
            <w:r>
              <w:rPr>
                <w:rFonts w:ascii="Arial" w:cs="Arial" w:eastAsia="Arial" w:hAnsi="Arial"/>
                <w:sz w:val="18"/>
                <w:szCs w:val="18"/>
                <w:color w:val="221E1F"/>
              </w:rPr>
              <w:t>in hand when you access the web site and follow the instructions to obtain your</w:t>
            </w:r>
          </w:p>
        </w:tc>
        <w:tc>
          <w:tcPr>
            <w:tcW w:w="0" w:type="dxa"/>
            <w:vAlign w:val="bottom"/>
          </w:tcPr>
          <w:p>
            <w:pPr>
              <w:spacing w:after="0"/>
              <w:rPr>
                <w:sz w:val="1"/>
                <w:szCs w:val="1"/>
                <w:color w:val="auto"/>
              </w:rPr>
            </w:pPr>
          </w:p>
        </w:tc>
      </w:tr>
      <w:tr>
        <w:trPr>
          <w:trHeight w:val="202"/>
        </w:trPr>
        <w:tc>
          <w:tcPr>
            <w:tcW w:w="3280" w:type="dxa"/>
            <w:vAlign w:val="bottom"/>
            <w:gridSpan w:val="2"/>
          </w:tcPr>
          <w:p>
            <w:pPr>
              <w:spacing w:after="0" w:line="202" w:lineRule="exact"/>
              <w:rPr>
                <w:sz w:val="20"/>
                <w:szCs w:val="20"/>
                <w:color w:val="auto"/>
              </w:rPr>
            </w:pPr>
            <w:r>
              <w:rPr>
                <w:rFonts w:ascii="Arial" w:cs="Arial" w:eastAsia="Arial" w:hAnsi="Arial"/>
                <w:sz w:val="18"/>
                <w:szCs w:val="18"/>
                <w:b w:val="1"/>
                <w:bCs w:val="1"/>
                <w:i w:val="1"/>
                <w:iCs w:val="1"/>
                <w:color w:val="221E1F"/>
              </w:rPr>
              <w:t>SUITE I</w:t>
            </w:r>
          </w:p>
        </w:tc>
        <w:tc>
          <w:tcPr>
            <w:tcW w:w="8140" w:type="dxa"/>
            <w:vAlign w:val="bottom"/>
            <w:gridSpan w:val="4"/>
          </w:tcPr>
          <w:p>
            <w:pPr>
              <w:ind w:left="1300"/>
              <w:spacing w:after="0" w:line="202" w:lineRule="exact"/>
              <w:rPr>
                <w:sz w:val="20"/>
                <w:szCs w:val="20"/>
                <w:color w:val="auto"/>
              </w:rPr>
            </w:pPr>
            <w:r>
              <w:rPr>
                <w:rFonts w:ascii="Arial" w:cs="Arial" w:eastAsia="Arial" w:hAnsi="Arial"/>
                <w:sz w:val="18"/>
                <w:szCs w:val="18"/>
                <w:color w:val="221E1F"/>
              </w:rPr>
              <w:t>records and to create an electronic voting instruction form.</w:t>
            </w:r>
          </w:p>
        </w:tc>
        <w:tc>
          <w:tcPr>
            <w:tcW w:w="0" w:type="dxa"/>
            <w:vAlign w:val="bottom"/>
          </w:tcPr>
          <w:p>
            <w:pPr>
              <w:spacing w:after="0"/>
              <w:rPr>
                <w:sz w:val="1"/>
                <w:szCs w:val="1"/>
                <w:color w:val="auto"/>
              </w:rPr>
            </w:pPr>
          </w:p>
        </w:tc>
      </w:tr>
      <w:tr>
        <w:trPr>
          <w:trHeight w:val="239"/>
        </w:trPr>
        <w:tc>
          <w:tcPr>
            <w:tcW w:w="3280" w:type="dxa"/>
            <w:vAlign w:val="bottom"/>
            <w:gridSpan w:val="2"/>
          </w:tcPr>
          <w:p>
            <w:pPr>
              <w:spacing w:after="0"/>
              <w:rPr>
                <w:sz w:val="20"/>
                <w:szCs w:val="20"/>
                <w:color w:val="auto"/>
              </w:rPr>
            </w:pPr>
            <w:r>
              <w:rPr>
                <w:rFonts w:ascii="Arial" w:cs="Arial" w:eastAsia="Arial" w:hAnsi="Arial"/>
                <w:sz w:val="18"/>
                <w:szCs w:val="18"/>
                <w:b w:val="1"/>
                <w:bCs w:val="1"/>
                <w:i w:val="1"/>
                <w:iCs w:val="1"/>
                <w:color w:val="221E1F"/>
              </w:rPr>
              <w:t>FREMONT, CA 94539</w:t>
            </w:r>
          </w:p>
        </w:tc>
        <w:tc>
          <w:tcPr>
            <w:tcW w:w="8140" w:type="dxa"/>
            <w:vAlign w:val="bottom"/>
            <w:gridSpan w:val="4"/>
            <w:vMerge w:val="restart"/>
          </w:tcPr>
          <w:p>
            <w:pPr>
              <w:ind w:left="1300"/>
              <w:spacing w:after="0"/>
              <w:rPr>
                <w:sz w:val="20"/>
                <w:szCs w:val="20"/>
                <w:color w:val="auto"/>
              </w:rPr>
            </w:pPr>
            <w:r>
              <w:rPr>
                <w:rFonts w:ascii="Arial" w:cs="Arial" w:eastAsia="Arial" w:hAnsi="Arial"/>
                <w:sz w:val="18"/>
                <w:szCs w:val="18"/>
                <w:i w:val="1"/>
                <w:iCs w:val="1"/>
                <w:color w:val="221E1F"/>
              </w:rPr>
              <w:t xml:space="preserve">During The Meeting </w:t>
            </w:r>
            <w:r>
              <w:rPr>
                <w:rFonts w:ascii="Arial" w:cs="Arial" w:eastAsia="Arial" w:hAnsi="Arial"/>
                <w:sz w:val="18"/>
                <w:szCs w:val="18"/>
                <w:color w:val="221E1F"/>
              </w:rPr>
              <w:t>- Go to</w:t>
            </w:r>
            <w:r>
              <w:rPr>
                <w:rFonts w:ascii="Arial" w:cs="Arial" w:eastAsia="Arial" w:hAnsi="Arial"/>
                <w:sz w:val="18"/>
                <w:szCs w:val="18"/>
                <w:i w:val="1"/>
                <w:iCs w:val="1"/>
                <w:color w:val="221E1F"/>
              </w:rPr>
              <w:t xml:space="preserve"> </w:t>
            </w:r>
            <w:r>
              <w:rPr>
                <w:rFonts w:ascii="Arial" w:cs="Arial" w:eastAsia="Arial" w:hAnsi="Arial"/>
                <w:sz w:val="18"/>
                <w:szCs w:val="18"/>
                <w:b w:val="1"/>
                <w:bCs w:val="1"/>
                <w:color w:val="221E1F"/>
              </w:rPr>
              <w:t>www.virtualshareholdermeeting.com/ACMR2019</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1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140" w:type="dxa"/>
            <w:vAlign w:val="bottom"/>
            <w:gridSpan w:val="2"/>
            <w:shd w:val="clear" w:color="auto" w:fill="221E1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140" w:type="dxa"/>
            <w:vAlign w:val="bottom"/>
            <w:gridSpan w:val="4"/>
          </w:tcPr>
          <w:p>
            <w:pPr>
              <w:ind w:left="1300"/>
              <w:spacing w:after="0"/>
              <w:rPr>
                <w:sz w:val="20"/>
                <w:szCs w:val="20"/>
                <w:color w:val="auto"/>
              </w:rPr>
            </w:pPr>
            <w:r>
              <w:rPr>
                <w:rFonts w:ascii="Arial" w:cs="Arial" w:eastAsia="Arial" w:hAnsi="Arial"/>
                <w:sz w:val="18"/>
                <w:szCs w:val="18"/>
                <w:color w:val="221E1F"/>
              </w:rPr>
              <w:t>You may attend the meeting via the Internet and vote during the meeting. Have the</w:t>
            </w:r>
          </w:p>
        </w:tc>
        <w:tc>
          <w:tcPr>
            <w:tcW w:w="0" w:type="dxa"/>
            <w:vAlign w:val="bottom"/>
          </w:tcPr>
          <w:p>
            <w:pPr>
              <w:spacing w:after="0"/>
              <w:rPr>
                <w:sz w:val="1"/>
                <w:szCs w:val="1"/>
                <w:color w:val="auto"/>
              </w:rPr>
            </w:pPr>
          </w:p>
        </w:tc>
      </w:tr>
      <w:tr>
        <w:trPr>
          <w:trHeight w:val="202"/>
        </w:trPr>
        <w:tc>
          <w:tcPr>
            <w:tcW w:w="5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140" w:type="dxa"/>
            <w:vAlign w:val="bottom"/>
            <w:gridSpan w:val="4"/>
          </w:tcPr>
          <w:p>
            <w:pPr>
              <w:ind w:left="1300"/>
              <w:spacing w:after="0" w:line="202" w:lineRule="exact"/>
              <w:rPr>
                <w:sz w:val="20"/>
                <w:szCs w:val="20"/>
                <w:color w:val="auto"/>
              </w:rPr>
            </w:pPr>
            <w:r>
              <w:rPr>
                <w:rFonts w:ascii="Arial" w:cs="Arial" w:eastAsia="Arial" w:hAnsi="Arial"/>
                <w:sz w:val="18"/>
                <w:szCs w:val="18"/>
                <w:color w:val="221E1F"/>
              </w:rPr>
              <w:t>information that is printed in the box marked by the arrow available and follow the</w:t>
            </w:r>
          </w:p>
        </w:tc>
        <w:tc>
          <w:tcPr>
            <w:tcW w:w="0" w:type="dxa"/>
            <w:vAlign w:val="bottom"/>
          </w:tcPr>
          <w:p>
            <w:pPr>
              <w:spacing w:after="0"/>
              <w:rPr>
                <w:sz w:val="1"/>
                <w:szCs w:val="1"/>
                <w:color w:val="auto"/>
              </w:rPr>
            </w:pPr>
          </w:p>
        </w:tc>
      </w:tr>
      <w:tr>
        <w:trPr>
          <w:trHeight w:val="217"/>
        </w:trPr>
        <w:tc>
          <w:tcPr>
            <w:tcW w:w="5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140" w:type="dxa"/>
            <w:vAlign w:val="bottom"/>
            <w:gridSpan w:val="4"/>
          </w:tcPr>
          <w:p>
            <w:pPr>
              <w:ind w:left="1300"/>
              <w:spacing w:after="0"/>
              <w:rPr>
                <w:sz w:val="20"/>
                <w:szCs w:val="20"/>
                <w:color w:val="auto"/>
              </w:rPr>
            </w:pPr>
            <w:r>
              <w:rPr>
                <w:rFonts w:ascii="Arial" w:cs="Arial" w:eastAsia="Arial" w:hAnsi="Arial"/>
                <w:sz w:val="18"/>
                <w:szCs w:val="18"/>
                <w:color w:val="221E1F"/>
              </w:rPr>
              <w:t>instructions.</w:t>
            </w:r>
          </w:p>
        </w:tc>
        <w:tc>
          <w:tcPr>
            <w:tcW w:w="0" w:type="dxa"/>
            <w:vAlign w:val="bottom"/>
          </w:tcPr>
          <w:p>
            <w:pPr>
              <w:spacing w:after="0"/>
              <w:rPr>
                <w:sz w:val="1"/>
                <w:szCs w:val="1"/>
                <w:color w:val="auto"/>
              </w:rPr>
            </w:pPr>
          </w:p>
        </w:tc>
      </w:tr>
      <w:tr>
        <w:trPr>
          <w:trHeight w:val="390"/>
        </w:trPr>
        <w:tc>
          <w:tcPr>
            <w:tcW w:w="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140" w:type="dxa"/>
            <w:vAlign w:val="bottom"/>
            <w:gridSpan w:val="4"/>
          </w:tcPr>
          <w:p>
            <w:pPr>
              <w:ind w:left="1300"/>
              <w:spacing w:after="0"/>
              <w:rPr>
                <w:sz w:val="20"/>
                <w:szCs w:val="20"/>
                <w:color w:val="auto"/>
              </w:rPr>
            </w:pPr>
            <w:r>
              <w:rPr>
                <w:rFonts w:ascii="Arial" w:cs="Arial" w:eastAsia="Arial" w:hAnsi="Arial"/>
                <w:sz w:val="18"/>
                <w:szCs w:val="18"/>
                <w:b w:val="1"/>
                <w:bCs w:val="1"/>
                <w:color w:val="221E1F"/>
              </w:rPr>
              <w:t>VOTE BY PHONE - 1-800-690-6903</w:t>
            </w:r>
          </w:p>
        </w:tc>
        <w:tc>
          <w:tcPr>
            <w:tcW w:w="0" w:type="dxa"/>
            <w:vAlign w:val="bottom"/>
          </w:tcPr>
          <w:p>
            <w:pPr>
              <w:spacing w:after="0"/>
              <w:rPr>
                <w:sz w:val="1"/>
                <w:szCs w:val="1"/>
                <w:color w:val="auto"/>
              </w:rPr>
            </w:pPr>
          </w:p>
        </w:tc>
      </w:tr>
      <w:tr>
        <w:trPr>
          <w:trHeight w:val="202"/>
        </w:trPr>
        <w:tc>
          <w:tcPr>
            <w:tcW w:w="5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140" w:type="dxa"/>
            <w:vAlign w:val="bottom"/>
            <w:gridSpan w:val="4"/>
          </w:tcPr>
          <w:p>
            <w:pPr>
              <w:ind w:left="1300"/>
              <w:spacing w:after="0" w:line="202" w:lineRule="exact"/>
              <w:rPr>
                <w:sz w:val="20"/>
                <w:szCs w:val="20"/>
                <w:color w:val="auto"/>
              </w:rPr>
            </w:pPr>
            <w:r>
              <w:rPr>
                <w:rFonts w:ascii="Arial" w:cs="Arial" w:eastAsia="Arial" w:hAnsi="Arial"/>
                <w:sz w:val="18"/>
                <w:szCs w:val="18"/>
                <w:color w:val="221E1F"/>
              </w:rPr>
              <w:t>Use any touch-tone telephone to transmit your voting instructions up until 11:59 p.m.,</w:t>
            </w:r>
          </w:p>
        </w:tc>
        <w:tc>
          <w:tcPr>
            <w:tcW w:w="0" w:type="dxa"/>
            <w:vAlign w:val="bottom"/>
          </w:tcPr>
          <w:p>
            <w:pPr>
              <w:spacing w:after="0"/>
              <w:rPr>
                <w:sz w:val="1"/>
                <w:szCs w:val="1"/>
                <w:color w:val="auto"/>
              </w:rPr>
            </w:pPr>
          </w:p>
        </w:tc>
      </w:tr>
      <w:tr>
        <w:trPr>
          <w:trHeight w:val="202"/>
        </w:trPr>
        <w:tc>
          <w:tcPr>
            <w:tcW w:w="5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140" w:type="dxa"/>
            <w:vAlign w:val="bottom"/>
            <w:gridSpan w:val="4"/>
          </w:tcPr>
          <w:p>
            <w:pPr>
              <w:ind w:left="1300"/>
              <w:spacing w:after="0" w:line="202" w:lineRule="exact"/>
              <w:rPr>
                <w:sz w:val="20"/>
                <w:szCs w:val="20"/>
                <w:color w:val="auto"/>
              </w:rPr>
            </w:pPr>
            <w:r>
              <w:rPr>
                <w:rFonts w:ascii="Arial" w:cs="Arial" w:eastAsia="Arial" w:hAnsi="Arial"/>
                <w:sz w:val="18"/>
                <w:szCs w:val="18"/>
                <w:color w:val="221E1F"/>
              </w:rPr>
              <w:t>Eastern Time, on June 5, 2019. Have your proxy card in hand when you call and then</w:t>
            </w:r>
          </w:p>
        </w:tc>
        <w:tc>
          <w:tcPr>
            <w:tcW w:w="0" w:type="dxa"/>
            <w:vAlign w:val="bottom"/>
          </w:tcPr>
          <w:p>
            <w:pPr>
              <w:spacing w:after="0"/>
              <w:rPr>
                <w:sz w:val="1"/>
                <w:szCs w:val="1"/>
                <w:color w:val="auto"/>
              </w:rPr>
            </w:pPr>
          </w:p>
        </w:tc>
      </w:tr>
      <w:tr>
        <w:trPr>
          <w:trHeight w:val="217"/>
        </w:trPr>
        <w:tc>
          <w:tcPr>
            <w:tcW w:w="5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140" w:type="dxa"/>
            <w:vAlign w:val="bottom"/>
            <w:gridSpan w:val="4"/>
          </w:tcPr>
          <w:p>
            <w:pPr>
              <w:ind w:left="1300"/>
              <w:spacing w:after="0"/>
              <w:rPr>
                <w:sz w:val="20"/>
                <w:szCs w:val="20"/>
                <w:color w:val="auto"/>
              </w:rPr>
            </w:pPr>
            <w:r>
              <w:rPr>
                <w:rFonts w:ascii="Arial" w:cs="Arial" w:eastAsia="Arial" w:hAnsi="Arial"/>
                <w:sz w:val="18"/>
                <w:szCs w:val="18"/>
                <w:color w:val="221E1F"/>
              </w:rPr>
              <w:t>follow the instructions.</w:t>
            </w:r>
          </w:p>
        </w:tc>
        <w:tc>
          <w:tcPr>
            <w:tcW w:w="0" w:type="dxa"/>
            <w:vAlign w:val="bottom"/>
          </w:tcPr>
          <w:p>
            <w:pPr>
              <w:spacing w:after="0"/>
              <w:rPr>
                <w:sz w:val="1"/>
                <w:szCs w:val="1"/>
                <w:color w:val="auto"/>
              </w:rPr>
            </w:pPr>
          </w:p>
        </w:tc>
      </w:tr>
      <w:tr>
        <w:trPr>
          <w:trHeight w:val="390"/>
        </w:trPr>
        <w:tc>
          <w:tcPr>
            <w:tcW w:w="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140" w:type="dxa"/>
            <w:vAlign w:val="bottom"/>
            <w:gridSpan w:val="4"/>
          </w:tcPr>
          <w:p>
            <w:pPr>
              <w:ind w:left="1300"/>
              <w:spacing w:after="0"/>
              <w:rPr>
                <w:sz w:val="20"/>
                <w:szCs w:val="20"/>
                <w:color w:val="auto"/>
              </w:rPr>
            </w:pPr>
            <w:r>
              <w:rPr>
                <w:rFonts w:ascii="Arial" w:cs="Arial" w:eastAsia="Arial" w:hAnsi="Arial"/>
                <w:sz w:val="18"/>
                <w:szCs w:val="18"/>
                <w:b w:val="1"/>
                <w:bCs w:val="1"/>
                <w:color w:val="221E1F"/>
              </w:rPr>
              <w:t>VOTE BY MAIL</w:t>
            </w:r>
          </w:p>
        </w:tc>
        <w:tc>
          <w:tcPr>
            <w:tcW w:w="0" w:type="dxa"/>
            <w:vAlign w:val="bottom"/>
          </w:tcPr>
          <w:p>
            <w:pPr>
              <w:spacing w:after="0"/>
              <w:rPr>
                <w:sz w:val="1"/>
                <w:szCs w:val="1"/>
                <w:color w:val="auto"/>
              </w:rPr>
            </w:pPr>
          </w:p>
        </w:tc>
      </w:tr>
      <w:tr>
        <w:trPr>
          <w:trHeight w:val="202"/>
        </w:trPr>
        <w:tc>
          <w:tcPr>
            <w:tcW w:w="5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140" w:type="dxa"/>
            <w:vAlign w:val="bottom"/>
            <w:gridSpan w:val="4"/>
          </w:tcPr>
          <w:p>
            <w:pPr>
              <w:ind w:left="1300"/>
              <w:spacing w:after="0" w:line="202" w:lineRule="exact"/>
              <w:rPr>
                <w:sz w:val="20"/>
                <w:szCs w:val="20"/>
                <w:color w:val="auto"/>
              </w:rPr>
            </w:pPr>
            <w:r>
              <w:rPr>
                <w:rFonts w:ascii="Arial" w:cs="Arial" w:eastAsia="Arial" w:hAnsi="Arial"/>
                <w:sz w:val="18"/>
                <w:szCs w:val="18"/>
                <w:color w:val="221E1F"/>
              </w:rPr>
              <w:t>Mark, sign and date your proxy card and return it in the postage-paid envelope we</w:t>
            </w:r>
          </w:p>
        </w:tc>
        <w:tc>
          <w:tcPr>
            <w:tcW w:w="0" w:type="dxa"/>
            <w:vAlign w:val="bottom"/>
          </w:tcPr>
          <w:p>
            <w:pPr>
              <w:spacing w:after="0"/>
              <w:rPr>
                <w:sz w:val="1"/>
                <w:szCs w:val="1"/>
                <w:color w:val="auto"/>
              </w:rPr>
            </w:pPr>
          </w:p>
        </w:tc>
      </w:tr>
      <w:tr>
        <w:trPr>
          <w:trHeight w:val="202"/>
        </w:trPr>
        <w:tc>
          <w:tcPr>
            <w:tcW w:w="5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140" w:type="dxa"/>
            <w:vAlign w:val="bottom"/>
            <w:gridSpan w:val="4"/>
          </w:tcPr>
          <w:p>
            <w:pPr>
              <w:ind w:left="1300"/>
              <w:spacing w:after="0" w:line="202" w:lineRule="exact"/>
              <w:rPr>
                <w:sz w:val="20"/>
                <w:szCs w:val="20"/>
                <w:color w:val="auto"/>
              </w:rPr>
            </w:pPr>
            <w:r>
              <w:rPr>
                <w:rFonts w:ascii="Arial" w:cs="Arial" w:eastAsia="Arial" w:hAnsi="Arial"/>
                <w:sz w:val="18"/>
                <w:szCs w:val="18"/>
                <w:color w:val="221E1F"/>
              </w:rPr>
              <w:t>have provided or return it to Vote Processing, c/o Broadridge, 51 Mercedes Way,</w:t>
            </w:r>
          </w:p>
        </w:tc>
        <w:tc>
          <w:tcPr>
            <w:tcW w:w="0" w:type="dxa"/>
            <w:vAlign w:val="bottom"/>
          </w:tcPr>
          <w:p>
            <w:pPr>
              <w:spacing w:after="0"/>
              <w:rPr>
                <w:sz w:val="1"/>
                <w:szCs w:val="1"/>
                <w:color w:val="auto"/>
              </w:rPr>
            </w:pPr>
          </w:p>
        </w:tc>
      </w:tr>
      <w:tr>
        <w:trPr>
          <w:trHeight w:val="217"/>
        </w:trPr>
        <w:tc>
          <w:tcPr>
            <w:tcW w:w="5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140" w:type="dxa"/>
            <w:vAlign w:val="bottom"/>
            <w:gridSpan w:val="4"/>
          </w:tcPr>
          <w:p>
            <w:pPr>
              <w:ind w:left="1300"/>
              <w:spacing w:after="0"/>
              <w:rPr>
                <w:sz w:val="20"/>
                <w:szCs w:val="20"/>
                <w:color w:val="auto"/>
              </w:rPr>
            </w:pPr>
            <w:r>
              <w:rPr>
                <w:rFonts w:ascii="Arial" w:cs="Arial" w:eastAsia="Arial" w:hAnsi="Arial"/>
                <w:sz w:val="18"/>
                <w:szCs w:val="18"/>
                <w:color w:val="221E1F"/>
              </w:rPr>
              <w:t>Edgewood, NY 11717.</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TO VOTE, MARK BLOCKS BELOW IN BLUE OR BLACK INK AS FOLLOWS:</w:t>
      </w:r>
    </w:p>
    <w:p>
      <w:pPr>
        <w:jc w:val="right"/>
        <w:ind w:left="2120"/>
        <w:spacing w:after="0" w:line="245" w:lineRule="auto"/>
        <w:rPr>
          <w:sz w:val="20"/>
          <w:szCs w:val="20"/>
          <w:color w:val="auto"/>
        </w:rPr>
      </w:pPr>
      <w:r>
        <w:rPr>
          <w:rFonts w:ascii="Arial" w:cs="Arial" w:eastAsia="Arial" w:hAnsi="Arial"/>
          <w:sz w:val="18"/>
          <w:szCs w:val="18"/>
          <w:color w:val="221E1F"/>
        </w:rPr>
        <w:t xml:space="preserve">E79347-P25340 </w:t>
      </w:r>
      <w:r>
        <w:rPr>
          <w:rFonts w:ascii="Arial" w:cs="Arial" w:eastAsia="Arial" w:hAnsi="Arial"/>
          <w:sz w:val="18"/>
          <w:szCs w:val="18"/>
          <w:color w:val="000000"/>
        </w:rPr>
        <w:t>KEEP THIS PORTION FOR YOUR RECORDS</w:t>
      </w:r>
      <w:r>
        <w:rPr>
          <w:rFonts w:ascii="Arial" w:cs="Arial" w:eastAsia="Arial" w:hAnsi="Arial"/>
          <w:sz w:val="18"/>
          <w:szCs w:val="18"/>
          <w:color w:val="221E1F"/>
        </w:rPr>
        <w:t xml:space="preserve"> </w:t>
      </w:r>
      <w:r>
        <w:rPr>
          <w:rFonts w:ascii="Arial" w:cs="Arial" w:eastAsia="Arial" w:hAnsi="Arial"/>
          <w:sz w:val="18"/>
          <w:szCs w:val="18"/>
          <w:b w:val="1"/>
          <w:bCs w:val="1"/>
          <w:color w:val="000000"/>
        </w:rPr>
        <w:t>THIS PROXY CARD IS VALID ONLY WHEN SIGNED AND DATED.</w:t>
      </w:r>
      <w:r>
        <w:rPr>
          <w:rFonts w:ascii="Arial" w:cs="Arial" w:eastAsia="Arial" w:hAnsi="Arial"/>
          <w:sz w:val="18"/>
          <w:szCs w:val="18"/>
          <w:color w:val="000000"/>
        </w:rPr>
        <w:t>DETACH AND RETURN THIS PORTION ONLY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21E1F"/>
        </w:rPr>
        <w:t>ACM RESEARCH, INC.</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221E1F"/>
        </w:rPr>
        <w:t>The Board of Directors recommends you vote FOR each of the</w:t>
      </w:r>
    </w:p>
    <w:p>
      <w:pPr>
        <w:ind w:left="200"/>
        <w:spacing w:after="0" w:line="234" w:lineRule="auto"/>
        <w:rPr>
          <w:sz w:val="20"/>
          <w:szCs w:val="20"/>
          <w:color w:val="auto"/>
        </w:rPr>
      </w:pPr>
      <w:r>
        <w:rPr>
          <w:rFonts w:ascii="Arial" w:cs="Arial" w:eastAsia="Arial" w:hAnsi="Arial"/>
          <w:sz w:val="18"/>
          <w:szCs w:val="18"/>
          <w:b w:val="1"/>
          <w:bCs w:val="1"/>
          <w:color w:val="221E1F"/>
        </w:rPr>
        <w:t>following:</w:t>
      </w:r>
    </w:p>
    <w:tbl>
      <w:tblPr>
        <w:tblLayout w:type="fixed"/>
        <w:tblInd w:w="200" w:type="dxa"/>
        <w:tblCellMar>
          <w:top w:w="0" w:type="dxa"/>
          <w:left w:w="0" w:type="dxa"/>
          <w:bottom w:w="0" w:type="dxa"/>
          <w:right w:w="0" w:type="dxa"/>
        </w:tblCellMar>
      </w:tblPr>
      <w:tr>
        <w:trPr>
          <w:trHeight w:val="181"/>
        </w:trPr>
        <w:tc>
          <w:tcPr>
            <w:tcW w:w="2920" w:type="dxa"/>
            <w:vAlign w:val="bottom"/>
            <w:gridSpan w:val="2"/>
          </w:tcPr>
          <w:p>
            <w:pPr>
              <w:spacing w:after="0" w:line="181" w:lineRule="exact"/>
              <w:rPr>
                <w:sz w:val="20"/>
                <w:szCs w:val="20"/>
                <w:color w:val="auto"/>
              </w:rPr>
            </w:pPr>
            <w:r>
              <w:rPr>
                <w:rFonts w:ascii="Arial" w:cs="Arial" w:eastAsia="Arial" w:hAnsi="Arial"/>
                <w:sz w:val="18"/>
                <w:szCs w:val="18"/>
                <w:color w:val="221E1F"/>
              </w:rPr>
              <w:t>1.</w:t>
            </w:r>
            <w:r>
              <w:rPr>
                <w:rFonts w:ascii="Arial" w:cs="Arial" w:eastAsia="Arial" w:hAnsi="Arial"/>
                <w:sz w:val="18"/>
                <w:szCs w:val="18"/>
                <w:color w:val="auto"/>
              </w:rPr>
              <w:t>Election of Directors</w:t>
            </w:r>
          </w:p>
        </w:tc>
        <w:tc>
          <w:tcPr>
            <w:tcW w:w="1220" w:type="dxa"/>
            <w:vAlign w:val="bottom"/>
          </w:tcPr>
          <w:p>
            <w:pPr>
              <w:ind w:left="540"/>
              <w:spacing w:after="0" w:line="181" w:lineRule="exact"/>
              <w:rPr>
                <w:sz w:val="20"/>
                <w:szCs w:val="20"/>
                <w:color w:val="auto"/>
              </w:rPr>
            </w:pPr>
            <w:r>
              <w:rPr>
                <w:rFonts w:ascii="Arial" w:cs="Arial" w:eastAsia="Arial" w:hAnsi="Arial"/>
                <w:sz w:val="18"/>
                <w:szCs w:val="18"/>
                <w:b w:val="1"/>
                <w:bCs w:val="1"/>
                <w:color w:val="221E1F"/>
              </w:rPr>
              <w:t>For</w:t>
            </w:r>
          </w:p>
        </w:tc>
        <w:tc>
          <w:tcPr>
            <w:tcW w:w="1280" w:type="dxa"/>
            <w:vAlign w:val="bottom"/>
          </w:tcPr>
          <w:p>
            <w:pPr>
              <w:ind w:left="400"/>
              <w:spacing w:after="0" w:line="181" w:lineRule="exact"/>
              <w:rPr>
                <w:sz w:val="20"/>
                <w:szCs w:val="20"/>
                <w:color w:val="auto"/>
              </w:rPr>
            </w:pPr>
            <w:r>
              <w:rPr>
                <w:rFonts w:ascii="Arial" w:cs="Arial" w:eastAsia="Arial" w:hAnsi="Arial"/>
                <w:sz w:val="18"/>
                <w:szCs w:val="18"/>
                <w:b w:val="1"/>
                <w:bCs w:val="1"/>
                <w:color w:val="221E1F"/>
              </w:rPr>
              <w:t>Against</w:t>
            </w:r>
          </w:p>
        </w:tc>
        <w:tc>
          <w:tcPr>
            <w:tcW w:w="820" w:type="dxa"/>
            <w:vAlign w:val="bottom"/>
          </w:tcPr>
          <w:p>
            <w:pPr>
              <w:ind w:left="220"/>
              <w:spacing w:after="0" w:line="181" w:lineRule="exact"/>
              <w:rPr>
                <w:sz w:val="20"/>
                <w:szCs w:val="20"/>
                <w:color w:val="auto"/>
              </w:rPr>
            </w:pPr>
            <w:r>
              <w:rPr>
                <w:rFonts w:ascii="Arial" w:cs="Arial" w:eastAsia="Arial" w:hAnsi="Arial"/>
                <w:sz w:val="16"/>
                <w:szCs w:val="16"/>
                <w:b w:val="1"/>
                <w:bCs w:val="1"/>
                <w:color w:val="221E1F"/>
                <w:w w:val="98"/>
              </w:rPr>
              <w:t>Abstain</w:t>
            </w:r>
          </w:p>
        </w:tc>
        <w:tc>
          <w:tcPr>
            <w:tcW w:w="0" w:type="dxa"/>
            <w:vAlign w:val="bottom"/>
          </w:tcPr>
          <w:p>
            <w:pPr>
              <w:spacing w:after="0"/>
              <w:rPr>
                <w:sz w:val="1"/>
                <w:szCs w:val="1"/>
                <w:color w:val="auto"/>
              </w:rPr>
            </w:pPr>
          </w:p>
        </w:tc>
      </w:tr>
      <w:tr>
        <w:trPr>
          <w:trHeight w:val="224"/>
        </w:trPr>
        <w:tc>
          <w:tcPr>
            <w:tcW w:w="2920" w:type="dxa"/>
            <w:vAlign w:val="bottom"/>
            <w:gridSpan w:val="2"/>
          </w:tcPr>
          <w:p>
            <w:pPr>
              <w:ind w:left="480"/>
              <w:spacing w:after="0"/>
              <w:rPr>
                <w:sz w:val="20"/>
                <w:szCs w:val="20"/>
                <w:color w:val="auto"/>
              </w:rPr>
            </w:pPr>
            <w:r>
              <w:rPr>
                <w:rFonts w:ascii="Arial" w:cs="Arial" w:eastAsia="Arial" w:hAnsi="Arial"/>
                <w:sz w:val="18"/>
                <w:szCs w:val="18"/>
                <w:b w:val="1"/>
                <w:bCs w:val="1"/>
                <w:color w:val="221E1F"/>
              </w:rPr>
              <w:t>Nominees:</w:t>
            </w:r>
          </w:p>
        </w:tc>
        <w:tc>
          <w:tcPr>
            <w:tcW w:w="1220" w:type="dxa"/>
            <w:vAlign w:val="bottom"/>
            <w:vMerge w:val="restart"/>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vMerge w:val="restart"/>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820" w:type="dxa"/>
            <w:vAlign w:val="bottom"/>
            <w:vMerge w:val="restart"/>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17"/>
        </w:trPr>
        <w:tc>
          <w:tcPr>
            <w:tcW w:w="900" w:type="dxa"/>
            <w:vAlign w:val="bottom"/>
          </w:tcPr>
          <w:p>
            <w:pPr>
              <w:ind w:left="480"/>
              <w:spacing w:after="0"/>
              <w:rPr>
                <w:sz w:val="20"/>
                <w:szCs w:val="20"/>
                <w:color w:val="auto"/>
              </w:rPr>
            </w:pPr>
            <w:r>
              <w:rPr>
                <w:rFonts w:ascii="Arial" w:cs="Arial" w:eastAsia="Arial" w:hAnsi="Arial"/>
                <w:sz w:val="18"/>
                <w:szCs w:val="18"/>
                <w:color w:val="221E1F"/>
              </w:rPr>
              <w:t>1a.</w:t>
            </w:r>
          </w:p>
        </w:tc>
        <w:tc>
          <w:tcPr>
            <w:tcW w:w="2020" w:type="dxa"/>
            <w:vAlign w:val="bottom"/>
          </w:tcPr>
          <w:p>
            <w:pPr>
              <w:ind w:left="160"/>
              <w:spacing w:after="0"/>
              <w:rPr>
                <w:sz w:val="20"/>
                <w:szCs w:val="20"/>
                <w:color w:val="auto"/>
              </w:rPr>
            </w:pPr>
            <w:r>
              <w:rPr>
                <w:rFonts w:ascii="Arial" w:cs="Arial" w:eastAsia="Arial" w:hAnsi="Arial"/>
                <w:sz w:val="18"/>
                <w:szCs w:val="18"/>
                <w:color w:val="auto"/>
              </w:rPr>
              <w:t>David H. Wang</w:t>
            </w:r>
          </w:p>
        </w:tc>
        <w:tc>
          <w:tcPr>
            <w:tcW w:w="12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900" w:type="dxa"/>
            <w:vAlign w:val="bottom"/>
          </w:tcPr>
          <w:p>
            <w:pPr>
              <w:ind w:left="480"/>
              <w:spacing w:after="0"/>
              <w:rPr>
                <w:sz w:val="20"/>
                <w:szCs w:val="20"/>
                <w:color w:val="auto"/>
              </w:rPr>
            </w:pPr>
            <w:r>
              <w:rPr>
                <w:rFonts w:ascii="Arial" w:cs="Arial" w:eastAsia="Arial" w:hAnsi="Arial"/>
                <w:sz w:val="18"/>
                <w:szCs w:val="18"/>
                <w:color w:val="221E1F"/>
              </w:rPr>
              <w:t>1b.</w:t>
            </w:r>
          </w:p>
        </w:tc>
        <w:tc>
          <w:tcPr>
            <w:tcW w:w="2020" w:type="dxa"/>
            <w:vAlign w:val="bottom"/>
          </w:tcPr>
          <w:p>
            <w:pPr>
              <w:ind w:left="160"/>
              <w:spacing w:after="0"/>
              <w:rPr>
                <w:sz w:val="20"/>
                <w:szCs w:val="20"/>
                <w:color w:val="auto"/>
              </w:rPr>
            </w:pPr>
            <w:r>
              <w:rPr>
                <w:rFonts w:ascii="Arial" w:cs="Arial" w:eastAsia="Arial" w:hAnsi="Arial"/>
                <w:sz w:val="18"/>
                <w:szCs w:val="18"/>
                <w:color w:val="auto"/>
              </w:rPr>
              <w:t>Haiping Dun</w:t>
            </w:r>
          </w:p>
        </w:tc>
        <w:tc>
          <w:tcPr>
            <w:tcW w:w="122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8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405"/>
        </w:trPr>
        <w:tc>
          <w:tcPr>
            <w:tcW w:w="900" w:type="dxa"/>
            <w:vAlign w:val="bottom"/>
          </w:tcPr>
          <w:p>
            <w:pPr>
              <w:ind w:left="480"/>
              <w:spacing w:after="0"/>
              <w:rPr>
                <w:sz w:val="20"/>
                <w:szCs w:val="20"/>
                <w:color w:val="auto"/>
              </w:rPr>
            </w:pPr>
            <w:r>
              <w:rPr>
                <w:rFonts w:ascii="Arial" w:cs="Arial" w:eastAsia="Arial" w:hAnsi="Arial"/>
                <w:sz w:val="18"/>
                <w:szCs w:val="18"/>
                <w:color w:val="221E1F"/>
              </w:rPr>
              <w:t>1c.</w:t>
            </w:r>
          </w:p>
        </w:tc>
        <w:tc>
          <w:tcPr>
            <w:tcW w:w="2020" w:type="dxa"/>
            <w:vAlign w:val="bottom"/>
          </w:tcPr>
          <w:p>
            <w:pPr>
              <w:ind w:left="160"/>
              <w:spacing w:after="0"/>
              <w:rPr>
                <w:sz w:val="20"/>
                <w:szCs w:val="20"/>
                <w:color w:val="auto"/>
              </w:rPr>
            </w:pPr>
            <w:r>
              <w:rPr>
                <w:rFonts w:ascii="Arial" w:cs="Arial" w:eastAsia="Arial" w:hAnsi="Arial"/>
                <w:sz w:val="18"/>
                <w:szCs w:val="18"/>
                <w:color w:val="auto"/>
              </w:rPr>
              <w:t>Chenming C. Hu</w:t>
            </w:r>
          </w:p>
        </w:tc>
        <w:tc>
          <w:tcPr>
            <w:tcW w:w="122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8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405"/>
        </w:trPr>
        <w:tc>
          <w:tcPr>
            <w:tcW w:w="900" w:type="dxa"/>
            <w:vAlign w:val="bottom"/>
          </w:tcPr>
          <w:p>
            <w:pPr>
              <w:ind w:left="480"/>
              <w:spacing w:after="0"/>
              <w:rPr>
                <w:sz w:val="20"/>
                <w:szCs w:val="20"/>
                <w:color w:val="auto"/>
              </w:rPr>
            </w:pPr>
            <w:r>
              <w:rPr>
                <w:rFonts w:ascii="Arial" w:cs="Arial" w:eastAsia="Arial" w:hAnsi="Arial"/>
                <w:sz w:val="18"/>
                <w:szCs w:val="18"/>
                <w:color w:val="221E1F"/>
              </w:rPr>
              <w:t>1d.</w:t>
            </w:r>
          </w:p>
        </w:tc>
        <w:tc>
          <w:tcPr>
            <w:tcW w:w="2020" w:type="dxa"/>
            <w:vAlign w:val="bottom"/>
          </w:tcPr>
          <w:p>
            <w:pPr>
              <w:ind w:left="160"/>
              <w:spacing w:after="0"/>
              <w:rPr>
                <w:sz w:val="20"/>
                <w:szCs w:val="20"/>
                <w:color w:val="auto"/>
              </w:rPr>
            </w:pPr>
            <w:r>
              <w:rPr>
                <w:rFonts w:ascii="Arial" w:cs="Arial" w:eastAsia="Arial" w:hAnsi="Arial"/>
                <w:sz w:val="18"/>
                <w:szCs w:val="18"/>
                <w:color w:val="auto"/>
              </w:rPr>
              <w:t>Tracy Liu</w:t>
            </w:r>
          </w:p>
        </w:tc>
        <w:tc>
          <w:tcPr>
            <w:tcW w:w="122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8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405"/>
        </w:trPr>
        <w:tc>
          <w:tcPr>
            <w:tcW w:w="900" w:type="dxa"/>
            <w:vAlign w:val="bottom"/>
          </w:tcPr>
          <w:p>
            <w:pPr>
              <w:ind w:left="480"/>
              <w:spacing w:after="0"/>
              <w:rPr>
                <w:sz w:val="20"/>
                <w:szCs w:val="20"/>
                <w:color w:val="auto"/>
              </w:rPr>
            </w:pPr>
            <w:r>
              <w:rPr>
                <w:rFonts w:ascii="Arial" w:cs="Arial" w:eastAsia="Arial" w:hAnsi="Arial"/>
                <w:sz w:val="18"/>
                <w:szCs w:val="18"/>
                <w:color w:val="221E1F"/>
              </w:rPr>
              <w:t>1e.</w:t>
            </w:r>
          </w:p>
        </w:tc>
        <w:tc>
          <w:tcPr>
            <w:tcW w:w="2020" w:type="dxa"/>
            <w:vAlign w:val="bottom"/>
          </w:tcPr>
          <w:p>
            <w:pPr>
              <w:ind w:left="160"/>
              <w:spacing w:after="0"/>
              <w:rPr>
                <w:sz w:val="20"/>
                <w:szCs w:val="20"/>
                <w:color w:val="auto"/>
              </w:rPr>
            </w:pPr>
            <w:r>
              <w:rPr>
                <w:rFonts w:ascii="Arial" w:cs="Arial" w:eastAsia="Arial" w:hAnsi="Arial"/>
                <w:sz w:val="18"/>
                <w:szCs w:val="18"/>
                <w:color w:val="auto"/>
              </w:rPr>
              <w:t>Yinan Xiang</w:t>
            </w:r>
          </w:p>
        </w:tc>
        <w:tc>
          <w:tcPr>
            <w:tcW w:w="122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8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405"/>
        </w:trPr>
        <w:tc>
          <w:tcPr>
            <w:tcW w:w="900" w:type="dxa"/>
            <w:vAlign w:val="bottom"/>
          </w:tcPr>
          <w:p>
            <w:pPr>
              <w:ind w:left="480"/>
              <w:spacing w:after="0"/>
              <w:rPr>
                <w:sz w:val="20"/>
                <w:szCs w:val="20"/>
                <w:color w:val="auto"/>
              </w:rPr>
            </w:pPr>
            <w:r>
              <w:rPr>
                <w:rFonts w:ascii="Arial" w:cs="Arial" w:eastAsia="Arial" w:hAnsi="Arial"/>
                <w:sz w:val="18"/>
                <w:szCs w:val="18"/>
                <w:color w:val="221E1F"/>
              </w:rPr>
              <w:t>1f.</w:t>
            </w:r>
          </w:p>
        </w:tc>
        <w:tc>
          <w:tcPr>
            <w:tcW w:w="2020" w:type="dxa"/>
            <w:vAlign w:val="bottom"/>
          </w:tcPr>
          <w:p>
            <w:pPr>
              <w:ind w:left="160"/>
              <w:spacing w:after="0"/>
              <w:rPr>
                <w:sz w:val="20"/>
                <w:szCs w:val="20"/>
                <w:color w:val="auto"/>
              </w:rPr>
            </w:pPr>
            <w:r>
              <w:rPr>
                <w:rFonts w:ascii="Arial" w:cs="Arial" w:eastAsia="Arial" w:hAnsi="Arial"/>
                <w:sz w:val="18"/>
                <w:szCs w:val="18"/>
                <w:color w:val="auto"/>
              </w:rPr>
              <w:t>Zhengfan Yang</w:t>
            </w:r>
          </w:p>
        </w:tc>
        <w:tc>
          <w:tcPr>
            <w:tcW w:w="122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8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3" w:right="239" w:bottom="1440" w:gutter="0" w:footer="0" w:header="0"/>
        </w:sectPr>
      </w:pPr>
    </w:p>
    <w:p>
      <w:pPr>
        <w:spacing w:after="0" w:line="6" w:lineRule="exact"/>
        <w:rPr>
          <w:sz w:val="20"/>
          <w:szCs w:val="20"/>
          <w:color w:val="auto"/>
        </w:rPr>
      </w:pPr>
    </w:p>
    <w:p>
      <w:pPr>
        <w:ind w:left="260" w:right="1260"/>
        <w:spacing w:after="0" w:line="271" w:lineRule="auto"/>
        <w:rPr>
          <w:sz w:val="20"/>
          <w:szCs w:val="20"/>
          <w:color w:val="auto"/>
        </w:rPr>
      </w:pPr>
      <w:r>
        <w:rPr>
          <w:rFonts w:ascii="Arial" w:cs="Arial" w:eastAsia="Arial" w:hAnsi="Arial"/>
          <w:sz w:val="18"/>
          <w:szCs w:val="18"/>
          <w:b w:val="1"/>
          <w:bCs w:val="1"/>
          <w:color w:val="221E1F"/>
        </w:rPr>
        <w:t>The Board of Directors recommends you vote FOR the following proposal:</w:t>
      </w:r>
    </w:p>
    <w:p>
      <w:pPr>
        <w:spacing w:after="0" w:line="148" w:lineRule="exact"/>
        <w:rPr>
          <w:sz w:val="20"/>
          <w:szCs w:val="20"/>
          <w:color w:val="auto"/>
        </w:rPr>
      </w:pPr>
    </w:p>
    <w:p>
      <w:pPr>
        <w:ind w:left="800" w:right="160" w:hanging="536"/>
        <w:spacing w:after="0" w:line="245" w:lineRule="auto"/>
        <w:tabs>
          <w:tab w:leader="none" w:pos="800" w:val="left"/>
        </w:tabs>
        <w:numPr>
          <w:ilvl w:val="0"/>
          <w:numId w:val="61"/>
        </w:numPr>
        <w:rPr>
          <w:rFonts w:ascii="Arial" w:cs="Arial" w:eastAsia="Arial" w:hAnsi="Arial"/>
          <w:sz w:val="18"/>
          <w:szCs w:val="18"/>
          <w:color w:val="221E1F"/>
        </w:rPr>
      </w:pPr>
      <w:r>
        <w:rPr>
          <w:rFonts w:ascii="Arial" w:cs="Arial" w:eastAsia="Arial" w:hAnsi="Arial"/>
          <w:sz w:val="18"/>
          <w:szCs w:val="18"/>
          <w:color w:val="auto"/>
        </w:rPr>
        <w:t>Ratification of appointment of BDO China Shu Lun Pan Certified Public Accountants LLP as independent auditor for 2019.</w:t>
      </w:r>
    </w:p>
    <w:p>
      <w:pPr>
        <w:spacing w:after="0" w:line="203" w:lineRule="exact"/>
        <w:rPr>
          <w:sz w:val="20"/>
          <w:szCs w:val="20"/>
          <w:color w:val="auto"/>
        </w:rPr>
      </w:pPr>
    </w:p>
    <w:p>
      <w:pPr>
        <w:ind w:left="260" w:right="1400"/>
        <w:spacing w:after="0" w:line="271" w:lineRule="auto"/>
        <w:rPr>
          <w:sz w:val="20"/>
          <w:szCs w:val="20"/>
          <w:color w:val="auto"/>
        </w:rPr>
      </w:pPr>
      <w:r>
        <w:rPr>
          <w:rFonts w:ascii="Arial" w:cs="Arial" w:eastAsia="Arial" w:hAnsi="Arial"/>
          <w:sz w:val="18"/>
          <w:szCs w:val="18"/>
          <w:b w:val="1"/>
          <w:bCs w:val="1"/>
          <w:color w:val="221E1F"/>
        </w:rPr>
        <w:t xml:space="preserve">NOTE: </w:t>
      </w:r>
      <w:r>
        <w:rPr>
          <w:rFonts w:ascii="Arial" w:cs="Arial" w:eastAsia="Arial" w:hAnsi="Arial"/>
          <w:sz w:val="18"/>
          <w:szCs w:val="18"/>
          <w:color w:val="221E1F"/>
        </w:rPr>
        <w:t>Such other business as may properly come before the</w:t>
      </w:r>
      <w:r>
        <w:rPr>
          <w:rFonts w:ascii="Arial" w:cs="Arial" w:eastAsia="Arial" w:hAnsi="Arial"/>
          <w:sz w:val="18"/>
          <w:szCs w:val="18"/>
          <w:b w:val="1"/>
          <w:bCs w:val="1"/>
          <w:color w:val="221E1F"/>
        </w:rPr>
        <w:t xml:space="preserve"> </w:t>
      </w:r>
      <w:r>
        <w:rPr>
          <w:rFonts w:ascii="Arial" w:cs="Arial" w:eastAsia="Arial" w:hAnsi="Arial"/>
          <w:sz w:val="18"/>
          <w:szCs w:val="18"/>
          <w:color w:val="221E1F"/>
        </w:rPr>
        <w:t>meeting or any adjournment thereof.</w:t>
      </w:r>
    </w:p>
    <w:p>
      <w:pPr>
        <w:spacing w:after="0" w:line="148" w:lineRule="exact"/>
        <w:rPr>
          <w:sz w:val="20"/>
          <w:szCs w:val="20"/>
          <w:color w:val="auto"/>
        </w:rPr>
      </w:pPr>
    </w:p>
    <w:p>
      <w:pPr>
        <w:ind w:left="260"/>
        <w:spacing w:after="0" w:line="237" w:lineRule="auto"/>
        <w:rPr>
          <w:sz w:val="20"/>
          <w:szCs w:val="20"/>
          <w:color w:val="auto"/>
        </w:rPr>
      </w:pPr>
      <w:r>
        <w:rPr>
          <w:rFonts w:ascii="Arial" w:cs="Arial" w:eastAsia="Arial" w:hAnsi="Arial"/>
          <w:sz w:val="18"/>
          <w:szCs w:val="18"/>
          <w:color w:val="221E1F"/>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2479675" cy="290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79675" cy="290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tabs>
          <w:tab w:leader="none" w:pos="1520" w:val="left"/>
          <w:tab w:leader="none" w:pos="3040" w:val="left"/>
        </w:tabs>
        <w:rPr>
          <w:sz w:val="20"/>
          <w:szCs w:val="20"/>
          <w:color w:val="auto"/>
        </w:rPr>
      </w:pPr>
      <w:r>
        <w:rPr>
          <w:rFonts w:ascii="Arial" w:cs="Arial" w:eastAsia="Arial" w:hAnsi="Arial"/>
          <w:sz w:val="18"/>
          <w:szCs w:val="18"/>
          <w:b w:val="1"/>
          <w:bCs w:val="1"/>
          <w:color w:val="221E1F"/>
        </w:rPr>
        <w:t>For</w:t>
      </w:r>
      <w:r>
        <w:rPr>
          <w:sz w:val="20"/>
          <w:szCs w:val="20"/>
          <w:color w:val="auto"/>
        </w:rPr>
        <w:tab/>
      </w:r>
      <w:r>
        <w:rPr>
          <w:rFonts w:ascii="Arial" w:cs="Arial" w:eastAsia="Arial" w:hAnsi="Arial"/>
          <w:sz w:val="18"/>
          <w:szCs w:val="18"/>
          <w:b w:val="1"/>
          <w:bCs w:val="1"/>
          <w:color w:val="221E1F"/>
        </w:rPr>
        <w:t>Against</w:t>
      </w:r>
      <w:r>
        <w:rPr>
          <w:sz w:val="20"/>
          <w:szCs w:val="20"/>
          <w:color w:val="auto"/>
        </w:rPr>
        <w:tab/>
      </w:r>
      <w:r>
        <w:rPr>
          <w:rFonts w:ascii="Arial" w:cs="Arial" w:eastAsia="Arial" w:hAnsi="Arial"/>
          <w:sz w:val="17"/>
          <w:szCs w:val="17"/>
          <w:b w:val="1"/>
          <w:bCs w:val="1"/>
          <w:color w:val="221E1F"/>
        </w:rPr>
        <w:t>Abstain</w:t>
      </w:r>
    </w:p>
    <w:p>
      <w:pPr>
        <w:spacing w:after="0" w:line="383" w:lineRule="exact"/>
        <w:rPr>
          <w:sz w:val="20"/>
          <w:szCs w:val="20"/>
          <w:color w:val="auto"/>
        </w:rPr>
      </w:pPr>
    </w:p>
    <w:p>
      <w:pPr>
        <w:ind w:left="60"/>
        <w:spacing w:after="0" w:line="161" w:lineRule="exact"/>
        <w:tabs>
          <w:tab w:leader="none" w:pos="1560" w:val="left"/>
          <w:tab w:leader="none" w:pos="308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1426845</wp:posOffset>
            </wp:positionV>
            <wp:extent cx="2145665" cy="290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45665" cy="290830"/>
                    </a:xfrm>
                    <a:prstGeom prst="rect">
                      <a:avLst/>
                    </a:prstGeom>
                    <a:noFill/>
                  </pic:spPr>
                </pic:pic>
              </a:graphicData>
            </a:graphic>
          </wp:anchor>
        </w:drawing>
      </w:r>
    </w:p>
    <w:p>
      <w:pPr>
        <w:spacing w:after="0" w:line="2234" w:lineRule="exact"/>
        <w:rPr>
          <w:sz w:val="20"/>
          <w:szCs w:val="20"/>
          <w:color w:val="auto"/>
        </w:rPr>
      </w:pPr>
    </w:p>
    <w:p>
      <w:pPr>
        <w:sectPr>
          <w:pgSz w:w="11900" w:h="16838" w:orient="portrait"/>
          <w:cols w:equalWidth="0" w:num="2">
            <w:col w:w="6580" w:space="260"/>
            <w:col w:w="4580"/>
          </w:cols>
          <w:pgMar w:left="240" w:top="113" w:right="239"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spacing w:after="0"/>
        <w:tabs>
          <w:tab w:leader="none" w:pos="5780" w:val="left"/>
          <w:tab w:leader="none" w:pos="8580" w:val="left"/>
        </w:tabs>
        <w:rPr>
          <w:sz w:val="20"/>
          <w:szCs w:val="20"/>
          <w:color w:val="auto"/>
        </w:rPr>
      </w:pPr>
      <w:r>
        <w:rPr>
          <w:rFonts w:ascii="Arial" w:cs="Arial" w:eastAsia="Arial" w:hAnsi="Arial"/>
          <w:sz w:val="18"/>
          <w:szCs w:val="18"/>
          <w:color w:val="auto"/>
        </w:rPr>
        <w:t>Signature [PLEASE SIGN WITHIN BOX] Date</w:t>
      </w:r>
      <w:r>
        <w:rPr>
          <w:sz w:val="20"/>
          <w:szCs w:val="20"/>
          <w:color w:val="auto"/>
        </w:rPr>
        <w:tab/>
      </w:r>
      <w:r>
        <w:rPr>
          <w:rFonts w:ascii="Arial" w:cs="Arial" w:eastAsia="Arial" w:hAnsi="Arial"/>
          <w:sz w:val="18"/>
          <w:szCs w:val="18"/>
          <w:color w:val="auto"/>
        </w:rPr>
        <w:t>Signature (Joint Owners)</w:t>
      </w:r>
      <w:r>
        <w:rPr>
          <w:sz w:val="20"/>
          <w:szCs w:val="20"/>
          <w:color w:val="auto"/>
        </w:rPr>
        <w:tab/>
      </w: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type w:val="continuous"/>
        </w:sectPr>
      </w:pPr>
    </w:p>
    <w:bookmarkStart w:id="41" w:name="page42"/>
    <w:bookmarkEnd w:id="4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21E1F"/>
        </w:rPr>
        <w:t>Important Notice Regarding the Availability of Proxy Materials for the Annual Meeting:</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221E1F"/>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221E1F"/>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221E1F"/>
        </w:rPr>
        <w:t>Annual Meeting of Shareholders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221E1F"/>
        </w:rPr>
        <w:t>June 6, 2019 11:00 A.M.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221E1F"/>
        </w:rPr>
        <w:t>This proxy is solicited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21E1F"/>
        </w:rPr>
        <w:t>The shareholder(s) hereby appoint(s) David H. Wang and Tracy Liu, or either of them, as proxies, each with the power to appoint his or her substitute, and hereby authorize(s) them to represent and to vote, as designated on the reverse side of this ballot, all of the shares of stock of ACM RESEARCH, INC. that the shareholder(s) is/are entitled to vote at the Annual Meeting of Shareholders to be held at 11:00 A.M., Pacific Time on June 6, 2019, at the virtual-only meeting, and any adjournment or postponement thereof.</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221E1F"/>
        </w:rPr>
        <w:t>This proxy, when properly executed, will be voted in the manner directed herein. If no such direction is made, this proxy will be voted in accordance with the Board of Directors'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21E1F"/>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lvl w:ilvl="1">
      <w:lvlJc w:val="left"/>
      <w:lvlText w:val="(%2)"/>
      <w:numFmt w:val="decimal"/>
      <w:start w:val="1"/>
    </w:lvl>
  </w:abstractNum>
  <w:abstractNum w:abstractNumId="3">
    <w:nsid w:val="22221A70"/>
    <w:multiLevelType w:val="hybridMultilevel"/>
    <w:lvl w:ilvl="0">
      <w:lvlJc w:val="left"/>
      <w:lvlText w:val="%1:"/>
      <w:numFmt w:val="upperLetter"/>
      <w:start w:val="1"/>
    </w:lvl>
  </w:abstractNum>
  <w:abstractNum w:abstractNumId="4">
    <w:nsid w:val="4516DDE9"/>
    <w:multiLevelType w:val="hybridMultilevel"/>
    <w:lvl w:ilvl="0">
      <w:lvlJc w:val="left"/>
      <w:lvlText w:val="%1:"/>
      <w:numFmt w:val="upperLetter"/>
      <w:start w:val="1"/>
    </w:lvl>
  </w:abstractNum>
  <w:abstractNum w:abstractNumId="5">
    <w:nsid w:val="3006C83E"/>
    <w:multiLevelType w:val="hybridMultilevel"/>
    <w:lvl w:ilvl="0">
      <w:lvlJc w:val="left"/>
      <w:lvlText w:val="%1:"/>
      <w:numFmt w:val="upperLetter"/>
      <w:start w:val="1"/>
    </w:lvl>
    <w:lvl w:ilvl="1">
      <w:lvlJc w:val="left"/>
      <w:lvlText w:val="•"/>
      <w:numFmt w:val="bullet"/>
      <w:start w:val="1"/>
    </w:lvl>
  </w:abstractNum>
  <w:abstractNum w:abstractNumId="6">
    <w:nsid w:val="614FD4A1"/>
    <w:multiLevelType w:val="hybridMultilevel"/>
    <w:lvl w:ilvl="0">
      <w:lvlJc w:val="left"/>
      <w:lvlText w:val="%1:"/>
      <w:numFmt w:val="upperLetter"/>
      <w:start w:val="1"/>
    </w:lvl>
  </w:abstractNum>
  <w:abstractNum w:abstractNumId="7">
    <w:nsid w:val="419AC241"/>
    <w:multiLevelType w:val="hybridMultilevel"/>
    <w:lvl w:ilvl="0">
      <w:lvlJc w:val="left"/>
      <w:lvlText w:val="%1:"/>
      <w:numFmt w:val="upperLetter"/>
      <w:start w:val="1"/>
    </w:lvl>
  </w:abstractNum>
  <w:abstractNum w:abstractNumId="8">
    <w:nsid w:val="5577F8E1"/>
    <w:multiLevelType w:val="hybridMultilevel"/>
    <w:lvl w:ilvl="0">
      <w:lvlJc w:val="left"/>
      <w:lvlText w:val="%1:"/>
      <w:numFmt w:val="upperLetter"/>
      <w:start w:val="1"/>
    </w:lvl>
  </w:abstractNum>
  <w:abstractNum w:abstractNumId="9">
    <w:nsid w:val="440BADFC"/>
    <w:multiLevelType w:val="hybridMultilevel"/>
    <w:lvl w:ilvl="0">
      <w:lvlJc w:val="left"/>
      <w:lvlText w:val="%1:"/>
      <w:numFmt w:val="upperLetter"/>
      <w:start w:val="1"/>
    </w:lvl>
  </w:abstractNum>
  <w:abstractNum w:abstractNumId="10">
    <w:nsid w:val="5072367"/>
    <w:multiLevelType w:val="hybridMultilevel"/>
    <w:lvl w:ilvl="0">
      <w:lvlJc w:val="left"/>
      <w:lvlText w:val="%1:"/>
      <w:numFmt w:val="upperLetter"/>
      <w:start w:val="1"/>
    </w:lvl>
    <w:lvl w:ilvl="1">
      <w:lvlJc w:val="left"/>
      <w:lvlText w:val="•"/>
      <w:numFmt w:val="bullet"/>
      <w:start w:val="1"/>
    </w:lvl>
  </w:abstractNum>
  <w:abstractNum w:abstractNumId="11">
    <w:nsid w:val="3804823E"/>
    <w:multiLevelType w:val="hybridMultilevel"/>
    <w:lvl w:ilvl="0">
      <w:lvlJc w:val="left"/>
      <w:lvlText w:val="%1:"/>
      <w:numFmt w:val="upperLetter"/>
      <w:start w:val="1"/>
    </w:lvl>
    <w:lvl w:ilvl="1">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1:"/>
      <w:numFmt w:val="upperLetter"/>
      <w:start w:val="1"/>
    </w:lvl>
  </w:abstractNum>
  <w:abstractNum w:abstractNumId="14">
    <w:nsid w:val="5C482A97"/>
    <w:multiLevelType w:val="hybridMultilevel"/>
    <w:lvl w:ilvl="0">
      <w:lvlJc w:val="left"/>
      <w:lvlText w:val="%1:"/>
      <w:numFmt w:val="upperLetter"/>
      <w:start w:val="1"/>
    </w:lvl>
  </w:abstractNum>
  <w:abstractNum w:abstractNumId="15">
    <w:nsid w:val="2463B9EA"/>
    <w:multiLevelType w:val="hybridMultilevel"/>
    <w:lvl w:ilvl="0">
      <w:lvlJc w:val="left"/>
      <w:lvlText w:val="%1:"/>
      <w:numFmt w:val="upperLetter"/>
      <w:start w:val="1"/>
    </w:lvl>
  </w:abstractNum>
  <w:abstractNum w:abstractNumId="16">
    <w:nsid w:val="5E884ADC"/>
    <w:multiLevelType w:val="hybridMultilevel"/>
    <w:lvl w:ilvl="0">
      <w:lvlJc w:val="left"/>
      <w:lvlText w:val="%1:"/>
      <w:numFmt w:val="upperLetter"/>
      <w:start w:val="1"/>
    </w:lvl>
  </w:abstractNum>
  <w:abstractNum w:abstractNumId="17">
    <w:nsid w:val="51EAD36B"/>
    <w:multiLevelType w:val="hybridMultilevel"/>
    <w:lvl w:ilvl="0">
      <w:lvlJc w:val="left"/>
      <w:lvlText w:val="%1:"/>
      <w:numFmt w:val="upperLetter"/>
      <w:start w:val="1"/>
    </w:lvl>
    <w:lvl w:ilvl="1">
      <w:lvlJc w:val="left"/>
      <w:lvlText w:val="•"/>
      <w:numFmt w:val="bullet"/>
      <w:start w:val="1"/>
    </w:lvl>
  </w:abstractNum>
  <w:abstractNum w:abstractNumId="18">
    <w:nsid w:val="2D517796"/>
    <w:multiLevelType w:val="hybridMultilevel"/>
    <w:lvl w:ilvl="0">
      <w:lvlJc w:val="left"/>
      <w:lvlText w:val="%1:"/>
      <w:numFmt w:val="upperLetter"/>
      <w:start w:val="1"/>
    </w:lvl>
  </w:abstractNum>
  <w:abstractNum w:abstractNumId="19">
    <w:nsid w:val="580BD78F"/>
    <w:multiLevelType w:val="hybridMultilevel"/>
    <w:lvl w:ilvl="0">
      <w:lvlJc w:val="left"/>
      <w:lvlText w:val="%1:"/>
      <w:numFmt w:val="upperLetter"/>
      <w:start w:val="17"/>
    </w:lvl>
  </w:abstractNum>
  <w:abstractNum w:abstractNumId="20">
    <w:nsid w:val="153EA438"/>
    <w:multiLevelType w:val="hybridMultilevel"/>
    <w:lvl w:ilvl="0">
      <w:lvlJc w:val="left"/>
      <w:lvlText w:val="%1:"/>
      <w:numFmt w:val="upperLetter"/>
      <w:start w:val="1"/>
    </w:lvl>
  </w:abstractNum>
  <w:abstractNum w:abstractNumId="21">
    <w:nsid w:val="3855585C"/>
    <w:multiLevelType w:val="hybridMultilevel"/>
    <w:lvl w:ilvl="0">
      <w:lvlJc w:val="left"/>
      <w:lvlText w:val="%1:"/>
      <w:numFmt w:val="upperLetter"/>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1)"/>
      <w:numFmt w:val="upperLetter"/>
      <w:start w:val="1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lvl w:ilvl="1">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1)"/>
      <w:numFmt w:val="decimal"/>
      <w:start w:val="1"/>
    </w:lvl>
  </w:abstractNum>
  <w:abstractNum w:abstractNumId="53">
    <w:nsid w:val="180115BE"/>
    <w:multiLevelType w:val="hybridMultilevel"/>
    <w:lvl w:ilvl="0">
      <w:lvlJc w:val="left"/>
      <w:lvlText w:val="(%1)"/>
      <w:numFmt w:val="decimal"/>
      <w:start w:val="5"/>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1)"/>
      <w:numFmt w:val="decimal"/>
      <w:start w:val="1"/>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2019-12-03T00:08:16Z</dcterms:created>
  <dcterms:modified xsi:type="dcterms:W3CDTF">2019-12-03T00:08:16Z</dcterms:modified>
</cp:coreProperties>
</file>