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September 5, 2019</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706" w:right="239" w:bottom="1440" w:gutter="0" w:footer="0" w:header="0"/>
        </w:sectPr>
      </w:pPr>
    </w:p>
    <w:p>
      <w:pPr>
        <w:spacing w:after="0" w:line="138"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2040"/>
        <w:spacing w:after="0"/>
        <w:rPr>
          <w:sz w:val="20"/>
          <w:szCs w:val="20"/>
          <w:color w:val="auto"/>
        </w:rPr>
      </w:pPr>
      <w:r>
        <w:rPr>
          <w:rFonts w:ascii="Arial" w:cs="Arial" w:eastAsia="Arial" w:hAnsi="Arial"/>
          <w:sz w:val="18"/>
          <w:szCs w:val="18"/>
          <w:i w:val="1"/>
          <w:iCs w:val="1"/>
          <w:color w:val="auto"/>
        </w:rPr>
        <w:t>(State or Other</w:t>
      </w:r>
    </w:p>
    <w:p>
      <w:pPr>
        <w:spacing w:after="0" w:line="9" w:lineRule="exact"/>
        <w:rPr>
          <w:sz w:val="24"/>
          <w:szCs w:val="24"/>
          <w:color w:val="auto"/>
        </w:rPr>
      </w:pPr>
    </w:p>
    <w:p>
      <w:pPr>
        <w:ind w:left="1520"/>
        <w:spacing w:after="0"/>
        <w:rPr>
          <w:sz w:val="20"/>
          <w:szCs w:val="20"/>
          <w:color w:val="auto"/>
        </w:rPr>
      </w:pPr>
      <w:r>
        <w:rPr>
          <w:rFonts w:ascii="Arial" w:cs="Arial" w:eastAsia="Arial" w:hAnsi="Arial"/>
          <w:sz w:val="16"/>
          <w:szCs w:val="16"/>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001-38273</w:t>
      </w:r>
    </w:p>
    <w:p>
      <w:pPr>
        <w:spacing w:after="0" w:line="21" w:lineRule="exact"/>
        <w:rPr>
          <w:sz w:val="24"/>
          <w:szCs w:val="24"/>
          <w:color w:val="auto"/>
        </w:rPr>
      </w:pPr>
    </w:p>
    <w:p>
      <w:pPr>
        <w:jc w:val="center"/>
        <w:ind w:right="1300"/>
        <w:spacing w:after="0"/>
        <w:rPr>
          <w:sz w:val="20"/>
          <w:szCs w:val="20"/>
          <w:color w:val="auto"/>
        </w:rPr>
      </w:pPr>
      <w:r>
        <w:rPr>
          <w:rFonts w:ascii="Arial" w:cs="Arial" w:eastAsia="Arial" w:hAnsi="Arial"/>
          <w:sz w:val="16"/>
          <w:szCs w:val="16"/>
          <w:i w:val="1"/>
          <w:iCs w:val="1"/>
          <w:color w:val="auto"/>
        </w:rPr>
        <w:t>(Commission</w:t>
      </w:r>
    </w:p>
    <w:p>
      <w:pPr>
        <w:spacing w:after="0" w:line="32" w:lineRule="exact"/>
        <w:rPr>
          <w:sz w:val="24"/>
          <w:szCs w:val="24"/>
          <w:color w:val="auto"/>
        </w:rPr>
      </w:pPr>
    </w:p>
    <w:p>
      <w:pPr>
        <w:jc w:val="center"/>
        <w:ind w:right="130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94-3290283</w:t>
      </w:r>
    </w:p>
    <w:p>
      <w:pPr>
        <w:spacing w:after="0" w:line="21" w:lineRule="exact"/>
        <w:rPr>
          <w:sz w:val="24"/>
          <w:szCs w:val="24"/>
          <w:color w:val="auto"/>
        </w:rPr>
      </w:pPr>
    </w:p>
    <w:p>
      <w:pPr>
        <w:jc w:val="center"/>
        <w:ind w:right="19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96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4"/>
          <w:szCs w:val="24"/>
          <w:color w:val="auto"/>
        </w:rPr>
      </w:pPr>
    </w:p>
    <w:p>
      <w:pPr>
        <w:sectPr>
          <w:pgSz w:w="11900" w:h="16838" w:orient="portrait"/>
          <w:cols w:equalWidth="0" w:num="3">
            <w:col w:w="4480" w:space="720"/>
            <w:col w:w="2240" w:space="720"/>
            <w:col w:w="3260"/>
          </w:cols>
          <w:pgMar w:left="240" w:top="706" w:right="239" w:bottom="1440" w:gutter="0" w:footer="0" w:header="0"/>
          <w:type w:val="continuous"/>
        </w:sectPr>
      </w:pPr>
    </w:p>
    <w:p>
      <w:pPr>
        <w:spacing w:after="0" w:line="36"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42307 Osgood Road, Suite I</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3080"/>
        <w:spacing w:after="0"/>
        <w:rPr>
          <w:sz w:val="20"/>
          <w:szCs w:val="20"/>
          <w:color w:val="auto"/>
        </w:rPr>
      </w:pPr>
      <w:r>
        <w:rPr>
          <w:rFonts w:ascii="Arial" w:cs="Arial" w:eastAsia="Arial" w:hAnsi="Arial"/>
          <w:sz w:val="18"/>
          <w:szCs w:val="18"/>
          <w:b w:val="1"/>
          <w:bCs w:val="1"/>
          <w:color w:val="auto"/>
        </w:rPr>
        <w:t>94539</w:t>
      </w:r>
    </w:p>
    <w:p>
      <w:pPr>
        <w:spacing w:after="0" w:line="21" w:lineRule="exact"/>
        <w:rPr>
          <w:sz w:val="24"/>
          <w:szCs w:val="24"/>
          <w:color w:val="auto"/>
        </w:rPr>
      </w:pPr>
    </w:p>
    <w:p>
      <w:pPr>
        <w:jc w:val="center"/>
        <w:ind w:right="3080"/>
        <w:spacing w:after="0"/>
        <w:rPr>
          <w:sz w:val="20"/>
          <w:szCs w:val="20"/>
          <w:color w:val="auto"/>
        </w:rPr>
      </w:pPr>
      <w:r>
        <w:rPr>
          <w:rFonts w:ascii="Arial" w:cs="Arial" w:eastAsia="Arial" w:hAnsi="Arial"/>
          <w:sz w:val="16"/>
          <w:szCs w:val="16"/>
          <w:i w:val="1"/>
          <w:iCs w:val="1"/>
          <w:color w:val="auto"/>
        </w:rPr>
        <w:t>(Zip Code)</w:t>
      </w:r>
    </w:p>
    <w:p>
      <w:pPr>
        <w:spacing w:after="0" w:line="168" w:lineRule="exact"/>
        <w:rPr>
          <w:sz w:val="24"/>
          <w:szCs w:val="24"/>
          <w:color w:val="auto"/>
        </w:rPr>
      </w:pPr>
    </w:p>
    <w:p>
      <w:pPr>
        <w:sectPr>
          <w:pgSz w:w="11900" w:h="16838" w:orient="portrait"/>
          <w:cols w:equalWidth="0" w:num="2">
            <w:col w:w="6860" w:space="720"/>
            <w:col w:w="3840"/>
          </w:cols>
          <w:pgMar w:left="240" w:top="706" w:right="239" w:bottom="1440" w:gutter="0" w:footer="0" w:header="0"/>
          <w:type w:val="continuous"/>
        </w:sectPr>
      </w:pPr>
    </w:p>
    <w:p>
      <w:pPr>
        <w:ind w:left="3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158"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15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6"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374"/>
        </w:trPr>
        <w:tc>
          <w:tcPr>
            <w:tcW w:w="20" w:type="dxa"/>
            <w:vAlign w:val="bottom"/>
          </w:tcPr>
          <w:p>
            <w:pPr>
              <w:spacing w:after="0"/>
              <w:rPr>
                <w:sz w:val="24"/>
                <w:szCs w:val="24"/>
                <w:color w:val="auto"/>
              </w:rPr>
            </w:pPr>
          </w:p>
        </w:tc>
        <w:tc>
          <w:tcPr>
            <w:tcW w:w="524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Title of each class</w:t>
            </w:r>
          </w:p>
        </w:tc>
        <w:tc>
          <w:tcPr>
            <w:tcW w:w="46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Trading symbol</w:t>
            </w:r>
          </w:p>
        </w:tc>
        <w:tc>
          <w:tcPr>
            <w:tcW w:w="58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Class A Common Stock, par value $0.0001 per share</w:t>
            </w:r>
          </w:p>
        </w:tc>
        <w:tc>
          <w:tcPr>
            <w:tcW w:w="4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ACMR</w:t>
            </w:r>
          </w:p>
        </w:tc>
        <w:tc>
          <w:tcPr>
            <w:tcW w:w="58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Nasdaq Global Market</w:t>
            </w:r>
          </w:p>
        </w:tc>
      </w:tr>
    </w:tbl>
    <w:p>
      <w:pPr>
        <w:spacing w:after="0" w:line="201" w:lineRule="exact"/>
        <w:rPr>
          <w:sz w:val="24"/>
          <w:szCs w:val="24"/>
          <w:color w:val="auto"/>
        </w:rPr>
      </w:pPr>
    </w:p>
    <w:p>
      <w:pPr>
        <w:ind w:right="740"/>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24"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1.01. Entry into a Material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5, 2019, our subsidiary ACM Research (Shanghai), Inc., or ACM Shanghai, entered into a Partnership Agreement, or the Partnership Agreement, among Infotech National Emerging Industry Venture Investment Guidance Fund (LP), Hefei Guozheng Asset Management Co, Ltd., Hefei Economic and Technological Development Zone Industrial Investment Guidance Fund Co., Ltd., ACM Shanghai, Hefei Tongyi Equity Investment Partnership (LP) and Shenzen Waitan Technology Development Co., Ltd., as limited partners, and Beijing Shixi Qingliu Investment Co., Ltd., as general partner and manager, which we refer to as BSQ Investment, with respect to the formation of Hefei Shixi Chanheng Integrated Circuit Industry Venture Capital Fund Partnership (LP), a Chinese limited partnership based in Hefei, China, which we refer to as the Partnership.</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Partnership was formed for the purposes of engaging in equity venture capital investments in strategic emerging and high-tech industries with a focus on the semiconductor industry, including integrated circuit companies engaged in design, materials, equipment, components, maintenance, packaging and testing, technical services, and technologies. ACM Shanghai’s participation in the Partnership will, in addition to potentially providing financial returns on its investment, broaden ACM Shanghai’s access to startup-stage and emerging/intermediate-stage companies in the Chinese semiconductor industry. We believe that access to semiconductor-related companies can support ACM Shanghai’s efforts to identify and capitalize on advanced technology trends and to identify and assess opportunities to acquire businesses, technologies and products that will help us expand the breadth and features of our product offerings.</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its investment activities, the Partnership may provide venture capital investment consulting services as well as entrepreneurial management services to venture companies. BSQ Investment, as general partner and manager, is empowered to, among other things, oversee the screening, determination, execution and management of the Partnership’s investments in projects and enterprises. In fulfilling its responsibilities, BSQ Investment must establish an Investment Decision-Making Committee, as the Partnership’s only investment decision-making body, to, among other things, review and determine the Partnership’s external investments and investment exits. The Investment Decision-Making Committee will consist of seven members, of whom BSQ Investment is to appoint three members, and four of the Partnership’s limited partners (or their affiliates), including ACM Shanghai, each appoint one member. The Partnership is required to invest more than sixty percent of its total subscribed capital in innovative enterprises in emerging industries (as such enterprises are defined in the Partnership Agreement) in their start-up, early or intermediate stages and to invest a majority of its total subscribed capital in enterprises within the Hefei Economic and Technological Development Zone. The Partnership may not invest more than twenty percent of its total asset value in a single company or group of affiliated companies.</w:t>
      </w:r>
    </w:p>
    <w:p>
      <w:pPr>
        <w:spacing w:after="0" w:line="10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Pursuant to the Partnership Agreement, on September 30, 2019 ACM Shanghai invested RMB 30,000,000 (approximately $4.2 million, based on the conversion rate of RMB to U.S. dollars as of September 30, 2019 as published by the State Administration of Foreign Exchange of the People's Republic of China), which represented ten percent of the Partnership’s total subscribed capital. Subject to future amendment of the Partnership Agreement, the Partnership will have a seven-year term and will make investments during the initial five years before exiting from those investments during the last two years of the Partnership’s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ACM RESEARCH, INC.</w:t>
      </w:r>
    </w:p>
    <w:p>
      <w:pPr>
        <w:spacing w:after="0" w:line="23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By:</w:t>
      </w:r>
      <w:r>
        <w:rPr>
          <w:rFonts w:ascii="Arial" w:cs="Arial" w:eastAsia="Arial" w:hAnsi="Arial"/>
          <w:sz w:val="17"/>
          <w:szCs w:val="17"/>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wp:posOffset>
            </wp:positionV>
            <wp:extent cx="34563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56305" cy="17145"/>
                    </a:xfrm>
                    <a:prstGeom prst="rect">
                      <a:avLst/>
                    </a:prstGeom>
                    <a:noFill/>
                  </pic:spPr>
                </pic:pic>
              </a:graphicData>
            </a:graphic>
          </wp:anchor>
        </w:drawing>
      </w:r>
    </w:p>
    <w:p>
      <w:pPr>
        <w:spacing w:after="0" w:line="1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McKechnie</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Vice President of Finance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2019-12-04T22:51:53Z</dcterms:created>
  <dcterms:modified xsi:type="dcterms:W3CDTF">2019-12-04T22:51:53Z</dcterms:modified>
</cp:coreProperties>
</file>